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E172D2">
      <w:pPr>
        <w:spacing w:line="560" w:lineRule="exact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 w14:paraId="12CC6BD9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北京市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门头沟区民政局2025年政府信息</w:t>
      </w:r>
    </w:p>
    <w:p w14:paraId="14F7DED8">
      <w:pPr>
        <w:spacing w:line="560" w:lineRule="exact"/>
        <w:jc w:val="center"/>
        <w:rPr>
          <w:rFonts w:ascii="微软雅黑" w:hAnsi="微软雅黑" w:eastAsia="微软雅黑" w:cs="宋体"/>
          <w:color w:val="404040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公开工作年度报告</w:t>
      </w:r>
      <w:r>
        <w:rPr>
          <w:rFonts w:hint="eastAsia" w:ascii="微软雅黑" w:hAnsi="微软雅黑" w:eastAsia="微软雅黑" w:cs="宋体"/>
          <w:color w:val="404040"/>
          <w:kern w:val="0"/>
          <w:sz w:val="24"/>
        </w:rPr>
        <w:t>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</w:p>
    <w:p w14:paraId="4CA80AD9">
      <w:pPr>
        <w:spacing w:line="560" w:lineRule="exact"/>
        <w:jc w:val="center"/>
        <w:rPr>
          <w:sz w:val="44"/>
          <w:szCs w:val="44"/>
        </w:rPr>
      </w:pP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</w:p>
    <w:p w14:paraId="7EB73EAF">
      <w:pPr>
        <w:widowControl/>
        <w:spacing w:line="560" w:lineRule="exact"/>
        <w:ind w:firstLine="675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依据《中华人民共和国政府信息公开条例》(以下简称《政府信息公开条例》)第五十条规定，编制本报告。</w:t>
      </w:r>
    </w:p>
    <w:p w14:paraId="5B5A5D28">
      <w:pPr>
        <w:widowControl/>
        <w:spacing w:line="560" w:lineRule="exact"/>
        <w:ind w:firstLine="672" w:firstLineChars="200"/>
        <w:jc w:val="left"/>
        <w:rPr>
          <w:rFonts w:ascii="黑体" w:hAnsi="宋体" w:eastAsia="黑体" w:cs="宋体"/>
          <w:spacing w:val="8"/>
          <w:kern w:val="0"/>
          <w:sz w:val="32"/>
          <w:szCs w:val="32"/>
        </w:rPr>
      </w:pPr>
      <w:r>
        <w:rPr>
          <w:rFonts w:hint="eastAsia" w:ascii="黑体" w:hAnsi="宋体" w:eastAsia="黑体" w:cs="宋体"/>
          <w:spacing w:val="8"/>
          <w:kern w:val="0"/>
          <w:sz w:val="32"/>
          <w:szCs w:val="32"/>
        </w:rPr>
        <w:t>一、总体情况</w:t>
      </w:r>
    </w:p>
    <w:p w14:paraId="0DDC3603">
      <w:pPr>
        <w:widowControl/>
        <w:spacing w:line="560" w:lineRule="exact"/>
        <w:ind w:firstLine="675"/>
        <w:jc w:val="left"/>
        <w:rPr>
          <w:rFonts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2025年，门头沟区民政局紧密围绕政务公开工作各项要求，精心规划公开内容，积极拓展公开渠道，全面提升公开效能，有力保障了民众的知情权与参与权。全年主动公开政府信息170余条；全年共收到2件依申请公开的请求。</w:t>
      </w:r>
    </w:p>
    <w:p w14:paraId="0ACC8320">
      <w:pPr>
        <w:widowControl/>
        <w:spacing w:line="560" w:lineRule="exact"/>
        <w:ind w:firstLine="675"/>
        <w:jc w:val="left"/>
        <w:rPr>
          <w:rFonts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一是强化组织架构，拓宽政务公开的覆盖范围。严格依据本单位制定的政府信息主动公开全面清单，对现有公开资源进行细致梳理与统一管理，并定期对门户网站进行内容更新与维护。特别是在机构职责、政策法规、社会组织、社会救助、养老服务等关键领域，持续加大信息更新力度，深化公开层次，拓宽公开范围，力求做到信息应公开尽公开。</w:t>
      </w:r>
    </w:p>
    <w:p w14:paraId="08BD73B2">
      <w:pPr>
        <w:widowControl/>
        <w:spacing w:line="560" w:lineRule="exact"/>
        <w:ind w:firstLine="675"/>
        <w:jc w:val="left"/>
        <w:rPr>
          <w:rFonts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二是完善制度体系，提升政务公开的规范化程度。依据政务公开工作要点，结合本单位实际情况，详细梳理并明确了各部门职责，制定了详尽的政务公开清单。在信息公开过程中，坚持“谁制作、谁管理，谁公开、谁负责”的原则，确保保密审查工作的严密性，并加强对各环节的监督与管理，全方位保障信息安全。同时，明确了信息采集、报送的具体要求以及信息发布、审核的流程，确保政务公开工作有序进行。</w:t>
      </w:r>
    </w:p>
    <w:p w14:paraId="2887B733">
      <w:pPr>
        <w:widowControl/>
        <w:spacing w:line="560" w:lineRule="exact"/>
        <w:ind w:firstLine="675"/>
        <w:jc w:val="left"/>
        <w:rPr>
          <w:rFonts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三是加强业务培训，提高政务公开的质量与效率。全年，门头沟区民政局组织了两次政务公开工作培训，累计培训人数达到50人次。通过培训，有效增强了各部门对政务公开工作的责任感与重视程度，为信息公开工作的顺利实施奠定了坚实基础。</w:t>
      </w:r>
    </w:p>
    <w:p w14:paraId="6E3121BD">
      <w:pPr>
        <w:widowControl/>
        <w:spacing w:line="560" w:lineRule="exact"/>
        <w:ind w:firstLine="672" w:firstLineChars="200"/>
        <w:jc w:val="left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hint="eastAsia" w:ascii="黑体" w:hAnsi="黑体" w:eastAsia="黑体" w:cs="宋体"/>
          <w:spacing w:val="8"/>
          <w:kern w:val="0"/>
          <w:sz w:val="32"/>
          <w:szCs w:val="32"/>
        </w:rPr>
        <w:t>二、主动公开政府信息情况</w:t>
      </w:r>
    </w:p>
    <w:p w14:paraId="7EB70F15">
      <w:pPr>
        <w:pStyle w:val="2"/>
        <w:rPr>
          <w:rFonts w:hint="default"/>
        </w:rPr>
      </w:pPr>
    </w:p>
    <w:tbl>
      <w:tblPr>
        <w:tblStyle w:val="9"/>
        <w:tblW w:w="97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 w14:paraId="4CAC7C7E"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8367E56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 w14:paraId="4972A0D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4B9C4DC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D4652A9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7B4450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F42C8E2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现行有效件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数</w:t>
            </w:r>
          </w:p>
        </w:tc>
      </w:tr>
      <w:tr w14:paraId="54E2CAD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A3AD9D7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E0A988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E48288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4CFE3B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14:paraId="0D103F3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47B0E2B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9EF8F6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AFC8C5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104C55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13</w:t>
            </w:r>
          </w:p>
        </w:tc>
      </w:tr>
      <w:tr w14:paraId="72E126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9E79FDC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 w14:paraId="09FFEEC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D5E8C5C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2AD143E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 w14:paraId="36F9F7F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EA92801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B2C3757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</w:t>
            </w:r>
          </w:p>
        </w:tc>
      </w:tr>
      <w:tr w14:paraId="2CFEC9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799AAE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 w14:paraId="4FFFBC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225D39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E84903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 w14:paraId="30963BA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F4241A6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B55B9A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14:paraId="6892EF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792D897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C408A1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14:paraId="03BE39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2FA91D8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 w14:paraId="08CFF7F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77763E9F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2ECF170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 w14:paraId="4DE316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3B898275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3221389A">
            <w:pPr>
              <w:widowControl/>
              <w:spacing w:line="5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690.1587</w:t>
            </w:r>
          </w:p>
        </w:tc>
      </w:tr>
    </w:tbl>
    <w:p w14:paraId="1B4D6483">
      <w:pPr>
        <w:spacing w:line="560" w:lineRule="exact"/>
        <w:rPr>
          <w:rFonts w:ascii="黑体" w:hAnsi="黑体" w:eastAsia="黑体" w:cs="黑体"/>
          <w:sz w:val="32"/>
          <w:szCs w:val="32"/>
        </w:rPr>
      </w:pPr>
    </w:p>
    <w:p w14:paraId="4F5159B8">
      <w:pPr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三、收到和处理政府信息公开申请情况</w:t>
      </w:r>
    </w:p>
    <w:p w14:paraId="3490EF95">
      <w:pPr>
        <w:pStyle w:val="8"/>
        <w:widowControl/>
        <w:shd w:val="clear" w:color="auto" w:fill="FFFFFF"/>
        <w:spacing w:before="0" w:beforeAutospacing="0" w:after="0" w:afterAutospacing="0" w:line="560" w:lineRule="exact"/>
        <w:ind w:firstLine="420"/>
        <w:jc w:val="both"/>
        <w:rPr>
          <w:rFonts w:ascii="宋体" w:hAnsi="宋体" w:cs="宋体"/>
          <w:color w:val="333333"/>
        </w:rPr>
      </w:pPr>
    </w:p>
    <w:tbl>
      <w:tblPr>
        <w:tblStyle w:val="9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 w14:paraId="6227734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2439C40">
            <w:pPr>
              <w:widowControl/>
              <w:spacing w:line="560" w:lineRule="exact"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B101B1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申请人情况</w:t>
            </w:r>
          </w:p>
        </w:tc>
      </w:tr>
      <w:tr w14:paraId="6F66B61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078D4BD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688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472769C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78EFC45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91C0D7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总计</w:t>
            </w:r>
          </w:p>
        </w:tc>
      </w:tr>
      <w:tr w14:paraId="6AEE842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517D678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688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AEAD52A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0D0A9C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商业</w:t>
            </w:r>
          </w:p>
          <w:p w14:paraId="73C3B784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企业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C36B67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科研</w:t>
            </w:r>
          </w:p>
          <w:p w14:paraId="7A81686F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97EF792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3644CDA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38BC01E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EBA4224">
            <w:pPr>
              <w:spacing w:line="560" w:lineRule="exact"/>
              <w:rPr>
                <w:rFonts w:ascii="宋体"/>
                <w:sz w:val="24"/>
              </w:rPr>
            </w:pPr>
          </w:p>
        </w:tc>
      </w:tr>
      <w:tr w14:paraId="2C9FE63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54DD136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C3EB39E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2CE3524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D4FECA7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45C0FAD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C5BA453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E7F89F3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0B6A3A8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</w:tr>
      <w:tr w14:paraId="23CC2B0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056D576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58524F7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4EBF74B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86C96DA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92D76AF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E57A0F5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890DF0A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5143E31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</w:tr>
      <w:tr w14:paraId="56DC00B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E0BD092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CCDDBF6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370FB8B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44DFC93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574935C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02DB370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6C7E169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DB9E341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C718F9B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</w:tr>
      <w:tr w14:paraId="1B01E10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E1777D8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D382503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（二）部分公开</w:t>
            </w:r>
            <w:r>
              <w:rPr>
                <w:rFonts w:ascii="楷体" w:hAnsi="楷体" w:eastAsia="楷体" w:cs="楷体"/>
                <w:kern w:val="0"/>
                <w:sz w:val="20"/>
                <w:szCs w:val="20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0EB4270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3980E14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B67889C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3905449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BB4E03B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114FC0B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E0BF899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</w:tr>
      <w:tr w14:paraId="3328F76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1FB2C28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5F44186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7F0CE8AF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6863C14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5175EDC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B61E2E4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C0602FC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0D87B09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1786F05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4CC38F4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</w:tr>
      <w:tr w14:paraId="5C18D17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182DAF0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3B24B7B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18A6B4CA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4A2FCBE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D4C13D8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BE86B9F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7EB1C21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74F215A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669B207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1EDF011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</w:tr>
      <w:tr w14:paraId="6ACF204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1EFE16D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C95CD29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1B17A895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0833FD9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255C052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4A4D60D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410C535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4A92800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B37DA85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72F1737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</w:tr>
      <w:tr w14:paraId="46CAD0E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6EB4F0F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ED2B3DD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6675C15A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1E52A99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64F242A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2F6F416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7EB5A3E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2B32DB9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32EF958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891CB76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</w:tr>
      <w:tr w14:paraId="1E4BF17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8B10856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96BF194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10E4553D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C8C20BE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401A075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DD2F92D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12E9934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8F57897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3380D07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B4DC8A8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</w:tr>
      <w:tr w14:paraId="6BB7977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C1BAD02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DC0EE5E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0510F120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5CC9D4C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1679CF3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EFA0689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61EA684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E6360AD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2E46508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6D34636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</w:tr>
      <w:tr w14:paraId="78CA19A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02E11B0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1AE02DD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</w:tcPr>
          <w:p w14:paraId="21988AF3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7CA39738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4A151DE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FDAE58A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60096C54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6BDD321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047FFA68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75CF0893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</w:tr>
      <w:tr w14:paraId="6BD382F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CF04A88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69013686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</w:tcPr>
          <w:p w14:paraId="4101C044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3580D20A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290F4135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A73FEC1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157D085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98CAA77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75DC5CB7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A019C54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</w:tr>
      <w:tr w14:paraId="74BE48A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10B2DC3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B4EF304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</w:tcPr>
          <w:p w14:paraId="1C06A077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AF9F8CF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7AD3421C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2876ACA4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2FFD5B06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57ED225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75C8773C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382445E9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</w:tr>
      <w:tr w14:paraId="42255F9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18DDB53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11759BC1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</w:tcPr>
          <w:p w14:paraId="713C6462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1B86684A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91D7E28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0279ED0F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CE2A250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1045B3BD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2A88B0D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323CECCD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</w:tr>
      <w:tr w14:paraId="57851BC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9A7D205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8BFEAAA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4AEF481D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5EAF693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E9780EE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97AD3EB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0EDD2D5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8AB0D76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BC84B67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36F96FF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</w:tr>
      <w:tr w14:paraId="6520E02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A12B8E1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C2F39A5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03DCF445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A5E4854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490F5D6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8C3DE2D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3361FD4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B830713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C867743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74A0526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</w:tr>
      <w:tr w14:paraId="2562A56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5C88459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E5654DB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21A4EBD3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B5A54D3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2BA2FFE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A1BCDC3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0386027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803A146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C55CDF5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88459BB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</w:tr>
      <w:tr w14:paraId="298AA85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F07D89A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8AFD3B5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15E502C6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338C0F2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0FC3DBF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53EE3EF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5CAF371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C8D8F1D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BBA1E1E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B3B581A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</w:tr>
      <w:tr w14:paraId="5C44E7A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D7A1E5D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7342978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 w14:paraId="510801E0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27FE9F0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9EDCBA7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ECEA710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084E3C4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A2141BF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41CCE99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6033544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</w:tr>
      <w:tr w14:paraId="05F3E4E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BDEC09E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9388AAC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EF11DBB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817F475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09AD3C2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39E874D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2FB2BD2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9847B15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F045201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49DCB01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</w:tr>
      <w:tr w14:paraId="711235A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1025C0C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30FCB06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01D7792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5D6E468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687609A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0A749D7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776780A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AE6092C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A4E9F4C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5279EA3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</w:tr>
      <w:tr w14:paraId="2FBD989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998530D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FDF6B48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8239E24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A46F86C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4072759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021C464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F39D492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8947B03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A736908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9A4CC80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</w:tr>
      <w:tr w14:paraId="5901577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B26C810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78AC7AB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B775F9B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F6177C6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BCADCC9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533D54B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7B69B67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6A1D0C5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C92120F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E8F876D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</w:tr>
      <w:tr w14:paraId="7251A31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34AB9B6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BB63FFA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D39F05D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DBCF25D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7702015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B27F0F5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BF09BAC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F51FCB3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06DAC99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</w:tr>
      <w:tr w14:paraId="5AA8803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single" w:color="auto" w:sz="0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9D8AF2E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0A796A82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249D2112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5F0D7A0A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1E3B6771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392E6B6A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4C072D52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040AD7BD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</w:tr>
    </w:tbl>
    <w:p w14:paraId="609EB516">
      <w:pPr>
        <w:pStyle w:val="2"/>
        <w:spacing w:line="560" w:lineRule="exact"/>
        <w:rPr>
          <w:rFonts w:hint="default"/>
        </w:rPr>
      </w:pPr>
    </w:p>
    <w:p w14:paraId="4CC6F739"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四、政府信息公开行政复议、行政诉讼情况</w:t>
      </w:r>
    </w:p>
    <w:p w14:paraId="29BE51A6">
      <w:pPr>
        <w:widowControl/>
        <w:spacing w:line="560" w:lineRule="exact"/>
        <w:jc w:val="center"/>
      </w:pPr>
    </w:p>
    <w:tbl>
      <w:tblPr>
        <w:tblStyle w:val="9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040A0AC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7DAE95C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05EBA2E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行政诉讼</w:t>
            </w:r>
          </w:p>
        </w:tc>
      </w:tr>
      <w:tr w14:paraId="5964A42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3C61F1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10B3C2A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435BD42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301D85D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CE76F5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8DEC3F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4FCBC94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复议后起诉</w:t>
            </w:r>
          </w:p>
        </w:tc>
      </w:tr>
      <w:tr w14:paraId="1C0C5C8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4FD0F1E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C83EC72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8507DBE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3E6570A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E94529C">
            <w:pPr>
              <w:spacing w:line="560" w:lineRule="exact"/>
              <w:rPr>
                <w:rFonts w:ascii="宋体"/>
                <w:sz w:val="24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5A9302A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630364A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137B86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FAFA382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337D33E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4F6B22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6860D9D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F3D356E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35BA804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BFB061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 w14:paraId="19517C1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AE55A0D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13568DC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C08AF51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C3881B9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C489FBC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8082857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16F077A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04BB30B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AA828D4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E611924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27BE4F5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47D2643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14EA90A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D150BF9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1369C17">
            <w:pPr>
              <w:widowControl/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</w:tr>
    </w:tbl>
    <w:p w14:paraId="13812606">
      <w:pPr>
        <w:widowControl/>
        <w:jc w:val="left"/>
      </w:pPr>
    </w:p>
    <w:p w14:paraId="28033860">
      <w:pPr>
        <w:widowControl/>
        <w:spacing w:line="560" w:lineRule="exact"/>
        <w:ind w:firstLine="672" w:firstLineChars="200"/>
        <w:jc w:val="left"/>
        <w:rPr>
          <w:rFonts w:ascii="宋体" w:hAnsi="宋体" w:eastAsia="宋体" w:cs="宋体"/>
          <w:spacing w:val="8"/>
          <w:kern w:val="0"/>
          <w:sz w:val="24"/>
        </w:rPr>
      </w:pPr>
      <w:r>
        <w:rPr>
          <w:rFonts w:hint="eastAsia" w:ascii="黑体" w:hAnsi="宋体" w:eastAsia="黑体" w:cs="宋体"/>
          <w:spacing w:val="8"/>
          <w:kern w:val="0"/>
          <w:sz w:val="32"/>
          <w:szCs w:val="32"/>
        </w:rPr>
        <w:t>五、存在的主要问题及改进情况</w:t>
      </w:r>
    </w:p>
    <w:p w14:paraId="2FE2904F">
      <w:pPr>
        <w:widowControl/>
        <w:spacing w:line="560" w:lineRule="exact"/>
        <w:ind w:firstLine="672" w:firstLineChars="200"/>
        <w:jc w:val="left"/>
        <w:rPr>
          <w:rFonts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当前，我局在政务信息公开工作上虽已取得一定成效，但仍存在一些需要提升的环节：如公开的信息在深度和广度上还有提升空间，部分信息在时效性和可读性方面表现欠佳。为有效解决这些问题，我们计划采取以下改进举措：</w:t>
      </w:r>
    </w:p>
    <w:p w14:paraId="7FB93185">
      <w:pPr>
        <w:widowControl/>
        <w:spacing w:line="560" w:lineRule="exact"/>
        <w:ind w:firstLine="672" w:firstLineChars="200"/>
        <w:jc w:val="left"/>
        <w:rPr>
          <w:rFonts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一是深度拓展信息内涵。聚焦重点领域，加大信息深度挖掘与综合分析力度，致力于为公众呈上更为全面、深入的信息服务，满足公众对高质量信息的需求。</w:t>
      </w:r>
    </w:p>
    <w:p w14:paraId="0F492E5D">
      <w:pPr>
        <w:widowControl/>
        <w:spacing w:line="560" w:lineRule="exact"/>
        <w:ind w:firstLine="672" w:firstLineChars="200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二是多元丰富发布方式。借助图表等丰富多样的形式来发布信息，以此增强信息的可读性与吸引力，让公众更轻松、更愿意去获取信息。</w:t>
      </w:r>
    </w:p>
    <w:p w14:paraId="3E879196">
      <w:pPr>
        <w:widowControl/>
        <w:spacing w:line="560" w:lineRule="exact"/>
        <w:ind w:firstLine="675"/>
        <w:jc w:val="left"/>
        <w:rPr>
          <w:rFonts w:ascii="宋体" w:hAnsi="宋体" w:eastAsia="宋体" w:cs="宋体"/>
          <w:spacing w:val="8"/>
          <w:kern w:val="0"/>
          <w:sz w:val="32"/>
          <w:szCs w:val="32"/>
        </w:rPr>
      </w:pPr>
      <w:r>
        <w:rPr>
          <w:rFonts w:hint="eastAsia" w:ascii="黑体" w:hAnsi="宋体" w:eastAsia="黑体" w:cs="宋体"/>
          <w:spacing w:val="8"/>
          <w:kern w:val="0"/>
          <w:sz w:val="32"/>
          <w:szCs w:val="32"/>
        </w:rPr>
        <w:t>六、其他需要报告的事项</w:t>
      </w:r>
    </w:p>
    <w:p w14:paraId="530FF40B">
      <w:pPr>
        <w:widowControl/>
        <w:spacing w:line="560" w:lineRule="exact"/>
        <w:jc w:val="left"/>
        <w:rPr>
          <w:rFonts w:hint="default"/>
        </w:rPr>
      </w:pPr>
      <w:r>
        <w:rPr>
          <w:rFonts w:hint="eastAsia" w:ascii="宋体" w:hAnsi="宋体" w:eastAsia="宋体" w:cs="宋体"/>
          <w:spacing w:val="8"/>
          <w:kern w:val="0"/>
          <w:sz w:val="32"/>
          <w:szCs w:val="32"/>
        </w:rPr>
        <w:t>　　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根据《政府信息公开信息处理费管理办法》(国办函〔2020〕109号)，2025年度门头沟区民政局收取信息处理费情况为：发出收费通知的件数为0件，总金额为0元，实际收取的总金额为0元。</w:t>
      </w:r>
    </w:p>
    <w:p w14:paraId="07CEEBE3">
      <w:pPr>
        <w:pStyle w:val="2"/>
        <w:widowControl/>
        <w:spacing w:line="560" w:lineRule="exact"/>
        <w:rPr>
          <w:rFonts w:hint="default"/>
        </w:rPr>
      </w:pPr>
    </w:p>
    <w:p w14:paraId="32A2ED46">
      <w:pPr>
        <w:pStyle w:val="2"/>
        <w:widowControl/>
        <w:spacing w:line="560" w:lineRule="exact"/>
        <w:rPr>
          <w:rFonts w:hint="default"/>
        </w:rPr>
      </w:pPr>
    </w:p>
    <w:p w14:paraId="67D634DE">
      <w:pPr>
        <w:pStyle w:val="2"/>
        <w:rPr>
          <w:rFonts w:hint="default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E92E7BB-C555-4F31-9169-24D7E774151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438D6BDC-7A7A-4F6D-85D1-7FBF6CADF4A2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3" w:fontKey="{4FB3E1E3-BF2D-4EB0-ACF5-7FEB84157E32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C475765F-6894-43C6-8FE0-053EBC6CA913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0F0D40A7-4293-4B53-8F59-62C486E3354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B03B82"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6B9CF26"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6B9CF26"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3OGE3ZTQxMWQwNWYzZjBiNGRhMWI4ODVjZWVkZjEifQ=="/>
    <w:docVar w:name="KSO_WPS_MARK_KEY" w:val="b46633d3-65d9-4d47-bea9-123699980ff7"/>
  </w:docVars>
  <w:rsids>
    <w:rsidRoot w:val="12EB65A5"/>
    <w:rsid w:val="002105D6"/>
    <w:rsid w:val="009F5376"/>
    <w:rsid w:val="00B70D29"/>
    <w:rsid w:val="00CC6EFD"/>
    <w:rsid w:val="0208294C"/>
    <w:rsid w:val="0339544E"/>
    <w:rsid w:val="0A5334F7"/>
    <w:rsid w:val="0EEC54CF"/>
    <w:rsid w:val="10B27FF1"/>
    <w:rsid w:val="12EB65A5"/>
    <w:rsid w:val="132316DC"/>
    <w:rsid w:val="164B3423"/>
    <w:rsid w:val="16C23AFA"/>
    <w:rsid w:val="17371930"/>
    <w:rsid w:val="174D5C54"/>
    <w:rsid w:val="1D5D6E24"/>
    <w:rsid w:val="1D9D4F02"/>
    <w:rsid w:val="1EB107C7"/>
    <w:rsid w:val="20977EB3"/>
    <w:rsid w:val="213E0B73"/>
    <w:rsid w:val="21AD09D2"/>
    <w:rsid w:val="23D16C48"/>
    <w:rsid w:val="25871C98"/>
    <w:rsid w:val="25B25B45"/>
    <w:rsid w:val="2ADE61BC"/>
    <w:rsid w:val="2DCF1834"/>
    <w:rsid w:val="2E1B49FC"/>
    <w:rsid w:val="2EB35BD6"/>
    <w:rsid w:val="2EEE1E6F"/>
    <w:rsid w:val="2F2D192B"/>
    <w:rsid w:val="305D48EB"/>
    <w:rsid w:val="325B56DA"/>
    <w:rsid w:val="3330627F"/>
    <w:rsid w:val="335A04B6"/>
    <w:rsid w:val="36CE4EE1"/>
    <w:rsid w:val="37643766"/>
    <w:rsid w:val="39ED0F7B"/>
    <w:rsid w:val="3A2E7640"/>
    <w:rsid w:val="3EAB7648"/>
    <w:rsid w:val="441546C2"/>
    <w:rsid w:val="449E28EA"/>
    <w:rsid w:val="46322CD4"/>
    <w:rsid w:val="48475164"/>
    <w:rsid w:val="4B9E7576"/>
    <w:rsid w:val="4DC23FB1"/>
    <w:rsid w:val="500D4BDD"/>
    <w:rsid w:val="575E3C29"/>
    <w:rsid w:val="5BDB0685"/>
    <w:rsid w:val="5EC976F6"/>
    <w:rsid w:val="5FD760D2"/>
    <w:rsid w:val="60176D6A"/>
    <w:rsid w:val="60BC260E"/>
    <w:rsid w:val="61723263"/>
    <w:rsid w:val="64060594"/>
    <w:rsid w:val="643F20FC"/>
    <w:rsid w:val="65EE4DB6"/>
    <w:rsid w:val="6A1A6328"/>
    <w:rsid w:val="6DFF92D7"/>
    <w:rsid w:val="779C78D2"/>
    <w:rsid w:val="79EE0E19"/>
    <w:rsid w:val="7C792090"/>
    <w:rsid w:val="7D154CE6"/>
    <w:rsid w:val="7EF7E223"/>
    <w:rsid w:val="7F652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kern w:val="0"/>
      <w:sz w:val="27"/>
      <w:szCs w:val="27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6"/>
    <w:qFormat/>
    <w:uiPriority w:val="0"/>
    <w:rPr>
      <w:rFonts w:hint="eastAsia" w:ascii="等线" w:hAnsi="Courier New" w:eastAsia="等线" w:cs="Times New Roman"/>
    </w:rPr>
  </w:style>
  <w:style w:type="paragraph" w:styleId="4">
    <w:name w:val="annotation text"/>
    <w:basedOn w:val="1"/>
    <w:link w:val="17"/>
    <w:qFormat/>
    <w:uiPriority w:val="0"/>
    <w:pPr>
      <w:jc w:val="left"/>
    </w:pPr>
    <w:rPr>
      <w:rFonts w:ascii="Times New Roman" w:hAnsi="Times New Roman" w:eastAsia="宋体" w:cs="Times New Roman"/>
    </w:rPr>
  </w:style>
  <w:style w:type="paragraph" w:styleId="5">
    <w:name w:val="Balloon Text"/>
    <w:basedOn w:val="1"/>
    <w:link w:val="18"/>
    <w:qFormat/>
    <w:uiPriority w:val="0"/>
    <w:rPr>
      <w:sz w:val="18"/>
      <w:szCs w:val="18"/>
    </w:rPr>
  </w:style>
  <w:style w:type="paragraph" w:styleId="6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styleId="11">
    <w:name w:val="Hyperlink"/>
    <w:basedOn w:val="10"/>
    <w:qFormat/>
    <w:uiPriority w:val="0"/>
    <w:rPr>
      <w:color w:val="0000FF"/>
      <w:u w:val="single"/>
    </w:rPr>
  </w:style>
  <w:style w:type="character" w:styleId="12">
    <w:name w:val="annotation reference"/>
    <w:basedOn w:val="10"/>
    <w:qFormat/>
    <w:uiPriority w:val="0"/>
    <w:rPr>
      <w:sz w:val="21"/>
      <w:szCs w:val="21"/>
    </w:rPr>
  </w:style>
  <w:style w:type="paragraph" w:customStyle="1" w:styleId="13">
    <w:name w:val="列出段落1"/>
    <w:basedOn w:val="1"/>
    <w:unhideWhenUsed/>
    <w:qFormat/>
    <w:uiPriority w:val="99"/>
    <w:pPr>
      <w:ind w:firstLine="420" w:firstLineChars="200"/>
    </w:pPr>
  </w:style>
  <w:style w:type="character" w:customStyle="1" w:styleId="14">
    <w:name w:val="页脚 Char"/>
    <w:basedOn w:val="10"/>
    <w:link w:val="6"/>
    <w:qFormat/>
    <w:uiPriority w:val="0"/>
    <w:rPr>
      <w:kern w:val="2"/>
      <w:sz w:val="18"/>
      <w:szCs w:val="24"/>
    </w:rPr>
  </w:style>
  <w:style w:type="character" w:customStyle="1" w:styleId="15">
    <w:name w:val="纯文本 字符"/>
    <w:basedOn w:val="10"/>
    <w:link w:val="2"/>
    <w:qFormat/>
    <w:uiPriority w:val="0"/>
    <w:rPr>
      <w:rFonts w:hint="eastAsia" w:ascii="等线" w:hAnsi="Courier New" w:eastAsia="等线" w:cs="Courier New"/>
      <w:kern w:val="2"/>
      <w:sz w:val="21"/>
      <w:szCs w:val="24"/>
    </w:rPr>
  </w:style>
  <w:style w:type="character" w:customStyle="1" w:styleId="16">
    <w:name w:val="纯文本 Char"/>
    <w:basedOn w:val="10"/>
    <w:link w:val="2"/>
    <w:qFormat/>
    <w:uiPriority w:val="0"/>
    <w:rPr>
      <w:rFonts w:hint="eastAsia" w:ascii="宋体" w:hAnsi="Courier New" w:eastAsia="宋体" w:cs="Courier New"/>
      <w:kern w:val="2"/>
      <w:sz w:val="21"/>
      <w:szCs w:val="21"/>
    </w:rPr>
  </w:style>
  <w:style w:type="character" w:customStyle="1" w:styleId="17">
    <w:name w:val="批注文字 Char"/>
    <w:basedOn w:val="10"/>
    <w:link w:val="4"/>
    <w:qFormat/>
    <w:uiPriority w:val="0"/>
    <w:rPr>
      <w:kern w:val="2"/>
      <w:sz w:val="21"/>
      <w:szCs w:val="24"/>
    </w:rPr>
  </w:style>
  <w:style w:type="character" w:customStyle="1" w:styleId="18">
    <w:name w:val="批注框文本 Char"/>
    <w:basedOn w:val="10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区委办公室</Company>
  <Pages>5</Pages>
  <Words>1090</Words>
  <Characters>1115</Characters>
  <Lines>16</Lines>
  <Paragraphs>4</Paragraphs>
  <TotalTime>7</TotalTime>
  <ScaleCrop>false</ScaleCrop>
  <LinksUpToDate>false</LinksUpToDate>
  <CharactersWithSpaces>1123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2026-01-15T08:58:00Z</dcterms:created>
  <dc:creator>MRX</dc:creator>
  <cp:lastModifiedBy>Mint1398171869</cp:lastModifiedBy>
  <cp:lastPrinted>2025-01-06T09:36:00Z</cp:lastPrinted>
  <dcterms:modified xsi:type="dcterms:W3CDTF">2026-01-19T05:32:54Z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F257B429D20144B598F752893F494D70_13</vt:lpwstr>
  </property>
  <property fmtid="{D5CDD505-2E9C-101B-9397-08002B2CF9AE}" pid="4" name="KSOTemplateDocerSaveRecord">
    <vt:lpwstr>eyJoZGlkIjoiMDdmNjUwM2Y1NDNmOWE2YzU2MTgyNGU5OGRlNTRlMDciLCJ1c2VySWQiOiIxNDYxNjAxNCJ9</vt:lpwstr>
  </property>
</Properties>
</file>