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1E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北京市门头沟区教育委员会</w:t>
      </w:r>
    </w:p>
    <w:p w14:paraId="6C21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  <w:bookmarkStart w:id="0" w:name="_GoBack"/>
      <w:bookmarkEnd w:id="0"/>
    </w:p>
    <w:p w14:paraId="2DFC6D0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C625FB8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坚持以习近平新时代中国特色社会主义思想为指导，全面贯彻落实党的二十大和二十届历次全会精神，坚持以人民为中心，按照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区委区政府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决策部署，认真落实《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政府信息公开条例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》，切实履行法定公开职责，着力加强自身建设，不断提高政府信息公开的质量和实效。</w:t>
      </w:r>
    </w:p>
    <w:p w14:paraId="267F03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（一）组织领导情况</w:t>
      </w:r>
    </w:p>
    <w:p w14:paraId="3B34B5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根据政务公开工作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相关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部署，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信息公开具体日常工作由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办公室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主要负责，形成一把手亲自抓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分管领导具体抓的工作格局。同时，细化目标责任，精心组织实施，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“规范、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清晰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便利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、实用”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原则，及时在政府网站上公布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推进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信息公开工作制度化、规范化。</w:t>
      </w:r>
    </w:p>
    <w:p w14:paraId="1487C8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（二）主动公开情况</w:t>
      </w:r>
    </w:p>
    <w:p w14:paraId="7417E2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委通过门头沟区政府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门户网站主动公开政府信息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110余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条，按规定公开年度预、决算信息，专栏公开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义务教育入学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政策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信息，及时更新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政务公开清单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政务新媒体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门头沟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教育”微信公众号全年推送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00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余条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，视频号发布短视频200余条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关注用户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达4.8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万人次。在做好教育政策发布基础上，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结合群众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关注热点，围绕教育改革发展重要举措，策划推出一系列高质量宣传内容，营造良好舆论氛围。</w:t>
      </w:r>
    </w:p>
    <w:p w14:paraId="600CBB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（三）依申请公开情况</w:t>
      </w:r>
    </w:p>
    <w:p w14:paraId="0C3F4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畅通依申请公开受理渠道，充分利用信函、邮件等方式接收申请，规范受理、审查、办理、答复等环节的工作程序。注重答复质量，强化内部协调沟通，完善审查机制，做到答复内容合法有据。2025年受理信息公开申请2件，均为自然人申请，已依法依规及时办理，未收取任何费用，未出现行政复议、诉讼和举报。</w:t>
      </w:r>
    </w:p>
    <w:p w14:paraId="1C85DC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（四）政府信息管理情况</w:t>
      </w:r>
    </w:p>
    <w:p w14:paraId="70E0DC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按照“谁起草、谁负责”的原则，严格落实“先审查、后公开”的信息发布机制，加强信息日常监测，切实把好政府信息政治关、政策关和文字关。办公室落实专人负责政府信息公开工作，对拟公开的政府信息内容进行规范性审核与保密审查，经主管领导审核签发，确保涉密信息不公开、公开信息不涉密。</w:t>
      </w:r>
    </w:p>
    <w:p w14:paraId="78F133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default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（五）政府信息公开平台建设情况</w:t>
      </w:r>
    </w:p>
    <w:p w14:paraId="3356F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区政务服务局网站排查问题反馈清单，对错敏字、敏感词等问题逐一进行整改。做好政府信息主动公开工作，公开内容更加标准、规范，主动公开内容的深度和广度不断提升，在政府网站上定期更新“执法信息公示”栏目。做好政务新媒体建设和维护工作，发布权威政策解读和信息，为我区教育事业发展营造良好的舆论环境。</w:t>
      </w:r>
    </w:p>
    <w:p w14:paraId="13BB86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default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（六）监督保障情况</w:t>
      </w:r>
    </w:p>
    <w:p w14:paraId="2A7C79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完善政府信息公开的审核、发布、培训等工作机制，督促有关科室做好职责范围内的政务公开工作，形成职责清晰、协同配合的工作机制。严格落实保密责任，做好保密审查，严把信息安全关。按照政府信息公开的流程和期限要求，确保公开的信息科学、准确、真实、有效。</w:t>
      </w:r>
    </w:p>
    <w:p w14:paraId="524CA94C">
      <w:pPr>
        <w:pStyle w:val="2"/>
        <w:rPr>
          <w:rFonts w:hint="eastAsia"/>
          <w:lang w:val="en-US" w:eastAsia="zh-CN"/>
        </w:rPr>
      </w:pPr>
    </w:p>
    <w:p w14:paraId="28C6394A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2B9D17ED">
      <w:pPr>
        <w:pStyle w:val="2"/>
        <w:numPr>
          <w:ilvl w:val="0"/>
          <w:numId w:val="1"/>
        </w:numPr>
        <w:rPr>
          <w:rFonts w:hint="eastAsia"/>
        </w:rPr>
      </w:pPr>
    </w:p>
    <w:tbl>
      <w:tblPr>
        <w:tblStyle w:val="5"/>
        <w:tblW w:w="941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8"/>
        <w:gridCol w:w="2435"/>
        <w:gridCol w:w="2435"/>
        <w:gridCol w:w="2435"/>
      </w:tblGrid>
      <w:tr w14:paraId="6A77B9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8D02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46E10F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D14C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7F68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B846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29CA5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6DD523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ED8B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E461D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2A06F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32BF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01DC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A8C50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AE032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B890B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5F885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06D692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FDF99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2A801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8080F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D18C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E1AE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523DA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126868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</w:tr>
      <w:tr w14:paraId="2A1EA4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A2915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6BAEEC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123ED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2EC6E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783A5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77350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B8B32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114B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219A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E3227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4D7CD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6BD4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44522F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21E3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D340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78FFB1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51F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18A0A8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2635.77515</w:t>
            </w:r>
          </w:p>
        </w:tc>
      </w:tr>
    </w:tbl>
    <w:p w14:paraId="23298124">
      <w:pPr>
        <w:numPr>
          <w:ilvl w:val="0"/>
          <w:numId w:val="0"/>
        </w:numPr>
        <w:spacing w:line="560" w:lineRule="exact"/>
        <w:ind w:leftChars="0"/>
        <w:rPr>
          <w:rFonts w:hint="eastAsia" w:ascii="黑体" w:hAnsi="黑体" w:eastAsia="黑体" w:cs="黑体"/>
          <w:sz w:val="32"/>
          <w:szCs w:val="32"/>
        </w:rPr>
      </w:pPr>
    </w:p>
    <w:p w14:paraId="78DC4A20">
      <w:pPr>
        <w:numPr>
          <w:ilvl w:val="0"/>
          <w:numId w:val="1"/>
        </w:numPr>
        <w:spacing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3DDDB787">
      <w:pPr>
        <w:pStyle w:val="2"/>
        <w:numPr>
          <w:ilvl w:val="0"/>
          <w:numId w:val="0"/>
        </w:numPr>
        <w:ind w:leftChars="0"/>
        <w:rPr>
          <w:rFonts w:hint="eastAsia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46C92D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AC6693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44F76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629C5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D13E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908E4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A2866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060B2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4C7BC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731F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62AC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46D8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85DD5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B8246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21560D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9723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0BA9A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A09C5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DA7D2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6E0763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19C0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87EAC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EC13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234B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F19C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C824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A49E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F85FB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1FF8AC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10B0B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ED63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B523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4FE5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D11D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92F4C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67D2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F285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9F1A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E09E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8E340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7D3E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91CF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65A9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AD2A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FEBFB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9A29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86AB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D290C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AD0D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707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AAEE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8357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9EF0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7ACCB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FF4B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0ED9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D2C2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7FBDF4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9662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46ED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C484A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C3BF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E328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3964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896C5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0F94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FDCD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817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825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23F3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41F9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BECA99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8BCA7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9DFC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FFE8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3F8D9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6017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B10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B7AF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8732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CB0DC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3E5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AA069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5FB17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1B71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41CE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47D5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D3D4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ABCD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5841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0500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59B33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FD36F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EECB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BD82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B082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C8DA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16113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E7F4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76CB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A238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A5A5C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E829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0698D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BF7CA3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C886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A52B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6FC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900D5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6838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82C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D005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F047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C9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F596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8AF07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947F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854B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FEE6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0A742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B114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87DC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890A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3A07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8301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FD75A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5B9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908C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0E96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A03C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F4A0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D50A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FE45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E9C1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86A4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1821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8113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9D0C5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C36E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72B37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197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E3771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95042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A64F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7B050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E15D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7AB1F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7BF5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40D1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4779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1F46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0C77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2DF0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23A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F0B3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F09C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4E38F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9D778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59A3B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D37CC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7B39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C087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1EAA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7853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EBA2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3627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FF07B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2FEC39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7F23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E4C41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A68BF6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B5AE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6866E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6246F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ED72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8AE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D47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9890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F331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3A7C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4B461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06606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48EC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F85A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89FA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2CF7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DDE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9E30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05A8C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CB85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C7DBF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8F5F5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D38109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F25F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62F0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79D7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C71E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1862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38DC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375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B9F6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8BE0B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FC65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0D8CA5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7385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6499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43EF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6C3ED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A5EA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FBAE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D97E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B71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0C04F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C06C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E0ED97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57B2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CDF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1F93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7CA8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CFD6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3863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DE7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132C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68EA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E14D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65398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08AA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DA9C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F539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0804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D213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8B23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460C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4185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67077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EF51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05935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588F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4480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DAFF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C35C0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A552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EDCA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B961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071C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38F4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F258D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F5B799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B9F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746E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C1DE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40B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8E2F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966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1411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9EDD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DC19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D045F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DCC61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5A621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1C06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BE98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D299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B87F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22A0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D649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E838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2EC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D139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8D8E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4D51B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2BB4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1804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7374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775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ACB3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767325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E05C4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75211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5C330C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25792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AFFC8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60568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BBE51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EB13F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719E8B0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C6BD3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8FD0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89092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5433E2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0760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4D00F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DDCE7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E62B9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000FD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D7AC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A18A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2921F3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AF0D8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A33F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A43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88E8E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F4DE7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A9848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D4AA0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154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A51D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801B3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AB411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6105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C19B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5A9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6D13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593BA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E0341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CF2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2CDE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372E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7AA4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1651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824F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42E6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7AE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E7EC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E2FEB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988B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1F99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1A22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3DBD1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C1D7609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45524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（一）存在主要问题</w:t>
      </w:r>
    </w:p>
    <w:p w14:paraId="1D47FBD7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政策解读深度不足、形式单一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部分重要政策文件缺乏对核心条款、出台背景、惠企利民要点、新旧政策差异的深入浅出解析；解读形式以文字为主，图表图解、视频动画、案例说明等群众喜闻乐见的形式运用较少。</w:t>
      </w:r>
    </w:p>
    <w:p w14:paraId="339BAD9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政策咨询回应时效性有待提升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对通过政府网站留言、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12345市民热线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等提出的政策类问题，平均响应时间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个工作日；线上咨询渠道有时存在应答不及时或答复内容不够精准的情况。</w:t>
      </w:r>
    </w:p>
    <w:p w14:paraId="2D55C80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三是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工作力量与能力建设存在短板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专职政务公开工作人员仅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名，难以满足日益增长的信息采集、审核、发布、解读、回应需求；部分科室对信息公开重视程度不一，存在“重业务、轻公开”倾向，信息供给主动性不强。</w:t>
      </w:r>
    </w:p>
    <w:p w14:paraId="57EC57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27" w:firstLineChars="196"/>
        <w:jc w:val="both"/>
        <w:textAlignment w:val="auto"/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（二）下一步改进举措</w:t>
      </w:r>
    </w:p>
    <w:p w14:paraId="205FEB1F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一是深化政策解读，提升可读性与引导力。要求所有重要政策文件在发布时同步推出配套解读材料，包含政策背景、核心要点、惠企/利民亮点、新旧对比、办事指引等要素，推行政策图解、短视频解读等多元化解读形式。</w:t>
      </w:r>
    </w:p>
    <w:p w14:paraId="4745445E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二是强化咨询回应，确保及时精准。优化咨询响应流程，严格实行限时办结制，简单咨询原则上48小时内答复，复杂咨询不超过法定时限。确保线上平台实时响应，试行“首问负责+协同办理”机制，杜绝推诿。</w:t>
      </w:r>
    </w:p>
    <w:p w14:paraId="48E2203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三是夯实工作基础，加强队伍建设与协同联动。力争增设1名专职政务公开人员，并优化现有分工。建立业务科室信息报送责任制，将信息提供时效、质量纳入科室年度考核，定期通报供稿情况。</w:t>
      </w:r>
    </w:p>
    <w:p w14:paraId="1B4B2B43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7E334E5B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2025年度我委发出政府信息公开信息处理费收费通知0件、收费通知总金额0元；实际收取政府信息公开信息处理费总金额0元。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9C2D38-6903-42B1-86E5-28C2245096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395405D-3960-4387-9073-2B86E8718E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CD6ADDC-19DE-41C8-996A-60966D72890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971FC01-2D45-41D0-B2FF-95F30364C3C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7AC6B85-D25C-4E74-A946-AF76F145629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F9E93BF-D6E1-4F88-B35E-2386692A1C4F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4D71B2"/>
    <w:multiLevelType w:val="singleLevel"/>
    <w:tmpl w:val="964D71B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15A62"/>
    <w:rsid w:val="4DBA75F1"/>
    <w:rsid w:val="5F6E29AD"/>
    <w:rsid w:val="6B942B3E"/>
    <w:rsid w:val="7D252DA4"/>
    <w:rsid w:val="7EEA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2642</Words>
  <Characters>2700</Characters>
  <Lines>0</Lines>
  <Paragraphs>0</Paragraphs>
  <TotalTime>23</TotalTime>
  <ScaleCrop>false</ScaleCrop>
  <LinksUpToDate>false</LinksUpToDate>
  <CharactersWithSpaces>2703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2026-01-13T02:59:00Z</dcterms:created>
  <dc:creator>ljg</dc:creator>
  <cp:lastModifiedBy>Mint1398171869</cp:lastModifiedBy>
  <dcterms:modified xsi:type="dcterms:W3CDTF">2026-01-15T06:44:59Z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3592001B81B243698A4172C6A51ECFF6_13</vt:lpwstr>
  </property>
</Properties>
</file>