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7525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北京市门头沟区城市管理委员会2025年政府信息公开工作年度报告</w:t>
      </w:r>
    </w:p>
    <w:p w14:paraId="29C1CB86">
      <w:pPr>
        <w:pStyle w:val="2"/>
        <w:rPr>
          <w:rFonts w:hint="eastAsia"/>
          <w:lang w:val="en-US" w:eastAsia="zh-CN"/>
        </w:rPr>
      </w:pPr>
      <w:bookmarkStart w:id="1" w:name="_GoBack"/>
      <w:bookmarkEnd w:id="1"/>
    </w:p>
    <w:p w14:paraId="57122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依据《中华人民共和国政府信息公开条例》(以下简称《政府信息公开条例》)第五十条规定，编制本报告。</w:t>
      </w:r>
    </w:p>
    <w:p w14:paraId="75E212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一、</w:t>
      </w:r>
      <w:r>
        <w:rPr>
          <w:rFonts w:hint="default" w:ascii="黑体" w:hAnsi="黑体" w:eastAsia="黑体" w:cs="宋体"/>
          <w:spacing w:val="8"/>
          <w:kern w:val="0"/>
          <w:sz w:val="32"/>
          <w:szCs w:val="32"/>
          <w:lang w:val="en-US" w:eastAsia="zh-CN"/>
        </w:rPr>
        <w:t>总体情况</w:t>
      </w:r>
    </w:p>
    <w:p w14:paraId="0749983E"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  <w:t>（一）主动公开情况</w:t>
      </w:r>
    </w:p>
    <w:p w14:paraId="456A7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2025年以来，我委深入贯彻《政府信息公开条例》及市、区政务公开工作最新部署，以推进城市治理现代化为目标，坚持“公开为常态、不公开为例外”原则，全面深化主动公开、规范依申请公开、强化平台建设、健全监督机制，推动政务公开与城市管理业务深度融合，切实提升公开质量与实效，为群众知情权、参与权、表达权和监督权提供坚实保障。2025年度，我委政府网站公开信息278条，其中财政预算结算8条、重点领域公开信息57条、业务动态公开信息145条、公开公告48条、其他方式公开政府信息20条。</w:t>
      </w:r>
    </w:p>
    <w:p w14:paraId="42143F7C"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  <w:t>（二）依申请公开办理情况</w:t>
      </w:r>
    </w:p>
    <w:p w14:paraId="30225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2025年度本单位申请总数为25件，其中本年新收政府信息公开申请数量25件，上年结转政府信息公开申请数量0件，均已答复。</w:t>
      </w:r>
    </w:p>
    <w:p w14:paraId="113461C0"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  <w:t>（三）政府信息管理方面</w:t>
      </w:r>
    </w:p>
    <w:p w14:paraId="18DB7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我委强化“管业务就要管公开”工作理念，进一步完善政务公开工作机制。定期召开专题会议，研究部署公开重点任务，细化责任分工，形成“一级抓一级、层层抓落实”的工作格局。优化信息采集、审核、发布流程，明确各环节责任主体。加强队伍建设，组织全委干部职工开展政务公开业务培训，提升工作人员专业素养与实操能力。</w:t>
      </w:r>
    </w:p>
    <w:p w14:paraId="1DEB9D8B"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8"/>
          <w:kern w:val="0"/>
          <w:sz w:val="32"/>
          <w:szCs w:val="32"/>
          <w:lang w:val="en-US" w:eastAsia="zh-CN"/>
        </w:rPr>
        <w:t>（四）政府信息公开平台建设和监督保障方面</w:t>
      </w:r>
    </w:p>
    <w:p w14:paraId="43E2F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2025年，区城管委以规范、智能、便民为目标推进平台建设，以责任、监督、实效为核心强化保障。平台建设上，规范区政府网站“政府信息公开”专栏布局，整合政务新媒体、线下政务公开专区等渠道构建“线上+线下”公开矩阵；监督保障上，健全领导小组统筹推进工作，严格执行保密审查“三审三校”制度，每月自查更新公开信息；畅通公众反馈渠道，确保公开工作落地见效。</w:t>
      </w:r>
    </w:p>
    <w:p w14:paraId="7EC7EF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375CD8DF">
      <w:pPr>
        <w:pStyle w:val="2"/>
        <w:rPr>
          <w:rFonts w:hint="eastAsia"/>
        </w:rPr>
      </w:pPr>
    </w:p>
    <w:tbl>
      <w:tblPr>
        <w:tblStyle w:val="7"/>
        <w:tblW w:w="88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2435"/>
        <w:gridCol w:w="2435"/>
        <w:gridCol w:w="2435"/>
      </w:tblGrid>
      <w:tr w14:paraId="4FABDF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311F8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3B247B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E600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3846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A4F86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314B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0AF7B6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1645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E8C10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1B375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30314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A2F7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CF36B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FEC33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CE7E6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9C63C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4CCD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5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A446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4A704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9DC18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FE67B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06A63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A4F1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F9902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  <w:t>179</w:t>
            </w:r>
          </w:p>
        </w:tc>
      </w:tr>
      <w:tr w14:paraId="08F1A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5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49E99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B3FAA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B56EA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6D33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52FBF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7AFF5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508C2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  <w:t>152</w:t>
            </w:r>
          </w:p>
        </w:tc>
      </w:tr>
      <w:tr w14:paraId="4820CE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6E1F3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E03EB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4508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544D07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436CE0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067E1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5B74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AF42A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D23D0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B4E068C">
            <w:pPr>
              <w:spacing w:line="560" w:lineRule="exact"/>
              <w:ind w:firstLine="2880" w:firstLineChars="1200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1382.74</w:t>
            </w:r>
          </w:p>
        </w:tc>
      </w:tr>
    </w:tbl>
    <w:p w14:paraId="6833CC9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7DACA2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D1EC32A">
      <w:pPr>
        <w:pStyle w:val="6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7"/>
        <w:tblW w:w="91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"/>
        <w:gridCol w:w="757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166638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5F11ED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D85BE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00ACC9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BCDB0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01653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DC4DD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40B7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1FCC6A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4AEE0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87AA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E265C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0A414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2D0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D76C33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82955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2223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5D5F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A172B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59C423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DA83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7E40D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E6E93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909FE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3B119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C897E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F13A7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F596F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 w14:paraId="64B4BF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28084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DE8FF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43F56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68AD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1D528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ADA87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95615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FF44F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2CD2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C0DD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41B3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6892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A8FC0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D513E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DF50A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90864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4A974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3EB98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117206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C7BB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59356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EAAC9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1C6D7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BA0DE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537E1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F92E4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AA12B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64566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33114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299C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66FBC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8553B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7BD8F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1FE98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77CA3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DADFE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FFDDC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FE6D5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9CCB5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25A7D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1DAB5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8E253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64BE87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90935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659AB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133D7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33CE0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6C2FE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E777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52501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E875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39E69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0E54B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0E4C16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83E74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38EDE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9705E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D789F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D3DB3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7CD98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FF9A5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5081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B76F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6D9D4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000D65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95C81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B3FB8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12842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D19C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1157F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2A564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82B73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39E6DD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51796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FCD39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448090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B48EA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CA72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43641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48C0F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B5C92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44362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01763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1FF7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AC9CE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C15E4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9E78B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11E8A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AC51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C0E2D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979A1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511C3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D229A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336EE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7BF0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0FA1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01FB2D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01EF3E3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C5477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B9A8F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74F3AA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08156E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BE326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790FF8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F1A1B1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15195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0372D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C4E49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A5FE52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21A1BA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53766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A4940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EEB32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39704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80BEC3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9391E1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8619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4635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69F7D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42570D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E4D72D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6D4C5B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0D6E42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F29CD3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EE519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9A37C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E938C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 w14:paraId="74F3D4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C750D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E49DEE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67FFD6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0211F8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0BAAF3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1ADC8F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4965D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9398E7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9F113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D80ADF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AC92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FE9E2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EF61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8671AA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BB094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F14E2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12FE1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8DAC3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AC06D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59622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53E36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0174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FC4F8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6B5C0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BDED6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E1FDE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C7C0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73BF2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05F5D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F2137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F435C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D580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9A59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74CF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8C1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81548B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E32AB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F74D9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F6DB4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728A2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92464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4D0D0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7F9B4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6B5B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46345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1572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8D1F6C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B197A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5DEFF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578E3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E9A3A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F27F3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DB7E6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D550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D98A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F734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CF9B0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1AECE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69A27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ED628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CD9D7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3C987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E2348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D95C9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922CA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C1C2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BFB78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91D3B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CFAA6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DC71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3224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1DF38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16C47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8AF0D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EB7ED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F6330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C68B3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2D31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722FA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B9D1E9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C68BB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391B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87B89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6D783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4A02F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433D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FAEB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CC6E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D0FA7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57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B0BCF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5D723F">
            <w:pPr>
              <w:widowControl/>
              <w:spacing w:line="560" w:lineRule="exac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BE42C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B46FB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FF967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B6872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042A2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A7F7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6657C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E3BB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B449D3">
            <w:pPr>
              <w:spacing w:line="560" w:lineRule="exact"/>
              <w:rPr>
                <w:rFonts w:hint="eastAsia" w:ascii="宋体"/>
                <w:sz w:val="24"/>
              </w:rPr>
            </w:pPr>
            <w:bookmarkStart w:id="0" w:name="OLE_LINK1" w:colFirst="3" w:colLast="9"/>
          </w:p>
        </w:tc>
        <w:tc>
          <w:tcPr>
            <w:tcW w:w="757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7D4F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7DB12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74B86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B9DA0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38DAA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A9DB9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11966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715F3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5B87A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0"/>
      <w:tr w14:paraId="30CBE4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1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97C5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9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195C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44BFF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0170F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69824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46CB5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813E5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59BE6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B9C5A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 w14:paraId="7718C4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28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EA75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602967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10717E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A9FB53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36CB7E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26B4E4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B650F8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441ACF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69ABCB82">
      <w:pPr>
        <w:pStyle w:val="2"/>
        <w:spacing w:line="560" w:lineRule="exact"/>
        <w:ind w:left="420" w:leftChars="200"/>
        <w:rPr>
          <w:rFonts w:hint="eastAsia"/>
        </w:rPr>
      </w:pPr>
    </w:p>
    <w:p w14:paraId="318A7510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66AE438E">
      <w:pPr>
        <w:widowControl/>
        <w:spacing w:line="560" w:lineRule="exact"/>
        <w:jc w:val="center"/>
      </w:pPr>
    </w:p>
    <w:tbl>
      <w:tblPr>
        <w:tblStyle w:val="7"/>
        <w:tblW w:w="933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516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C3EF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8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31E4F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8103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6D659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7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8ECA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5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A9673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79EB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1CAD2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462A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8EB8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F007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12D82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37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507A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5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DC53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2530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92D8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4C15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124A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F583C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44880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D073D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81050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A2FE3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71545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59451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2294F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92977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496175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3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57017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4F8D4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1EC18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A4C0FD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02A43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063B51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D4D477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1B2ED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09A24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96B43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99DAC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02DF0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3C1F13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B3FDD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EE3B8C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9</w:t>
            </w:r>
          </w:p>
        </w:tc>
      </w:tr>
    </w:tbl>
    <w:p w14:paraId="7C137B64">
      <w:pPr>
        <w:widowControl/>
        <w:spacing w:line="560" w:lineRule="exact"/>
        <w:jc w:val="left"/>
      </w:pPr>
    </w:p>
    <w:p w14:paraId="147AB1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五、存在的主要问题及改进情况</w:t>
      </w:r>
    </w:p>
    <w:p w14:paraId="2000D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2025年政府信息公开工作方面虽然取得了一定成效，但仍然存在不足：一是公开内容精准性有待提升，针对企业和群众高频咨询的事项，专项公开内容不够聚焦；二是基层公开能力不均衡，部分一线执法人员对政务公开政策理解不够深入，信息报送及时性、规范性有待加强。</w:t>
      </w:r>
    </w:p>
    <w:p w14:paraId="50126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针对以上问题，我委提出以下改进措施：一是深化公开内容精细化，对照政务公开重点工作清单，梳理群众关切热点每月更新专项公开内容，提升信息针对性；二是强化队伍能力建设，建立“常态化培训+一对一指导”机制，提升基层工作人员业务水平。</w:t>
      </w:r>
    </w:p>
    <w:p w14:paraId="54243B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六、其他需要报告的事项</w:t>
      </w:r>
    </w:p>
    <w:p w14:paraId="2FDA628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根据《政府信息公开信息处理费管理办法》国办函〔2020〕109号)，2025年度区城市管理委员会收取信息处理费情况为：发出收费通知的件数为0件，总金额为0元，实际收取的总金额为0元。</w:t>
      </w:r>
    </w:p>
    <w:p w14:paraId="1FA51988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北京市门头沟区人民政府网站网址为https://www.bjmtg.gov.cn/，如需了解更多政府信息，请登录查询。</w:t>
      </w:r>
    </w:p>
    <w:p w14:paraId="4E42F692"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947574-56CF-4321-BABA-23C20BAB13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2CBF61B-2B2A-4AA4-A09B-CE1E39088D1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C733EB0-3BD2-4615-9236-412617BC096A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75306F2E-E25A-4E65-9AFF-9FFED2781C6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5967AA0-6FB1-4FB7-8351-81F692D506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FAC841A7-F6DD-4126-B38F-D87EA09463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A504A12"/>
    <w:rsid w:val="0E5A331D"/>
    <w:rsid w:val="0E802790"/>
    <w:rsid w:val="12EB65A5"/>
    <w:rsid w:val="16CD208A"/>
    <w:rsid w:val="17371930"/>
    <w:rsid w:val="174D5C54"/>
    <w:rsid w:val="183C4979"/>
    <w:rsid w:val="19330066"/>
    <w:rsid w:val="1A711A08"/>
    <w:rsid w:val="1D5D6E24"/>
    <w:rsid w:val="1D9D4F02"/>
    <w:rsid w:val="1F843773"/>
    <w:rsid w:val="20977EB3"/>
    <w:rsid w:val="213E0B73"/>
    <w:rsid w:val="21AD09D2"/>
    <w:rsid w:val="21B53E47"/>
    <w:rsid w:val="232F4A12"/>
    <w:rsid w:val="24AD279E"/>
    <w:rsid w:val="2520654D"/>
    <w:rsid w:val="25871C98"/>
    <w:rsid w:val="25B25B45"/>
    <w:rsid w:val="26A2111B"/>
    <w:rsid w:val="2CAB7634"/>
    <w:rsid w:val="2E1B49FC"/>
    <w:rsid w:val="2EB35BD6"/>
    <w:rsid w:val="2EEE1E6F"/>
    <w:rsid w:val="2F2D192B"/>
    <w:rsid w:val="305D48EB"/>
    <w:rsid w:val="325B56DA"/>
    <w:rsid w:val="32DE4C61"/>
    <w:rsid w:val="3330627F"/>
    <w:rsid w:val="372B52CA"/>
    <w:rsid w:val="37643766"/>
    <w:rsid w:val="3A417DBB"/>
    <w:rsid w:val="3CC44440"/>
    <w:rsid w:val="3EAB7648"/>
    <w:rsid w:val="46071C49"/>
    <w:rsid w:val="46322CD4"/>
    <w:rsid w:val="48475164"/>
    <w:rsid w:val="4C6B4E5C"/>
    <w:rsid w:val="4D3026C6"/>
    <w:rsid w:val="4DC23FB1"/>
    <w:rsid w:val="4EB5152F"/>
    <w:rsid w:val="549178B4"/>
    <w:rsid w:val="57D351A3"/>
    <w:rsid w:val="582901C7"/>
    <w:rsid w:val="5A6A7AF4"/>
    <w:rsid w:val="5D20065F"/>
    <w:rsid w:val="5FD760D2"/>
    <w:rsid w:val="60BC260E"/>
    <w:rsid w:val="61723263"/>
    <w:rsid w:val="643F20FC"/>
    <w:rsid w:val="6A8473CF"/>
    <w:rsid w:val="6BEC4EAB"/>
    <w:rsid w:val="6DFF92D7"/>
    <w:rsid w:val="6F785273"/>
    <w:rsid w:val="75982E1F"/>
    <w:rsid w:val="766A6123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1994</Words>
  <Characters>2088</Characters>
  <Lines>0</Lines>
  <Paragraphs>0</Paragraphs>
  <TotalTime>18</TotalTime>
  <ScaleCrop>false</ScaleCrop>
  <LinksUpToDate>false</LinksUpToDate>
  <CharactersWithSpaces>2361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2026-01-15T05:54:50Z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24A0634DC4E1481F98E6F4E972972014_13</vt:lpwstr>
  </property>
  <property fmtid="{D5CDD505-2E9C-101B-9397-08002B2CF9AE}" pid="4" name="KSOTemplateDocerSaveRecord">
    <vt:lpwstr>eyJoZGlkIjoiMDdmNjUwM2Y1NDNmOWE2YzU2MTgyNGU5OGRlNTRlMDciLCJ1c2VySWQiOiIxNDYxNjAxNCJ9</vt:lpwstr>
  </property>
</Properties>
</file>