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11AD71"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</w:p>
    <w:p w14:paraId="0C30E61D"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highlight w:val="none"/>
          <w:lang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highlight w:val="none"/>
          <w:lang w:val="en-US" w:eastAsia="zh-CN" w:bidi="ar"/>
        </w:rPr>
        <w:t>北京市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highlight w:val="none"/>
          <w:lang w:eastAsia="zh-CN" w:bidi="ar"/>
        </w:rPr>
        <w:t>门头沟区农业农村局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highlight w:val="none"/>
          <w:lang w:val="en-US" w:eastAsia="zh-CN" w:bidi="ar"/>
        </w:rPr>
        <w:t>2025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highlight w:val="none"/>
          <w:lang w:bidi="ar"/>
        </w:rPr>
        <w:t>年政府信息公开工作年度报告</w:t>
      </w:r>
    </w:p>
    <w:p w14:paraId="252E2A17">
      <w:pPr>
        <w:spacing w:line="560" w:lineRule="exact"/>
        <w:jc w:val="center"/>
        <w:rPr>
          <w:sz w:val="44"/>
          <w:szCs w:val="44"/>
        </w:rPr>
      </w:pPr>
      <w:r>
        <w:rPr>
          <w:rFonts w:hint="eastAsia" w:ascii="微软雅黑" w:hAnsi="微软雅黑" w:eastAsia="微软雅黑" w:cs="宋体"/>
          <w:color w:val="404040"/>
          <w:kern w:val="0"/>
          <w:sz w:val="24"/>
        </w:rPr>
        <w:t>　</w:t>
      </w:r>
      <w:r>
        <w:rPr>
          <w:rFonts w:hint="eastAsia" w:ascii="微软雅黑" w:hAnsi="微软雅黑" w:eastAsia="微软雅黑" w:cs="宋体"/>
          <w:color w:val="404040"/>
          <w:kern w:val="0"/>
          <w:sz w:val="32"/>
          <w:szCs w:val="32"/>
        </w:rPr>
        <w:t xml:space="preserve"> </w:t>
      </w:r>
      <w:r>
        <w:rPr>
          <w:rFonts w:ascii="微软雅黑" w:hAnsi="微软雅黑" w:eastAsia="微软雅黑" w:cs="宋体"/>
          <w:color w:val="404040"/>
          <w:kern w:val="0"/>
          <w:sz w:val="32"/>
          <w:szCs w:val="32"/>
        </w:rPr>
        <w:t xml:space="preserve"> </w:t>
      </w:r>
    </w:p>
    <w:p w14:paraId="10CC110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依据《中华人民共和国政府信息公开条例》(以下简称《政府信息公开条例》)第五十条规定，编制本报告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。</w:t>
      </w:r>
    </w:p>
    <w:p w14:paraId="6E915F6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ascii="黑体" w:hAnsi="黑体" w:eastAsia="黑体" w:cs="宋体"/>
          <w:spacing w:val="8"/>
          <w:kern w:val="0"/>
          <w:sz w:val="32"/>
          <w:szCs w:val="32"/>
        </w:rPr>
      </w:pPr>
      <w:r>
        <w:rPr>
          <w:rFonts w:hint="eastAsia" w:ascii="黑体" w:hAnsi="黑体" w:eastAsia="黑体" w:cs="宋体"/>
          <w:spacing w:val="8"/>
          <w:kern w:val="0"/>
          <w:sz w:val="32"/>
          <w:szCs w:val="32"/>
          <w:lang w:val="en-US" w:eastAsia="zh-CN"/>
        </w:rPr>
        <w:t>一</w:t>
      </w:r>
      <w:r>
        <w:rPr>
          <w:rFonts w:ascii="黑体" w:hAnsi="黑体" w:eastAsia="黑体" w:cs="宋体"/>
          <w:spacing w:val="8"/>
          <w:kern w:val="0"/>
          <w:sz w:val="32"/>
          <w:szCs w:val="32"/>
        </w:rPr>
        <w:t>、总体情况</w:t>
      </w:r>
    </w:p>
    <w:p w14:paraId="7096FB5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楷体_GB2312" w:hAnsi="楷体_GB2312" w:eastAsia="楷体_GB2312" w:cs="楷体_GB2312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pacing w:val="8"/>
          <w:kern w:val="0"/>
          <w:sz w:val="32"/>
          <w:szCs w:val="32"/>
          <w:lang w:val="en-US" w:eastAsia="zh-CN"/>
        </w:rPr>
        <w:t>（一）组织领导</w:t>
      </w:r>
    </w:p>
    <w:p w14:paraId="62E1AA5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我局高度重视信息公开工作，将《政府信息公开条例》的施行作为推进依法行政、建设廉洁高效政府的重要举措，调整优化了局政务公开工作领导小组，由局主要领导任组长，其他副职领导分工负责，明确各科室及下属单位职责边界，建立逐级审批的层级管理模式。通过完善工作机制、强化督查考核，形成上下联动、齐抓共管的工作格局，确保各项公开任务落地见效。</w:t>
      </w:r>
    </w:p>
    <w:p w14:paraId="439440E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楷体_GB2312" w:hAnsi="楷体_GB2312" w:eastAsia="楷体_GB2312" w:cs="楷体_GB2312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pacing w:val="8"/>
          <w:kern w:val="0"/>
          <w:sz w:val="32"/>
          <w:szCs w:val="32"/>
          <w:lang w:val="en-US" w:eastAsia="zh-CN"/>
        </w:rPr>
        <w:t>（二）主动公开</w:t>
      </w:r>
    </w:p>
    <w:p w14:paraId="5ACE673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根据《政府信息公开条例》相关要求，我局紧紧围绕部门核心职能，积极推进政府信息公开工作，致力于保障信息的全面、及时与准确发布。公开内容主要涵盖政策法规、行政执法事项及结果、财务预算与决算、业务动态等重点领域。2025年，通过局信息网站共发布各类信息120余条，切实提高了信息公开的时效性和透明度。</w:t>
      </w:r>
    </w:p>
    <w:p w14:paraId="6E27919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楷体_GB2312" w:hAnsi="楷体_GB2312" w:eastAsia="楷体_GB2312" w:cs="楷体_GB2312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pacing w:val="8"/>
          <w:kern w:val="0"/>
          <w:sz w:val="32"/>
          <w:szCs w:val="32"/>
          <w:lang w:val="en-US" w:eastAsia="zh-CN"/>
        </w:rPr>
        <w:t>（三）依申请公开</w:t>
      </w:r>
    </w:p>
    <w:p w14:paraId="75D63B8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进一步畅通申请渠道，完善受理、审核、办理、答复、归档等工作流程。全年共收到政府信息公开申请5件，上年结转1件，年内办结5件，均在法定期限内予以答复，答复率100%。</w:t>
      </w:r>
    </w:p>
    <w:p w14:paraId="6EBD57B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楷体_GB2312" w:hAnsi="楷体_GB2312" w:eastAsia="楷体_GB2312" w:cs="楷体_GB2312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pacing w:val="8"/>
          <w:kern w:val="0"/>
          <w:sz w:val="32"/>
          <w:szCs w:val="32"/>
          <w:lang w:val="en-US" w:eastAsia="zh-CN"/>
        </w:rPr>
        <w:t>（四）政府信息管理</w:t>
      </w:r>
    </w:p>
    <w:p w14:paraId="1BD1084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建立健全信息发布审核机制，确保发布信息准确、权威、安全。加强规范性文件全生命周期管理，做好公开属性源头认定。定期对公开信息进行梳理、更新和维护，对已失效或废止的文件及时标注清理。</w:t>
      </w:r>
    </w:p>
    <w:p w14:paraId="49CAB9B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楷体_GB2312" w:hAnsi="楷体_GB2312" w:eastAsia="楷体_GB2312" w:cs="楷体_GB2312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pacing w:val="8"/>
          <w:kern w:val="0"/>
          <w:sz w:val="32"/>
          <w:szCs w:val="32"/>
          <w:lang w:val="en-US" w:eastAsia="zh-CN"/>
        </w:rPr>
        <w:t>（五）政府信息公开平台建设</w:t>
      </w:r>
    </w:p>
    <w:p w14:paraId="266B005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发挥政府门户网站第一平台作用，确定专人负责平台日常信息维护和内容保障，及时发布公告信息，定期开展平台自查，同时加强局官方微信公众号运营管理，围绕政策宣传、业务动态等发布图文、视频信息，增强互动性和传播力。构建“线上+线下”立体化公开网络。</w:t>
      </w:r>
    </w:p>
    <w:p w14:paraId="146C40D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楷体_GB2312" w:hAnsi="楷体_GB2312" w:eastAsia="楷体_GB2312" w:cs="楷体_GB2312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pacing w:val="8"/>
          <w:kern w:val="0"/>
          <w:sz w:val="32"/>
          <w:szCs w:val="32"/>
          <w:lang w:val="en-US" w:eastAsia="zh-CN"/>
        </w:rPr>
        <w:t>（六）教育培训</w:t>
      </w:r>
    </w:p>
    <w:p w14:paraId="4E1E2D3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为进一步推动政务公开工作向制度化、标准化、规范化迈进，我局组织召开专题培训会议，围绕“提升公开意识、规范公开流程、强化政策解读、防范法律风险”四大核心方向开展系统培训。结合典型案例进行深度剖析，帮助参训人员精准掌握快速响应群众诉求。</w:t>
      </w:r>
    </w:p>
    <w:p w14:paraId="488D0F5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楷体_GB2312" w:hAnsi="楷体_GB2312" w:eastAsia="楷体_GB2312" w:cs="楷体_GB2312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pacing w:val="8"/>
          <w:kern w:val="0"/>
          <w:sz w:val="32"/>
          <w:szCs w:val="32"/>
          <w:lang w:val="en-US" w:eastAsia="zh-CN"/>
        </w:rPr>
        <w:t>（七）监督保障</w:t>
      </w:r>
    </w:p>
    <w:p w14:paraId="004874B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严格落实政府信息公开审查制度。坚持政府信息公开保密审查“谁分管、谁审查、谁负责”的审查制度，对公开信息进行层层把关。开展常态化自查，对报送信息内容的规范性进行自查自纠，对排查出的问题限时整改。</w:t>
      </w:r>
    </w:p>
    <w:p w14:paraId="5244294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</w:p>
    <w:p w14:paraId="0ABB8AA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黑体" w:hAnsi="黑体" w:eastAsia="黑体" w:cs="宋体"/>
          <w:spacing w:val="8"/>
          <w:kern w:val="0"/>
          <w:sz w:val="32"/>
          <w:szCs w:val="32"/>
        </w:rPr>
      </w:pPr>
      <w:r>
        <w:rPr>
          <w:rFonts w:hint="eastAsia" w:ascii="黑体" w:hAnsi="黑体" w:eastAsia="黑体" w:cs="宋体"/>
          <w:spacing w:val="8"/>
          <w:kern w:val="0"/>
          <w:sz w:val="32"/>
          <w:szCs w:val="32"/>
          <w:lang w:val="en-US" w:eastAsia="zh-CN"/>
        </w:rPr>
        <w:t>二、</w:t>
      </w:r>
      <w:r>
        <w:rPr>
          <w:rFonts w:hint="eastAsia" w:ascii="黑体" w:hAnsi="黑体" w:eastAsia="黑体" w:cs="宋体"/>
          <w:spacing w:val="8"/>
          <w:kern w:val="0"/>
          <w:sz w:val="32"/>
          <w:szCs w:val="32"/>
        </w:rPr>
        <w:t>主动公开政府信息情况</w:t>
      </w:r>
    </w:p>
    <w:p w14:paraId="7C0E07ED">
      <w:pPr>
        <w:pStyle w:val="2"/>
        <w:rPr>
          <w:rFonts w:hint="eastAsia"/>
        </w:rPr>
      </w:pPr>
    </w:p>
    <w:tbl>
      <w:tblPr>
        <w:tblStyle w:val="6"/>
        <w:tblW w:w="974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 w14:paraId="1CC9097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656BEFA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第二十条第（一）项</w:t>
            </w:r>
          </w:p>
        </w:tc>
      </w:tr>
      <w:tr w14:paraId="7D8227A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B67502A">
            <w:pPr>
              <w:widowControl/>
              <w:spacing w:line="560" w:lineRule="exact"/>
              <w:jc w:val="center"/>
            </w:pPr>
            <w:bookmarkStart w:id="0" w:name="OLE_LINK1" w:colFirst="2" w:colLast="3"/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97A4BB7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9E51646">
            <w:pPr>
              <w:widowControl/>
              <w:spacing w:line="560" w:lineRule="exact"/>
              <w:jc w:val="center"/>
              <w:rPr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  <w:lang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3776889">
            <w:pPr>
              <w:widowControl/>
              <w:spacing w:line="560" w:lineRule="exact"/>
              <w:jc w:val="center"/>
              <w:rPr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  <w:lang w:bidi="ar"/>
              </w:rPr>
              <w:t>现行有效件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bidi="ar"/>
              </w:rPr>
              <w:t>数</w:t>
            </w:r>
          </w:p>
        </w:tc>
      </w:tr>
      <w:tr w14:paraId="5B019FE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E3B7FC5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3AAFC6E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4C47837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409CE1C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0381E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C1C5E80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F3220F3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46B2D1D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38B9A8A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</w:tr>
      <w:bookmarkEnd w:id="0"/>
      <w:tr w14:paraId="537C9A5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4A62B0D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第二十条第（五）项</w:t>
            </w:r>
          </w:p>
        </w:tc>
      </w:tr>
      <w:tr w14:paraId="1E69A2F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318F5CD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B457B0F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 w14:paraId="6BBA6E9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502EE6E">
            <w:pPr>
              <w:widowControl/>
              <w:spacing w:line="560" w:lineRule="exact"/>
              <w:jc w:val="center"/>
              <w:rPr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  <w:lang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08761D4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348</w:t>
            </w:r>
          </w:p>
        </w:tc>
      </w:tr>
      <w:tr w14:paraId="16759DF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70C7CD3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第二十条第（六）项</w:t>
            </w:r>
          </w:p>
        </w:tc>
      </w:tr>
      <w:tr w14:paraId="04E51F3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1A7B362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D7E7495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 w14:paraId="2E01A3F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C95D398">
            <w:pPr>
              <w:widowControl/>
              <w:spacing w:line="560" w:lineRule="exact"/>
              <w:jc w:val="center"/>
              <w:rPr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  <w:lang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644EA6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</w:tr>
      <w:tr w14:paraId="29C0F19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487E6CB">
            <w:pPr>
              <w:widowControl/>
              <w:spacing w:line="560" w:lineRule="exact"/>
              <w:jc w:val="center"/>
              <w:rPr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  <w:lang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E22CABC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B54E9A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0E452AC1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第二十条第（八）项</w:t>
            </w:r>
          </w:p>
        </w:tc>
      </w:tr>
      <w:tr w14:paraId="39B8BCE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5752FD78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7236B909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本年收费金额（单位：万元）</w:t>
            </w:r>
          </w:p>
        </w:tc>
      </w:tr>
      <w:tr w14:paraId="04C31BC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452ED50B">
            <w:pPr>
              <w:widowControl/>
              <w:spacing w:line="560" w:lineRule="exact"/>
              <w:jc w:val="center"/>
              <w:rPr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  <w:lang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3454AFD4">
            <w:pPr>
              <w:widowControl/>
              <w:spacing w:line="560" w:lineRule="exact"/>
              <w:jc w:val="center"/>
              <w:rPr>
                <w:rFonts w:hint="eastAsia" w:ascii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</w:tbl>
    <w:p w14:paraId="32CE07AE">
      <w:pPr>
        <w:numPr>
          <w:ilvl w:val="0"/>
          <w:numId w:val="0"/>
        </w:numPr>
        <w:spacing w:line="560" w:lineRule="exact"/>
        <w:rPr>
          <w:rFonts w:hint="eastAsia" w:ascii="黑体" w:hAnsi="黑体" w:eastAsia="黑体" w:cs="黑体"/>
          <w:sz w:val="32"/>
          <w:szCs w:val="32"/>
        </w:rPr>
      </w:pPr>
    </w:p>
    <w:p w14:paraId="15390D99">
      <w:pPr>
        <w:numPr>
          <w:ilvl w:val="0"/>
          <w:numId w:val="0"/>
        </w:numPr>
        <w:spacing w:line="56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</w:t>
      </w:r>
      <w:r>
        <w:rPr>
          <w:rFonts w:hint="eastAsia" w:ascii="黑体" w:hAnsi="黑体" w:eastAsia="黑体" w:cs="黑体"/>
          <w:sz w:val="32"/>
          <w:szCs w:val="32"/>
        </w:rPr>
        <w:t>收到和处理政府信息公开申请情况</w:t>
      </w:r>
    </w:p>
    <w:p w14:paraId="3ACBA130">
      <w:pPr>
        <w:pStyle w:val="5"/>
        <w:widowControl/>
        <w:shd w:val="clear" w:color="auto" w:fill="FFFFFF"/>
        <w:spacing w:before="0" w:beforeAutospacing="0" w:after="0" w:afterAutospacing="0" w:line="560" w:lineRule="exact"/>
        <w:ind w:firstLine="420"/>
        <w:jc w:val="both"/>
        <w:rPr>
          <w:rFonts w:hint="eastAsia" w:ascii="宋体" w:hAnsi="宋体" w:cs="宋体"/>
          <w:color w:val="333333"/>
        </w:rPr>
      </w:pPr>
    </w:p>
    <w:tbl>
      <w:tblPr>
        <w:tblStyle w:val="6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 w14:paraId="64EACE8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7C4721F">
            <w:pPr>
              <w:widowControl/>
              <w:spacing w:line="560" w:lineRule="exact"/>
              <w:jc w:val="left"/>
            </w:pPr>
            <w:r>
              <w:rPr>
                <w:rFonts w:ascii="楷体" w:hAnsi="楷体" w:eastAsia="楷体" w:cs="楷体"/>
                <w:kern w:val="0"/>
                <w:sz w:val="20"/>
                <w:szCs w:val="20"/>
                <w:lang w:bidi="ar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9BB3F2A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申请人情况</w:t>
            </w:r>
          </w:p>
        </w:tc>
      </w:tr>
      <w:tr w14:paraId="4835CF3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720B795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88" w:type="dxa"/>
            <w:vMerge w:val="restart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C29FBD1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6C97EC1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7BF9274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 w14:paraId="6DFDC7C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C669159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88" w:type="dxa"/>
            <w:vMerge w:val="continue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E70931E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177D759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商业</w:t>
            </w:r>
          </w:p>
          <w:p w14:paraId="39740C3E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企业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2042310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科研</w:t>
            </w:r>
          </w:p>
          <w:p w14:paraId="47A73357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F35307B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32C9F59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78C8F08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AB82A4C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</w:tr>
      <w:tr w14:paraId="403A130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F0D482F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8BA7270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792395D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192866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655F5E1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7D64D4E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1511243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24BE385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</w:tr>
      <w:tr w14:paraId="6D0D134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A16E9B9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B479FEA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E59F727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432E11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8B608F1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21EFB61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3591D93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E6DAB3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 w14:paraId="7D4DF01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restart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163866D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0CA6C67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1125C81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E0E1913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10C641E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0B13754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9FCB96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4C0440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4EC62FA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65A9769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F1CC525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879956C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（二）部分公开</w:t>
            </w:r>
            <w:r>
              <w:rPr>
                <w:rFonts w:ascii="楷体" w:hAnsi="楷体" w:eastAsia="楷体" w:cs="楷体"/>
                <w:kern w:val="0"/>
                <w:sz w:val="20"/>
                <w:szCs w:val="20"/>
                <w:lang w:bidi="ar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57284C5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958E200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85257C5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649AA6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9F42EF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008C1D8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248365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 w14:paraId="4EE48EE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15114F1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BC810A0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038E2C2C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D23E6FD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88991E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285E660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0466842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04453BD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E40B07E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188FD78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55EF8B1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9941F67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045E3C6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71222CA6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A0461A5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47D01B2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50CA96D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59B6981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66777F1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2A2B437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A52809D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1CE4D93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ADAC36B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C7FF874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4A471890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F7C685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B1A6715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490320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9465B94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84AA4B7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B082052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0146131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78E10D4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40CCC68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D2F449F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0F4303F3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628F831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1865988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5BD6F01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5C80E0A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0D9A22D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FBDC44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88A7D34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CEC94E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47B836B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4477DB2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618C857D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503E085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CF3C5DD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365E280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59CFC2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DCF8A72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AAC18D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E4C3C5E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046B52D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BDBE1BB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41BEEC2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0D4A0E75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3CED4C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DDD23CE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2F9A39C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C7704BA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FA99DB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D3E9911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4542F2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4229852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5C77B5E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374587A5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 w14:paraId="02BC34D3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7.属于行政执法案卷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4ED8EE7D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588BC4E2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17B250B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0451FB3C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5BCB9F2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165B21D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588A770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124363D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701D974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3DBA6D60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 w14:paraId="32F3F596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8.属于行政查询事项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017D369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4C6054BE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22187945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7D604D31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0A97F534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2AF7448D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77E7EE8D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561A0B1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B4223E0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17425B43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（四）无法提供</w:t>
            </w: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 w14:paraId="58535FBA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1.本机关不掌握相关政府信息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079CC8F5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2D942F2A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5BFC3A8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31CDD4E0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10337DDD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6CC0C721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4D541C68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</w:tr>
      <w:tr w14:paraId="16DC6DF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80DA34C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5804BBF5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 w14:paraId="1F0F479C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2.没有现成信息需要另行制作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4E73B7DE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1050BB4A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13BF368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14E597CC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7C39F147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4017CE7D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2757D37E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52521D0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715562C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E88D51F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7813900A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3.补正后申请内容仍不明确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F47DCF1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D8CB898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A0FB545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0779665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90CACB3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52ACA1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4F31F13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429D3DC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CC07B14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E8FBEB9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5D19A8D9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481CE78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564FC21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7A4A801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AF3E2CC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4EBCB67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3696FF7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94CAB45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6A32B2F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C029FE2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B17FC3C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5A4CBF4D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7C79583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EE1ECAC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733C2B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46E884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BF70F93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3B96C0C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5911DD3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0F6C032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FAC48D3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2EB7AD2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032A609E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DC0767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34B9620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046CC0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D8EFED7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87207B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CF80257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AF2A0E4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636818C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1DE1098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677E25E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4135C1F9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6401402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8E9E9DA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C395CF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61081DA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3503764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2E9939D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542882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53E26E5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092954D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06FFAE5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D4EB247">
            <w:pPr>
              <w:widowControl/>
              <w:spacing w:line="560" w:lineRule="exac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13EC3AA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0770C2E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CA2F1F0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052467D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CDC565D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60094F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B080B2C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10E6147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36E8CDF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outset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76D0D29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0AE420E">
            <w:pPr>
              <w:widowControl/>
              <w:spacing w:line="560" w:lineRule="exac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0D6C3C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ABD15B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9B1EFC3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893AF2C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1CDDD9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5BBE63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7800B92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4D941E5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35CE2BB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927ED71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388C272">
            <w:pPr>
              <w:widowControl/>
              <w:spacing w:line="560" w:lineRule="exac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D9D48C5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5B7FEA3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E6A4D64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E8098A1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AA244A0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C08A3A8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41E5271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7AA37B0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E69C7BC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892F624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D452788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7BB72E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BF38CD7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5191FD4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3EA5CC3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4F140B0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F985FAA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B492FE8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630555D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3442FAC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A6F4803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0983AA0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F8BA1D3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C209DE4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5224C9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38F5648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DDE3AF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9D9E18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</w:tr>
      <w:tr w14:paraId="2948778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single" w:color="auto" w:sz="0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FC81708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四、结转下年度继续办理</w:t>
            </w:r>
          </w:p>
        </w:tc>
        <w:tc>
          <w:tcPr>
            <w:tcW w:w="688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25C99C30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8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41CB86B2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59FDB98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39F1914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4906E46A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20F9BDA0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107FD39D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</w:tbl>
    <w:p w14:paraId="25EFA38A">
      <w:pPr>
        <w:pStyle w:val="2"/>
        <w:spacing w:line="560" w:lineRule="exact"/>
        <w:ind w:left="420" w:leftChars="200"/>
        <w:rPr>
          <w:rFonts w:hint="eastAsia"/>
        </w:rPr>
      </w:pPr>
    </w:p>
    <w:p w14:paraId="5E4B1BA2">
      <w:pPr>
        <w:pStyle w:val="2"/>
        <w:spacing w:line="560" w:lineRule="exact"/>
        <w:ind w:left="420" w:leftChars="200"/>
        <w:rPr>
          <w:rFonts w:hint="eastAsia"/>
        </w:rPr>
      </w:pPr>
    </w:p>
    <w:p w14:paraId="5A4463D1">
      <w:p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sz w:val="32"/>
          <w:szCs w:val="32"/>
          <w:highlight w:val="none"/>
        </w:rPr>
        <w:t>四、政府信息公开行政复议、行政诉讼情况</w:t>
      </w:r>
    </w:p>
    <w:p w14:paraId="4C5469A1">
      <w:pPr>
        <w:widowControl/>
        <w:spacing w:line="560" w:lineRule="exact"/>
        <w:jc w:val="center"/>
      </w:pPr>
    </w:p>
    <w:tbl>
      <w:tblPr>
        <w:tblStyle w:val="6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 w14:paraId="317C3A6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92A8F3F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FA08456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行政诉讼</w:t>
            </w:r>
          </w:p>
        </w:tc>
      </w:tr>
      <w:tr w14:paraId="58537A6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9E79B59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FEE576A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EFED02F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E63484C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10F3C7E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2072A8B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1B979DC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复议后起诉</w:t>
            </w:r>
          </w:p>
        </w:tc>
      </w:tr>
      <w:tr w14:paraId="08A7158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3418586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2A0F6E9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1C4BFF4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D23DA85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3C772E1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EB71880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581BC8D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7CCD348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9C5E9FD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4A9A04C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8D9C2CB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01AE463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3B6B019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2E39E74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EF545A8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 w14:paraId="3473178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DCB49CD">
            <w:pPr>
              <w:widowControl/>
              <w:spacing w:line="560" w:lineRule="exact"/>
              <w:jc w:val="both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bookmarkStart w:id="5" w:name="_GoBack" w:colFirst="0" w:colLast="14"/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 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1832713">
            <w:pPr>
              <w:widowControl/>
              <w:spacing w:line="560" w:lineRule="exact"/>
              <w:jc w:val="both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 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3FFF657">
            <w:pPr>
              <w:widowControl/>
              <w:spacing w:line="560" w:lineRule="exact"/>
              <w:jc w:val="both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 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A60DBA0">
            <w:pPr>
              <w:widowControl/>
              <w:spacing w:line="560" w:lineRule="exact"/>
              <w:jc w:val="both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0 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9F3D096">
            <w:pPr>
              <w:widowControl/>
              <w:spacing w:line="560" w:lineRule="exact"/>
              <w:jc w:val="both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 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C0B6285">
            <w:pPr>
              <w:widowControl/>
              <w:spacing w:line="560" w:lineRule="exact"/>
              <w:jc w:val="both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 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1185E34">
            <w:pPr>
              <w:widowControl/>
              <w:spacing w:line="560" w:lineRule="exact"/>
              <w:jc w:val="both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 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0BC7AF3">
            <w:pPr>
              <w:widowControl/>
              <w:spacing w:line="560" w:lineRule="exact"/>
              <w:jc w:val="both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 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2843E00">
            <w:pPr>
              <w:widowControl/>
              <w:spacing w:line="560" w:lineRule="exact"/>
              <w:jc w:val="both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 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1AA9FFA">
            <w:pPr>
              <w:widowControl/>
              <w:spacing w:line="560" w:lineRule="exact"/>
              <w:jc w:val="both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 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AF3C5A2">
            <w:pPr>
              <w:widowControl/>
              <w:spacing w:line="560" w:lineRule="exact"/>
              <w:jc w:val="both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0 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2EC5882">
            <w:pPr>
              <w:widowControl/>
              <w:spacing w:line="560" w:lineRule="exact"/>
              <w:jc w:val="both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 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95E4EBD">
            <w:pPr>
              <w:widowControl/>
              <w:spacing w:line="560" w:lineRule="exact"/>
              <w:jc w:val="both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 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F5953B2">
            <w:pPr>
              <w:widowControl/>
              <w:spacing w:line="560" w:lineRule="exact"/>
              <w:jc w:val="both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 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5F80223">
            <w:pPr>
              <w:widowControl/>
              <w:spacing w:line="560" w:lineRule="exact"/>
              <w:jc w:val="both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bookmarkEnd w:id="5"/>
    </w:tbl>
    <w:p w14:paraId="5F81F69F">
      <w:pPr>
        <w:widowControl/>
        <w:spacing w:line="560" w:lineRule="exact"/>
        <w:jc w:val="left"/>
      </w:pPr>
    </w:p>
    <w:p w14:paraId="2FFDB276">
      <w:pPr>
        <w:widowControl/>
        <w:spacing w:line="560" w:lineRule="exact"/>
        <w:ind w:firstLine="672" w:firstLineChars="200"/>
        <w:jc w:val="left"/>
        <w:rPr>
          <w:rFonts w:ascii="宋体" w:hAnsi="宋体" w:cs="宋体"/>
          <w:spacing w:val="8"/>
          <w:kern w:val="0"/>
          <w:sz w:val="24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五、存在的主要问题及改进情况</w:t>
      </w:r>
    </w:p>
    <w:p w14:paraId="3182099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bookmarkStart w:id="1" w:name="OLE_LINK5"/>
      <w:bookmarkStart w:id="2" w:name="OLE_LINK2"/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楷体_GB2312" w:hAnsi="楷体_GB2312" w:eastAsia="楷体_GB2312" w:cs="楷体_GB2312"/>
          <w:spacing w:val="8"/>
          <w:kern w:val="0"/>
          <w:sz w:val="32"/>
          <w:szCs w:val="32"/>
          <w:lang w:val="en-US" w:eastAsia="zh-CN"/>
        </w:rPr>
        <w:t>（一）存在的主要问题</w:t>
      </w:r>
    </w:p>
    <w:p w14:paraId="03D6067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5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b/>
          <w:bCs/>
          <w:spacing w:val="8"/>
          <w:kern w:val="0"/>
          <w:sz w:val="32"/>
          <w:szCs w:val="32"/>
          <w:lang w:val="en-US" w:eastAsia="zh-CN"/>
        </w:rPr>
        <w:t>一是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公开意识与履职能力需持续强化。部分人员对政务公开工作的重要性认知不足，信息主动公开、及时公开的自觉性和执行力有待提升。</w:t>
      </w:r>
      <w:r>
        <w:rPr>
          <w:rFonts w:hint="eastAsia" w:ascii="仿宋_GB2312" w:hAnsi="宋体" w:eastAsia="仿宋_GB2312" w:cs="宋体"/>
          <w:b/>
          <w:bCs/>
          <w:spacing w:val="8"/>
          <w:kern w:val="0"/>
          <w:sz w:val="32"/>
          <w:szCs w:val="32"/>
          <w:lang w:val="en-US" w:eastAsia="zh-CN"/>
        </w:rPr>
        <w:t>二是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政策解读质效有待优化。解读内容多局限于文件条款的原文复述，缺乏结合本区实际的通俗化、接地气阐释，未能充分提升政策的知晓率与传播力。</w:t>
      </w:r>
      <w:r>
        <w:rPr>
          <w:rFonts w:hint="eastAsia" w:ascii="仿宋_GB2312" w:hAnsi="宋体" w:eastAsia="仿宋_GB2312" w:cs="宋体"/>
          <w:b/>
          <w:bCs/>
          <w:spacing w:val="8"/>
          <w:kern w:val="0"/>
          <w:sz w:val="32"/>
          <w:szCs w:val="32"/>
          <w:lang w:val="en-US" w:eastAsia="zh-CN"/>
        </w:rPr>
        <w:t>三是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重点领域公开深度不足。相关领域信息公开仍停留在基础层面，内容的针对性、详实度未能满足社会公众的需求。</w:t>
      </w:r>
    </w:p>
    <w:p w14:paraId="4BBF218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楷体_GB2312" w:hAnsi="楷体_GB2312" w:eastAsia="楷体_GB2312" w:cs="楷体_GB2312"/>
          <w:spacing w:val="8"/>
          <w:kern w:val="0"/>
          <w:sz w:val="32"/>
          <w:szCs w:val="32"/>
          <w:lang w:val="en-US" w:eastAsia="zh-CN"/>
        </w:rPr>
      </w:pPr>
      <w:bookmarkStart w:id="3" w:name="OLE_LINK3"/>
      <w:r>
        <w:rPr>
          <w:rFonts w:hint="eastAsia" w:ascii="楷体_GB2312" w:hAnsi="楷体_GB2312" w:eastAsia="楷体_GB2312" w:cs="楷体_GB2312"/>
          <w:spacing w:val="8"/>
          <w:kern w:val="0"/>
          <w:sz w:val="32"/>
          <w:szCs w:val="32"/>
          <w:lang w:val="en-US" w:eastAsia="zh-CN"/>
        </w:rPr>
        <w:t>（二）改进措施</w:t>
      </w:r>
    </w:p>
    <w:bookmarkEnd w:id="1"/>
    <w:bookmarkEnd w:id="3"/>
    <w:p w14:paraId="47AF5EC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5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bCs/>
          <w:spacing w:val="8"/>
          <w:kern w:val="0"/>
          <w:sz w:val="32"/>
          <w:szCs w:val="32"/>
          <w:lang w:val="en-US" w:eastAsia="zh-CN"/>
        </w:rPr>
        <w:t>一是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健全自查整改长效机制。定期对公开信息的时效性、规范性开展全面核查，对发现的问题立行立改，确保公开内容准确合规。</w:t>
      </w:r>
      <w:r>
        <w:rPr>
          <w:rFonts w:hint="eastAsia" w:ascii="仿宋_GB2312" w:hAnsi="宋体" w:eastAsia="仿宋_GB2312" w:cs="宋体"/>
          <w:b/>
          <w:bCs/>
          <w:spacing w:val="8"/>
          <w:kern w:val="0"/>
          <w:sz w:val="32"/>
          <w:szCs w:val="32"/>
          <w:lang w:val="en-US" w:eastAsia="zh-CN"/>
        </w:rPr>
        <w:t>二是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提质增效政策解读工作。创新解读形式，结合本区实际进行通俗化阐释，切实提升政策解读的实效。</w:t>
      </w:r>
      <w:r>
        <w:rPr>
          <w:rFonts w:hint="eastAsia" w:ascii="仿宋_GB2312" w:hAnsi="宋体" w:eastAsia="仿宋_GB2312" w:cs="宋体"/>
          <w:b/>
          <w:bCs/>
          <w:spacing w:val="8"/>
          <w:kern w:val="0"/>
          <w:sz w:val="32"/>
          <w:szCs w:val="32"/>
          <w:lang w:val="en-US" w:eastAsia="zh-CN"/>
        </w:rPr>
        <w:t>三是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强化能力建设与内容拓展。常态化组织业务培训，夯实工作人员政务公开意识；以社会需求为导向，深化重点领域信息公开内容，丰富公开载体，全面提升政务公开工作质量。</w:t>
      </w:r>
      <w:bookmarkEnd w:id="2"/>
    </w:p>
    <w:p w14:paraId="558A8B6E">
      <w:pPr>
        <w:widowControl/>
        <w:spacing w:line="560" w:lineRule="exact"/>
        <w:ind w:firstLine="675"/>
        <w:jc w:val="left"/>
        <w:rPr>
          <w:rFonts w:ascii="宋体" w:hAnsi="宋体" w:cs="宋体"/>
          <w:spacing w:val="8"/>
          <w:kern w:val="0"/>
          <w:sz w:val="32"/>
          <w:szCs w:val="32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六、其他需要报告的事项</w:t>
      </w:r>
    </w:p>
    <w:p w14:paraId="79DB9DA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72" w:firstLineChars="200"/>
        <w:jc w:val="left"/>
        <w:textAlignment w:val="auto"/>
        <w:outlineLvl w:val="9"/>
        <w:rPr>
          <w:rFonts w:hint="eastAsia" w:ascii="仿宋_GB2312" w:hAnsi="宋体" w:eastAsia="仿宋_GB2312" w:cs="宋体"/>
          <w:color w:val="9BC2E6"/>
          <w:spacing w:val="8"/>
          <w:kern w:val="0"/>
          <w:sz w:val="32"/>
          <w:szCs w:val="32"/>
        </w:rPr>
      </w:pPr>
      <w:bookmarkStart w:id="4" w:name="OLE_LINK4"/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根据《政府信息公开信息处理费管理办法》(国办函〔2020〕109号)，2025年度北京市门头沟区农业农村局收取信息处理费情况为：发出收费通知的件数为0件，总金额为0元，实际收取的总金额为0元。</w:t>
      </w:r>
      <w:bookmarkEnd w:id="4"/>
    </w:p>
    <w:p w14:paraId="1E54CE1A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72" w:firstLineChars="200"/>
        <w:jc w:val="left"/>
        <w:textAlignment w:val="auto"/>
        <w:outlineLvl w:val="9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北京市门头沟区人民政府网站网址为https://www.bjmtg.gov.cn/，如需了解更多政府信息，请登录查询。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D816DFB-B110-4125-B479-7F8AC683C18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DD88A687-C772-4B87-A38C-AB7752BD688B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3" w:fontKey="{E3899AD2-67F7-4E36-8FE0-207B036CFF65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FA916514-07D2-4334-A3B0-5E3AC74F7EDB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CD6B1A4A-FF87-47F7-B970-C9094A09A4B2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B869AB39-609C-4CFF-A353-8E88EC9E2C34}"/>
  </w:font>
  <w:font w:name="WPSEMBED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xMzliNmJiMGViYTI1MjVhNmUzYjVhNmRlNjBiYWYifQ=="/>
    <w:docVar w:name="KSO_WPS_MARK_KEY" w:val="b46633d3-65d9-4d47-bea9-123699980ff7"/>
  </w:docVars>
  <w:rsids>
    <w:rsidRoot w:val="12EB65A5"/>
    <w:rsid w:val="00FD3172"/>
    <w:rsid w:val="01D64A65"/>
    <w:rsid w:val="0208294C"/>
    <w:rsid w:val="0339544E"/>
    <w:rsid w:val="04FD3BD8"/>
    <w:rsid w:val="05E10C5E"/>
    <w:rsid w:val="06946DFF"/>
    <w:rsid w:val="08A14FB6"/>
    <w:rsid w:val="0BA51E3B"/>
    <w:rsid w:val="0C750EF2"/>
    <w:rsid w:val="0CE317A1"/>
    <w:rsid w:val="0E00580A"/>
    <w:rsid w:val="0EE527A9"/>
    <w:rsid w:val="0FDA0AD2"/>
    <w:rsid w:val="107C4409"/>
    <w:rsid w:val="12EB65A5"/>
    <w:rsid w:val="168D73B7"/>
    <w:rsid w:val="16CD208A"/>
    <w:rsid w:val="17371930"/>
    <w:rsid w:val="174D5C54"/>
    <w:rsid w:val="19330066"/>
    <w:rsid w:val="1AF62B2F"/>
    <w:rsid w:val="1D5D6E24"/>
    <w:rsid w:val="1D9D4F02"/>
    <w:rsid w:val="20977EB3"/>
    <w:rsid w:val="20DA20A1"/>
    <w:rsid w:val="213E0B73"/>
    <w:rsid w:val="21AD09D2"/>
    <w:rsid w:val="21B53E47"/>
    <w:rsid w:val="250F0AD0"/>
    <w:rsid w:val="25871C98"/>
    <w:rsid w:val="25925A3F"/>
    <w:rsid w:val="25B25B45"/>
    <w:rsid w:val="27690511"/>
    <w:rsid w:val="299B02DB"/>
    <w:rsid w:val="2CAB7634"/>
    <w:rsid w:val="2E1B49FC"/>
    <w:rsid w:val="2EB35BD6"/>
    <w:rsid w:val="2EEE1E6F"/>
    <w:rsid w:val="2F2D192B"/>
    <w:rsid w:val="2FDA0C20"/>
    <w:rsid w:val="305D48EB"/>
    <w:rsid w:val="325B56DA"/>
    <w:rsid w:val="3330627F"/>
    <w:rsid w:val="341472E4"/>
    <w:rsid w:val="3429281F"/>
    <w:rsid w:val="37643766"/>
    <w:rsid w:val="38654AFD"/>
    <w:rsid w:val="3CC44440"/>
    <w:rsid w:val="3E2F7F7D"/>
    <w:rsid w:val="3E485EE8"/>
    <w:rsid w:val="3EAB7648"/>
    <w:rsid w:val="41C84191"/>
    <w:rsid w:val="43C3422A"/>
    <w:rsid w:val="46322CD4"/>
    <w:rsid w:val="48475164"/>
    <w:rsid w:val="49E10554"/>
    <w:rsid w:val="4A8F0BAF"/>
    <w:rsid w:val="4DC23FB1"/>
    <w:rsid w:val="4F3847BE"/>
    <w:rsid w:val="568703A6"/>
    <w:rsid w:val="57D351A3"/>
    <w:rsid w:val="587D02CA"/>
    <w:rsid w:val="595069FE"/>
    <w:rsid w:val="5C642C89"/>
    <w:rsid w:val="5D20065F"/>
    <w:rsid w:val="5EA57468"/>
    <w:rsid w:val="5FD760D2"/>
    <w:rsid w:val="60BC260E"/>
    <w:rsid w:val="613C683F"/>
    <w:rsid w:val="61723263"/>
    <w:rsid w:val="643F20FC"/>
    <w:rsid w:val="696940D4"/>
    <w:rsid w:val="6B4E68CB"/>
    <w:rsid w:val="6DFF92D7"/>
    <w:rsid w:val="6E6009F6"/>
    <w:rsid w:val="70DF1580"/>
    <w:rsid w:val="7C792090"/>
    <w:rsid w:val="7CF222E5"/>
    <w:rsid w:val="7DA21885"/>
    <w:rsid w:val="7E3067F9"/>
    <w:rsid w:val="7EF7E223"/>
    <w:rsid w:val="7FB93E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paragraph" w:customStyle="1" w:styleId="9">
    <w:name w:val="列出段落1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区委办公室</Company>
  <Pages>6</Pages>
  <Words>2357</Words>
  <Characters>2422</Characters>
  <Lines>0</Lines>
  <Paragraphs>0</Paragraphs>
  <TotalTime>7</TotalTime>
  <ScaleCrop>false</ScaleCrop>
  <LinksUpToDate>false</LinksUpToDate>
  <CharactersWithSpaces>2591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2022-12-29T12:05:00Z</dcterms:created>
  <dc:creator>MRX</dc:creator>
  <cp:lastModifiedBy>Mint1398171869</cp:lastModifiedBy>
  <dcterms:modified xsi:type="dcterms:W3CDTF">2026-01-15T07:05:05Z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A585DB62CEBF4927B113DDAA5DCB1E75_13</vt:lpwstr>
  </property>
  <property fmtid="{D5CDD505-2E9C-101B-9397-08002B2CF9AE}" pid="4" name="KSOTemplateDocerSaveRecord">
    <vt:lpwstr>eyJoZGlkIjoiMDdmNjUwM2Y1NDNmOWE2YzU2MTgyNGU5OGRlNTRlMDciLCJ1c2VySWQiOiIxNDYxNjAxNCJ9</vt:lpwstr>
  </property>
</Properties>
</file>