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EE5A94">
      <w:pPr>
        <w:pStyle w:val="2"/>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北京市门头沟区潭柘寺镇2024年</w:t>
      </w:r>
    </w:p>
    <w:p w14:paraId="6F72DB6B">
      <w:pPr>
        <w:pStyle w:val="2"/>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default" w:ascii="Arial" w:hAnsi="Arial" w:eastAsia="仿宋_GB2312" w:cs="Arial"/>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法治政府建设情况报告</w:t>
      </w:r>
    </w:p>
    <w:p w14:paraId="35F1BFFE">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val="en-US" w:eastAsia="zh-CN"/>
        </w:rPr>
      </w:pPr>
    </w:p>
    <w:p w14:paraId="5A3A34FC">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lang w:val="en-US" w:eastAsia="zh-CN"/>
        </w:rPr>
        <w:t>2024年，潭柘寺镇</w:t>
      </w:r>
      <w:r>
        <w:rPr>
          <w:rFonts w:hint="eastAsia" w:ascii="仿宋_GB2312" w:hAnsi="仿宋_GB2312" w:eastAsia="仿宋_GB2312" w:cs="仿宋_GB2312"/>
          <w:sz w:val="32"/>
          <w:szCs w:val="32"/>
        </w:rPr>
        <w:t>坚持以习近平新时代中国特色社会主义思想为指导，全面贯彻落实党的二十大和二十届三中全会精神，深入贯彻落实习近平法治思想，紧紧围绕区委区政府中心工作和</w:t>
      </w:r>
      <w:r>
        <w:rPr>
          <w:rFonts w:hint="eastAsia" w:ascii="仿宋_GB2312" w:hAnsi="仿宋_GB2312" w:eastAsia="仿宋_GB2312" w:cs="仿宋_GB2312"/>
          <w:sz w:val="32"/>
          <w:szCs w:val="32"/>
          <w:lang w:val="en-US" w:eastAsia="zh-CN"/>
        </w:rPr>
        <w:t>法治政府示范创建</w:t>
      </w:r>
      <w:r>
        <w:rPr>
          <w:rFonts w:hint="eastAsia" w:ascii="仿宋_GB2312" w:hAnsi="仿宋_GB2312" w:eastAsia="仿宋_GB2312" w:cs="仿宋_GB2312"/>
          <w:sz w:val="32"/>
          <w:szCs w:val="32"/>
        </w:rPr>
        <w:t>重点任务，打造法治化营商环境高地，以法治护航</w:t>
      </w:r>
      <w:r>
        <w:rPr>
          <w:rFonts w:hint="eastAsia" w:ascii="仿宋_GB2312" w:hAnsi="仿宋_GB2312" w:eastAsia="仿宋_GB2312" w:cs="仿宋_GB2312"/>
          <w:sz w:val="32"/>
          <w:szCs w:val="32"/>
          <w:lang w:val="en-US" w:eastAsia="zh-CN"/>
        </w:rPr>
        <w:t>绿色</w:t>
      </w:r>
      <w:r>
        <w:rPr>
          <w:rFonts w:hint="eastAsia" w:ascii="仿宋_GB2312" w:hAnsi="仿宋_GB2312" w:eastAsia="仿宋_GB2312" w:cs="仿宋_GB2312"/>
          <w:sz w:val="32"/>
          <w:szCs w:val="32"/>
        </w:rPr>
        <w:t>高质量发展。现将</w:t>
      </w:r>
      <w:r>
        <w:rPr>
          <w:rFonts w:hint="eastAsia" w:ascii="仿宋_GB2312" w:hAnsi="仿宋_GB2312" w:eastAsia="仿宋_GB2312" w:cs="仿宋_GB2312"/>
          <w:sz w:val="32"/>
          <w:szCs w:val="32"/>
          <w:lang w:val="en-US" w:eastAsia="zh-CN"/>
        </w:rPr>
        <w:t>有关情况报告</w:t>
      </w:r>
      <w:r>
        <w:rPr>
          <w:rFonts w:hint="eastAsia" w:ascii="仿宋_GB2312" w:hAnsi="仿宋_GB2312" w:eastAsia="仿宋_GB2312" w:cs="仿宋_GB2312"/>
          <w:sz w:val="32"/>
          <w:szCs w:val="32"/>
        </w:rPr>
        <w:t>如下</w:t>
      </w:r>
      <w:r>
        <w:rPr>
          <w:rFonts w:hint="eastAsia" w:ascii="仿宋_GB2312" w:hAnsi="仿宋_GB2312" w:eastAsia="仿宋_GB2312" w:cs="仿宋_GB2312"/>
          <w:sz w:val="32"/>
          <w:szCs w:val="32"/>
          <w:lang w:eastAsia="zh-CN"/>
        </w:rPr>
        <w:t>。</w:t>
      </w:r>
    </w:p>
    <w:p w14:paraId="019AEE96">
      <w:pPr>
        <w:keepNext w:val="0"/>
        <w:keepLines w:val="0"/>
        <w:pageBreakBefore w:val="0"/>
        <w:widowControl w:val="0"/>
        <w:kinsoku/>
        <w:wordWrap/>
        <w:overflowPunct/>
        <w:topLinePunct w:val="0"/>
        <w:autoSpaceDE/>
        <w:autoSpaceDN/>
        <w:bidi w:val="0"/>
        <w:adjustRightInd w:val="0"/>
        <w:snapToGrid w:val="0"/>
        <w:spacing w:before="292" w:beforeLines="50" w:line="560" w:lineRule="exact"/>
        <w:ind w:firstLine="632"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color w:val="000000"/>
          <w:sz w:val="32"/>
          <w:szCs w:val="32"/>
          <w:lang w:val="en-US" w:eastAsia="zh-CN"/>
        </w:rPr>
        <w:t>一、2024年推进法治政府建设的主要举措和成效</w:t>
      </w:r>
    </w:p>
    <w:p w14:paraId="2742D8F6">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val="en-US" w:eastAsia="zh-CN"/>
        </w:rPr>
        <w:t>（一）坚持政治引领，持续压实法治建设责任</w:t>
      </w:r>
    </w:p>
    <w:p w14:paraId="6CC99744">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潭柘寺镇</w:t>
      </w:r>
      <w:r>
        <w:rPr>
          <w:rFonts w:hint="eastAsia" w:ascii="仿宋_GB2312" w:hAnsi="仿宋_GB2312" w:eastAsia="仿宋_GB2312" w:cs="仿宋_GB2312"/>
          <w:sz w:val="32"/>
          <w:szCs w:val="32"/>
        </w:rPr>
        <w:t>始终坚持将学习宣传贯彻习近平法治思想摆在突出位置，常抓不懈。党政</w:t>
      </w:r>
      <w:r>
        <w:rPr>
          <w:rFonts w:hint="eastAsia" w:ascii="仿宋_GB2312" w:hAnsi="仿宋_GB2312" w:eastAsia="仿宋_GB2312" w:cs="仿宋_GB2312"/>
          <w:sz w:val="32"/>
          <w:szCs w:val="32"/>
          <w:lang w:val="en-US" w:eastAsia="zh-CN"/>
        </w:rPr>
        <w:t>主要负责人</w:t>
      </w:r>
      <w:r>
        <w:rPr>
          <w:rFonts w:hint="eastAsia" w:ascii="仿宋_GB2312" w:hAnsi="仿宋_GB2312" w:eastAsia="仿宋_GB2312" w:cs="仿宋_GB2312"/>
          <w:sz w:val="32"/>
          <w:szCs w:val="32"/>
        </w:rPr>
        <w:t>带头深入学习贯彻落实习近平法治思想，将习近平法治思想纳入</w:t>
      </w:r>
      <w:r>
        <w:rPr>
          <w:rFonts w:hint="eastAsia" w:ascii="仿宋_GB2312" w:hAnsi="仿宋_GB2312" w:eastAsia="仿宋_GB2312" w:cs="仿宋_GB2312"/>
          <w:sz w:val="32"/>
          <w:szCs w:val="32"/>
          <w:lang w:val="en-US" w:eastAsia="zh-CN"/>
        </w:rPr>
        <w:t>党委理论学习</w:t>
      </w:r>
      <w:r>
        <w:rPr>
          <w:rFonts w:hint="eastAsia" w:ascii="仿宋_GB2312" w:hAnsi="仿宋_GB2312" w:eastAsia="仿宋_GB2312" w:cs="仿宋_GB2312"/>
          <w:sz w:val="32"/>
          <w:szCs w:val="32"/>
        </w:rPr>
        <w:t>中心组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政府办公会</w:t>
      </w:r>
      <w:r>
        <w:rPr>
          <w:rFonts w:hint="eastAsia" w:ascii="仿宋_GB2312" w:hAnsi="仿宋_GB2312" w:eastAsia="仿宋_GB2312" w:cs="仿宋_GB2312"/>
          <w:sz w:val="32"/>
          <w:szCs w:val="32"/>
        </w:rPr>
        <w:t>必学内容，纳入领导</w:t>
      </w:r>
      <w:r>
        <w:rPr>
          <w:rFonts w:hint="eastAsia" w:ascii="仿宋_GB2312" w:hAnsi="仿宋_GB2312" w:eastAsia="仿宋_GB2312" w:cs="仿宋_GB2312"/>
          <w:sz w:val="32"/>
          <w:szCs w:val="32"/>
          <w:lang w:val="en-US" w:eastAsia="zh-CN"/>
        </w:rPr>
        <w:t>班子</w:t>
      </w:r>
      <w:r>
        <w:rPr>
          <w:rFonts w:hint="eastAsia" w:ascii="仿宋_GB2312" w:hAnsi="仿宋_GB2312" w:eastAsia="仿宋_GB2312" w:cs="仿宋_GB2312"/>
          <w:sz w:val="32"/>
          <w:szCs w:val="32"/>
        </w:rPr>
        <w:t>和</w:t>
      </w:r>
      <w:r>
        <w:rPr>
          <w:rFonts w:hint="eastAsia" w:ascii="仿宋_GB2312" w:hAnsi="仿宋_GB2312" w:eastAsia="仿宋_GB2312" w:cs="仿宋_GB2312"/>
          <w:sz w:val="32"/>
          <w:szCs w:val="32"/>
          <w:lang w:val="en-US" w:eastAsia="zh-CN"/>
        </w:rPr>
        <w:t>机关干部</w:t>
      </w:r>
      <w:r>
        <w:rPr>
          <w:rFonts w:hint="eastAsia" w:ascii="仿宋_GB2312" w:hAnsi="仿宋_GB2312" w:eastAsia="仿宋_GB2312" w:cs="仿宋_GB2312"/>
          <w:sz w:val="32"/>
          <w:szCs w:val="32"/>
        </w:rPr>
        <w:t>日常学法制度当中。严格落实司法所长列席</w:t>
      </w:r>
      <w:r>
        <w:rPr>
          <w:rFonts w:hint="eastAsia" w:ascii="仿宋_GB2312" w:hAnsi="仿宋_GB2312" w:eastAsia="仿宋_GB2312" w:cs="仿宋_GB2312"/>
          <w:sz w:val="32"/>
          <w:szCs w:val="32"/>
          <w:lang w:val="en-US" w:eastAsia="zh-CN"/>
        </w:rPr>
        <w:t>党委会、政府</w:t>
      </w:r>
      <w:r>
        <w:rPr>
          <w:rFonts w:hint="eastAsia" w:ascii="仿宋_GB2312" w:hAnsi="仿宋_GB2312" w:eastAsia="仿宋_GB2312" w:cs="仿宋_GB2312"/>
          <w:sz w:val="32"/>
          <w:szCs w:val="32"/>
        </w:rPr>
        <w:t>办公会制度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定期听取法治政府建设专题汇报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党政主要领导注重加强领导班子和机关</w:t>
      </w:r>
      <w:r>
        <w:rPr>
          <w:rFonts w:hint="eastAsia" w:ascii="仿宋_GB2312" w:hAnsi="仿宋_GB2312" w:eastAsia="仿宋_GB2312" w:cs="仿宋_GB2312"/>
          <w:sz w:val="32"/>
          <w:szCs w:val="32"/>
          <w:lang w:val="en-US" w:eastAsia="zh-CN"/>
        </w:rPr>
        <w:t>干部</w:t>
      </w:r>
      <w:r>
        <w:rPr>
          <w:rFonts w:hint="eastAsia" w:ascii="仿宋_GB2312" w:hAnsi="仿宋_GB2312" w:eastAsia="仿宋_GB2312" w:cs="仿宋_GB2312"/>
          <w:sz w:val="32"/>
          <w:szCs w:val="32"/>
        </w:rPr>
        <w:t>的法治教育，带头述法，不断提升</w:t>
      </w:r>
      <w:r>
        <w:rPr>
          <w:rFonts w:hint="eastAsia" w:ascii="仿宋_GB2312" w:hAnsi="仿宋_GB2312" w:eastAsia="仿宋_GB2312" w:cs="仿宋_GB2312"/>
          <w:sz w:val="32"/>
          <w:szCs w:val="32"/>
          <w:lang w:val="en-US" w:eastAsia="zh-CN"/>
        </w:rPr>
        <w:t>机关</w:t>
      </w:r>
      <w:r>
        <w:rPr>
          <w:rFonts w:hint="eastAsia" w:ascii="仿宋_GB2312" w:hAnsi="仿宋_GB2312" w:eastAsia="仿宋_GB2312" w:cs="仿宋_GB2312"/>
          <w:sz w:val="32"/>
          <w:szCs w:val="32"/>
        </w:rPr>
        <w:t>全体人员法治意识和法治素养。</w:t>
      </w:r>
      <w:r>
        <w:rPr>
          <w:rFonts w:hint="eastAsia" w:ascii="仿宋_GB2312" w:hAnsi="仿宋_GB2312" w:eastAsia="仿宋_GB2312" w:cs="仿宋_GB2312"/>
          <w:sz w:val="32"/>
          <w:szCs w:val="32"/>
          <w:lang w:val="en-US" w:eastAsia="zh-CN"/>
        </w:rPr>
        <w:t>2024年，</w:t>
      </w:r>
      <w:r>
        <w:rPr>
          <w:rFonts w:hint="eastAsia" w:ascii="仿宋_GB2312" w:hAnsi="仿宋_GB2312" w:eastAsia="仿宋_GB2312" w:cs="仿宋_GB2312"/>
          <w:color w:val="000000"/>
          <w:sz w:val="32"/>
          <w:szCs w:val="32"/>
          <w:highlight w:val="none"/>
          <w:lang w:val="en-US" w:eastAsia="zh-CN"/>
        </w:rPr>
        <w:t>我镇共召开学习、研究、部署法治工作的专题会</w:t>
      </w:r>
      <w:r>
        <w:rPr>
          <w:rFonts w:hint="eastAsia" w:ascii="仿宋_GB2312" w:hAnsi="仿宋_GB2312" w:eastAsia="仿宋_GB2312" w:cs="仿宋_GB2312"/>
          <w:b w:val="0"/>
          <w:bCs w:val="0"/>
          <w:color w:val="000000"/>
          <w:sz w:val="32"/>
          <w:szCs w:val="32"/>
          <w:highlight w:val="none"/>
          <w:lang w:val="en-US" w:eastAsia="zh-CN"/>
        </w:rPr>
        <w:t>议3次</w:t>
      </w:r>
      <w:r>
        <w:rPr>
          <w:rFonts w:hint="eastAsia" w:ascii="仿宋_GB2312" w:hAnsi="仿宋_GB2312" w:eastAsia="仿宋_GB2312" w:cs="仿宋_GB2312"/>
          <w:color w:val="000000"/>
          <w:sz w:val="32"/>
          <w:szCs w:val="32"/>
          <w:highlight w:val="none"/>
          <w:lang w:val="en-US" w:eastAsia="zh-CN"/>
        </w:rPr>
        <w:t>，党委中心组学法</w:t>
      </w:r>
      <w:r>
        <w:rPr>
          <w:rFonts w:hint="eastAsia" w:ascii="仿宋_GB2312" w:hAnsi="仿宋_GB2312" w:eastAsia="仿宋_GB2312" w:cs="仿宋_GB2312"/>
          <w:b w:val="0"/>
          <w:bCs w:val="0"/>
          <w:color w:val="000000"/>
          <w:sz w:val="32"/>
          <w:szCs w:val="32"/>
          <w:highlight w:val="none"/>
          <w:lang w:val="en-US" w:eastAsia="zh-CN"/>
        </w:rPr>
        <w:t>4次，政府办公会会前学法4次</w:t>
      </w:r>
      <w:r>
        <w:rPr>
          <w:rFonts w:hint="eastAsia" w:ascii="仿宋_GB2312" w:hAnsi="仿宋_GB2312" w:eastAsia="仿宋_GB2312" w:cs="仿宋_GB2312"/>
          <w:color w:val="000000"/>
          <w:sz w:val="32"/>
          <w:szCs w:val="32"/>
          <w:highlight w:val="none"/>
          <w:lang w:val="en-US" w:eastAsia="zh-CN"/>
        </w:rPr>
        <w:t>，邀请法学专家、专职律师进机关4次，开展</w:t>
      </w:r>
      <w:r>
        <w:rPr>
          <w:rFonts w:hint="eastAsia" w:ascii="仿宋_GB2312" w:hAnsi="仿宋_GB2312" w:eastAsia="仿宋_GB2312" w:cs="仿宋_GB2312"/>
          <w:b w:val="0"/>
          <w:bCs w:val="0"/>
          <w:color w:val="000000"/>
          <w:sz w:val="32"/>
          <w:szCs w:val="32"/>
          <w:highlight w:val="none"/>
          <w:lang w:val="en-US" w:eastAsia="zh-CN"/>
        </w:rPr>
        <w:t>法治讲座4次</w:t>
      </w:r>
      <w:r>
        <w:rPr>
          <w:rFonts w:hint="eastAsia" w:ascii="仿宋_GB2312" w:hAnsi="仿宋_GB2312" w:eastAsia="仿宋_GB2312" w:cs="仿宋_GB2312"/>
          <w:b/>
          <w:bCs/>
          <w:color w:val="000000"/>
          <w:sz w:val="32"/>
          <w:szCs w:val="32"/>
          <w:highlight w:val="none"/>
          <w:lang w:val="en-US" w:eastAsia="zh-CN"/>
        </w:rPr>
        <w:t>，</w:t>
      </w:r>
      <w:r>
        <w:rPr>
          <w:rFonts w:hint="eastAsia" w:ascii="仿宋_GB2312" w:hAnsi="仿宋_GB2312" w:eastAsia="仿宋_GB2312" w:cs="仿宋_GB2312"/>
          <w:color w:val="000000"/>
          <w:sz w:val="32"/>
          <w:szCs w:val="32"/>
          <w:highlight w:val="none"/>
          <w:lang w:val="en-US" w:eastAsia="zh-CN"/>
        </w:rPr>
        <w:t>领导干部法治意识不断更新提升。</w:t>
      </w:r>
    </w:p>
    <w:p w14:paraId="348238AE">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val="en-US" w:eastAsia="zh-CN"/>
        </w:rPr>
        <w:t>（二）依法全面履职，深入推进法治政府建设</w:t>
      </w:r>
    </w:p>
    <w:p w14:paraId="6DF55DAF">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bookmarkStart w:id="0" w:name="_GoBack"/>
      <w:bookmarkEnd w:id="0"/>
      <w:r>
        <w:rPr>
          <w:rFonts w:hint="eastAsia" w:ascii="仿宋_GB2312" w:hAnsi="仿宋_GB2312" w:cs="仿宋_GB2312"/>
          <w:b/>
          <w:bCs/>
          <w:sz w:val="32"/>
          <w:szCs w:val="32"/>
          <w:lang w:val="en-US" w:eastAsia="zh-CN"/>
        </w:rPr>
        <w:t>1.</w:t>
      </w:r>
      <w:r>
        <w:rPr>
          <w:rFonts w:hint="eastAsia" w:ascii="仿宋_GB2312" w:hAnsi="仿宋_GB2312" w:eastAsia="仿宋_GB2312" w:cs="仿宋_GB2312"/>
          <w:b/>
          <w:bCs/>
          <w:sz w:val="32"/>
          <w:szCs w:val="32"/>
        </w:rPr>
        <w:t>提高依法行政决策水平。</w:t>
      </w:r>
      <w:r>
        <w:rPr>
          <w:rFonts w:hint="eastAsia" w:ascii="仿宋_GB2312" w:hAnsi="仿宋_GB2312" w:eastAsia="仿宋_GB2312" w:cs="仿宋_GB2312"/>
          <w:sz w:val="32"/>
          <w:szCs w:val="32"/>
          <w:lang w:val="en-US" w:eastAsia="zh-CN"/>
        </w:rPr>
        <w:t>完善优化</w:t>
      </w:r>
      <w:r>
        <w:rPr>
          <w:rFonts w:hint="eastAsia" w:ascii="仿宋_GB2312" w:hAnsi="仿宋_GB2312" w:eastAsia="仿宋_GB2312" w:cs="仿宋_GB2312"/>
          <w:sz w:val="32"/>
          <w:szCs w:val="32"/>
        </w:rPr>
        <w:t>法律顾问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公职律师</w:t>
      </w:r>
      <w:r>
        <w:rPr>
          <w:rFonts w:hint="eastAsia" w:ascii="仿宋_GB2312" w:hAnsi="仿宋_GB2312" w:eastAsia="仿宋_GB2312" w:cs="仿宋_GB2312"/>
          <w:sz w:val="32"/>
          <w:szCs w:val="32"/>
        </w:rPr>
        <w:t>制度，确保法律顾问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公职律师</w:t>
      </w:r>
      <w:r>
        <w:rPr>
          <w:rFonts w:hint="eastAsia" w:ascii="仿宋_GB2312" w:hAnsi="仿宋_GB2312" w:eastAsia="仿宋_GB2312" w:cs="仿宋_GB2312"/>
          <w:sz w:val="32"/>
          <w:szCs w:val="32"/>
        </w:rPr>
        <w:t>在政府重大行政决策、法律事务处理中发挥积极作用。落实司法所长列席</w:t>
      </w:r>
      <w:r>
        <w:rPr>
          <w:rFonts w:hint="eastAsia" w:ascii="仿宋_GB2312" w:hAnsi="仿宋_GB2312" w:eastAsia="仿宋_GB2312" w:cs="仿宋_GB2312"/>
          <w:sz w:val="32"/>
          <w:szCs w:val="32"/>
          <w:lang w:val="en-US" w:eastAsia="zh-CN"/>
        </w:rPr>
        <w:t>政府</w:t>
      </w:r>
      <w:r>
        <w:rPr>
          <w:rFonts w:hint="eastAsia" w:ascii="仿宋_GB2312" w:hAnsi="仿宋_GB2312" w:eastAsia="仿宋_GB2312" w:cs="仿宋_GB2312"/>
          <w:sz w:val="32"/>
          <w:szCs w:val="32"/>
        </w:rPr>
        <w:t>办公会制度，为</w:t>
      </w:r>
      <w:r>
        <w:rPr>
          <w:rFonts w:hint="eastAsia" w:ascii="仿宋_GB2312" w:hAnsi="仿宋_GB2312" w:eastAsia="仿宋_GB2312" w:cs="仿宋_GB2312"/>
          <w:sz w:val="32"/>
          <w:szCs w:val="32"/>
          <w:lang w:val="en-US" w:eastAsia="zh-CN"/>
        </w:rPr>
        <w:t>我镇</w:t>
      </w:r>
      <w:r>
        <w:rPr>
          <w:rFonts w:hint="eastAsia" w:ascii="仿宋_GB2312" w:hAnsi="仿宋_GB2312" w:eastAsia="仿宋_GB2312" w:cs="仿宋_GB2312"/>
          <w:sz w:val="32"/>
          <w:szCs w:val="32"/>
        </w:rPr>
        <w:t>的依法决策、依法行政提供法律</w:t>
      </w:r>
      <w:r>
        <w:rPr>
          <w:rFonts w:hint="eastAsia" w:ascii="仿宋_GB2312" w:hAnsi="仿宋_GB2312" w:eastAsia="仿宋_GB2312" w:cs="仿宋_GB2312"/>
          <w:sz w:val="32"/>
          <w:szCs w:val="32"/>
          <w:lang w:val="en-US" w:eastAsia="zh-CN"/>
        </w:rPr>
        <w:t>参谋。</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司法所长列席政府办公会</w:t>
      </w:r>
      <w:r>
        <w:rPr>
          <w:rFonts w:hint="eastAsia" w:ascii="仿宋_GB2312" w:hAnsi="仿宋_GB2312" w:eastAsia="仿宋_GB2312" w:cs="仿宋_GB2312"/>
          <w:b w:val="0"/>
          <w:bCs w:val="0"/>
          <w:sz w:val="32"/>
          <w:szCs w:val="32"/>
          <w:lang w:val="en-US" w:eastAsia="zh-CN"/>
        </w:rPr>
        <w:t>28次</w:t>
      </w:r>
      <w:r>
        <w:rPr>
          <w:rFonts w:hint="eastAsia" w:ascii="仿宋_GB2312" w:hAnsi="仿宋_GB2312" w:eastAsia="仿宋_GB2312" w:cs="仿宋_GB2312"/>
          <w:sz w:val="32"/>
          <w:szCs w:val="32"/>
          <w:lang w:val="en-US" w:eastAsia="zh-CN"/>
        </w:rPr>
        <w:t>，列席率达100%，法律顾问、公职律师</w:t>
      </w:r>
      <w:r>
        <w:rPr>
          <w:rFonts w:hint="eastAsia" w:ascii="仿宋_GB2312" w:hAnsi="仿宋_GB2312" w:eastAsia="仿宋_GB2312" w:cs="仿宋_GB2312"/>
          <w:sz w:val="32"/>
          <w:szCs w:val="32"/>
        </w:rPr>
        <w:t>参与处理信息公开</w:t>
      </w:r>
      <w:r>
        <w:rPr>
          <w:rFonts w:hint="eastAsia" w:ascii="仿宋_GB2312" w:hAnsi="仿宋_GB2312" w:eastAsia="仿宋_GB2312" w:cs="仿宋_GB2312"/>
          <w:b w:val="0"/>
          <w:bCs w:val="0"/>
          <w:sz w:val="32"/>
          <w:szCs w:val="32"/>
          <w:lang w:val="en-US" w:eastAsia="zh-CN"/>
        </w:rPr>
        <w:t>9</w:t>
      </w:r>
      <w:r>
        <w:rPr>
          <w:rFonts w:hint="eastAsia" w:ascii="仿宋_GB2312" w:hAnsi="仿宋_GB2312" w:eastAsia="仿宋_GB2312" w:cs="仿宋_GB2312"/>
          <w:b w:val="0"/>
          <w:bCs w:val="0"/>
          <w:sz w:val="32"/>
          <w:szCs w:val="32"/>
        </w:rPr>
        <w:t>起</w:t>
      </w:r>
      <w:r>
        <w:rPr>
          <w:rFonts w:hint="eastAsia" w:ascii="仿宋_GB2312" w:hAnsi="仿宋_GB2312" w:eastAsia="仿宋_GB2312" w:cs="仿宋_GB2312"/>
          <w:sz w:val="32"/>
          <w:szCs w:val="32"/>
        </w:rPr>
        <w:t>，出具法律意见书及</w:t>
      </w:r>
      <w:r>
        <w:rPr>
          <w:rFonts w:hint="eastAsia" w:ascii="仿宋_GB2312" w:hAnsi="仿宋_GB2312" w:eastAsia="仿宋_GB2312" w:cs="仿宋_GB2312"/>
          <w:sz w:val="32"/>
          <w:szCs w:val="32"/>
          <w:lang w:val="en-US" w:eastAsia="zh-CN"/>
        </w:rPr>
        <w:t>审查</w:t>
      </w:r>
      <w:r>
        <w:rPr>
          <w:rFonts w:hint="eastAsia" w:ascii="仿宋_GB2312" w:hAnsi="仿宋_GB2312" w:eastAsia="仿宋_GB2312" w:cs="仿宋_GB2312"/>
          <w:sz w:val="32"/>
          <w:szCs w:val="32"/>
        </w:rPr>
        <w:t>合同</w:t>
      </w:r>
      <w:r>
        <w:rPr>
          <w:rFonts w:hint="eastAsia" w:ascii="仿宋_GB2312" w:hAnsi="仿宋_GB2312" w:eastAsia="仿宋_GB2312" w:cs="仿宋_GB2312"/>
          <w:b w:val="0"/>
          <w:bCs w:val="0"/>
          <w:sz w:val="32"/>
          <w:szCs w:val="32"/>
          <w:lang w:val="en-US" w:eastAsia="zh-CN"/>
        </w:rPr>
        <w:t>106</w:t>
      </w:r>
      <w:r>
        <w:rPr>
          <w:rFonts w:hint="eastAsia" w:ascii="仿宋_GB2312" w:hAnsi="仿宋_GB2312" w:eastAsia="仿宋_GB2312" w:cs="仿宋_GB2312"/>
          <w:b w:val="0"/>
          <w:bCs w:val="0"/>
          <w:sz w:val="32"/>
          <w:szCs w:val="32"/>
        </w:rPr>
        <w:t>份</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提出意见建议316条</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color w:val="000000" w:themeColor="text1"/>
          <w:sz w:val="32"/>
          <w:szCs w:val="32"/>
          <w14:textFill>
            <w14:solidFill>
              <w14:schemeClr w14:val="tx1"/>
            </w14:solidFill>
          </w14:textFill>
        </w:rPr>
        <w:t>特别在应对</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灾后重建</w:t>
      </w:r>
      <w:r>
        <w:rPr>
          <w:rFonts w:hint="eastAsia" w:ascii="仿宋_GB2312" w:hAnsi="仿宋_GB2312" w:eastAsia="仿宋_GB2312" w:cs="仿宋_GB2312"/>
          <w:b w:val="0"/>
          <w:bCs w:val="0"/>
          <w:color w:val="000000" w:themeColor="text1"/>
          <w:sz w:val="32"/>
          <w:szCs w:val="32"/>
          <w14:textFill>
            <w14:solidFill>
              <w14:schemeClr w14:val="tx1"/>
            </w14:solidFill>
          </w14:textFill>
        </w:rPr>
        <w:t>、</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异地安置搬迁</w:t>
      </w:r>
      <w:r>
        <w:rPr>
          <w:rFonts w:hint="eastAsia" w:ascii="仿宋_GB2312" w:hAnsi="仿宋_GB2312" w:eastAsia="仿宋_GB2312" w:cs="仿宋_GB2312"/>
          <w:b w:val="0"/>
          <w:bCs w:val="0"/>
          <w:color w:val="000000" w:themeColor="text1"/>
          <w:sz w:val="32"/>
          <w:szCs w:val="32"/>
          <w14:textFill>
            <w14:solidFill>
              <w14:schemeClr w14:val="tx1"/>
            </w14:solidFill>
          </w14:textFill>
        </w:rPr>
        <w:t>等重点工作中提供法律服务与支撑</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200余</w:t>
      </w:r>
      <w:r>
        <w:rPr>
          <w:rFonts w:hint="eastAsia" w:ascii="仿宋_GB2312" w:hAnsi="仿宋_GB2312" w:eastAsia="仿宋_GB2312" w:cs="仿宋_GB2312"/>
          <w:b w:val="0"/>
          <w:bCs w:val="0"/>
          <w:color w:val="000000" w:themeColor="text1"/>
          <w:sz w:val="32"/>
          <w:szCs w:val="32"/>
          <w14:textFill>
            <w14:solidFill>
              <w14:schemeClr w14:val="tx1"/>
            </w14:solidFill>
          </w14:textFill>
        </w:rPr>
        <w:t>次</w:t>
      </w:r>
      <w:r>
        <w:rPr>
          <w:rFonts w:hint="eastAsia" w:ascii="仿宋_GB2312" w:hAnsi="仿宋_GB2312" w:eastAsia="仿宋_GB2312" w:cs="仿宋_GB2312"/>
          <w:sz w:val="32"/>
          <w:szCs w:val="32"/>
        </w:rPr>
        <w:t>。</w:t>
      </w:r>
    </w:p>
    <w:p w14:paraId="49E01B2F">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b/>
          <w:bCs/>
          <w:sz w:val="32"/>
          <w:szCs w:val="32"/>
          <w:lang w:val="en-US" w:eastAsia="zh-CN"/>
        </w:rPr>
        <w:t>2.</w:t>
      </w:r>
      <w:r>
        <w:rPr>
          <w:rFonts w:hint="eastAsia" w:ascii="仿宋_GB2312" w:hAnsi="仿宋_GB2312" w:eastAsia="仿宋_GB2312" w:cs="仿宋_GB2312"/>
          <w:b/>
          <w:bCs/>
          <w:sz w:val="32"/>
          <w:szCs w:val="32"/>
        </w:rPr>
        <w:t>规范行政执法行为。</w:t>
      </w:r>
      <w:r>
        <w:rPr>
          <w:rFonts w:hint="eastAsia" w:ascii="仿宋_GB2312" w:hAnsi="仿宋_GB2312" w:eastAsia="仿宋_GB2312" w:cs="仿宋_GB2312"/>
          <w:sz w:val="32"/>
          <w:szCs w:val="32"/>
        </w:rPr>
        <w:t>严格规范</w:t>
      </w:r>
      <w:r>
        <w:rPr>
          <w:rFonts w:hint="eastAsia" w:ascii="仿宋_GB2312" w:hAnsi="仿宋_GB2312" w:eastAsia="仿宋_GB2312" w:cs="仿宋_GB2312"/>
          <w:sz w:val="32"/>
          <w:szCs w:val="32"/>
          <w:lang w:val="en-US" w:eastAsia="zh-CN"/>
        </w:rPr>
        <w:t>我镇</w:t>
      </w:r>
      <w:r>
        <w:rPr>
          <w:rFonts w:hint="eastAsia" w:ascii="仿宋_GB2312" w:hAnsi="仿宋_GB2312" w:eastAsia="仿宋_GB2312" w:cs="仿宋_GB2312"/>
          <w:sz w:val="32"/>
          <w:szCs w:val="32"/>
        </w:rPr>
        <w:t>行政执法检查、受理、立案、调查、审查、决定程序，进一步完善行政执法公示制度，行政执法全过程记录制度和重大行政执法决定法制审核制度。依法开展执法决定法制审核，针对</w:t>
      </w:r>
      <w:r>
        <w:rPr>
          <w:rFonts w:hint="eastAsia" w:ascii="仿宋_GB2312" w:hAnsi="仿宋_GB2312" w:eastAsia="仿宋_GB2312" w:cs="仿宋_GB2312"/>
          <w:sz w:val="32"/>
          <w:szCs w:val="32"/>
          <w:lang w:val="en-US" w:eastAsia="zh-CN"/>
        </w:rPr>
        <w:t>复杂</w:t>
      </w:r>
      <w:r>
        <w:rPr>
          <w:rFonts w:hint="eastAsia" w:ascii="仿宋_GB2312" w:hAnsi="仿宋_GB2312" w:eastAsia="仿宋_GB2312" w:cs="仿宋_GB2312"/>
          <w:sz w:val="32"/>
          <w:szCs w:val="32"/>
        </w:rPr>
        <w:t>行政执法案件，组织开展</w:t>
      </w:r>
      <w:r>
        <w:rPr>
          <w:rFonts w:hint="eastAsia" w:ascii="仿宋_GB2312" w:hAnsi="仿宋_GB2312" w:eastAsia="仿宋_GB2312" w:cs="仿宋_GB2312"/>
          <w:sz w:val="32"/>
          <w:szCs w:val="32"/>
          <w:lang w:val="en-US" w:eastAsia="zh-CN"/>
        </w:rPr>
        <w:t>集体</w:t>
      </w:r>
      <w:r>
        <w:rPr>
          <w:rFonts w:hint="eastAsia" w:ascii="仿宋_GB2312" w:hAnsi="仿宋_GB2312" w:eastAsia="仿宋_GB2312" w:cs="仿宋_GB2312"/>
          <w:sz w:val="32"/>
          <w:szCs w:val="32"/>
        </w:rPr>
        <w:t>讨论，依法进行重大执法决定法制审核，规范执法行为，审慎作出处罚决定。</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2024年我镇共有行政执法案件126件，执法公示126件，公示率100%</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sz w:val="32"/>
          <w:szCs w:val="32"/>
          <w:lang w:val="en-US" w:eastAsia="zh-CN"/>
        </w:rPr>
        <w:t>执法案卷经过法制部门评查率达100%。</w:t>
      </w:r>
    </w:p>
    <w:p w14:paraId="3AC091B2">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cs="仿宋_GB2312"/>
          <w:b/>
          <w:bCs/>
          <w:sz w:val="32"/>
          <w:szCs w:val="32"/>
          <w:lang w:val="en-US" w:eastAsia="zh-CN"/>
        </w:rPr>
        <w:t>3.</w:t>
      </w:r>
      <w:r>
        <w:rPr>
          <w:rFonts w:hint="eastAsia" w:ascii="仿宋_GB2312" w:hAnsi="仿宋_GB2312" w:eastAsia="仿宋_GB2312" w:cs="仿宋_GB2312"/>
          <w:b/>
          <w:bCs/>
          <w:sz w:val="32"/>
          <w:szCs w:val="32"/>
        </w:rPr>
        <w:t>推进政务公开和政府信息公开</w:t>
      </w:r>
      <w:r>
        <w:rPr>
          <w:rFonts w:hint="eastAsia" w:ascii="仿宋_GB2312" w:hAnsi="仿宋_GB2312" w:eastAsia="仿宋_GB2312" w:cs="仿宋_GB2312"/>
          <w:sz w:val="32"/>
          <w:szCs w:val="32"/>
        </w:rPr>
        <w:t>。贯彻落实加大政府信息公开力度，不断提升依法办事效率，</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2024年我镇主动公开政府信息数227件，其中，业务动态公开政府信息数200条，重点领域公开政府信息数25条，财政预算决算数2条。收到申请公开事项9件，部分公开4件，不掌握相关信息无法公开5件</w:t>
      </w:r>
      <w:r>
        <w:rPr>
          <w:rFonts w:hint="eastAsia" w:ascii="仿宋_GB2312" w:hAnsi="仿宋_GB2312" w:eastAsia="仿宋_GB2312" w:cs="仿宋_GB2312"/>
          <w:sz w:val="32"/>
          <w:szCs w:val="32"/>
        </w:rPr>
        <w:t>。认真办理党代表、人大代表书面意见、政协提案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司法建议、检察建议及</w:t>
      </w:r>
      <w:r>
        <w:rPr>
          <w:rFonts w:hint="eastAsia" w:ascii="仿宋_GB2312" w:hAnsi="仿宋_GB2312" w:eastAsia="仿宋_GB2312" w:cs="仿宋_GB2312"/>
          <w:sz w:val="32"/>
          <w:szCs w:val="32"/>
        </w:rPr>
        <w:t>“12345”市民服务热线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2024年</w:t>
      </w:r>
      <w:r>
        <w:rPr>
          <w:rFonts w:hint="eastAsia" w:ascii="仿宋_GB2312" w:hAnsi="仿宋_GB2312" w:eastAsia="仿宋_GB2312" w:cs="仿宋_GB2312"/>
          <w:sz w:val="32"/>
          <w:szCs w:val="32"/>
        </w:rPr>
        <w:t>，</w:t>
      </w:r>
      <w:r>
        <w:rPr>
          <w:rFonts w:hint="eastAsia" w:ascii="仿宋_GB2312" w:hAnsi="仿宋_GB2312" w:eastAsia="仿宋_GB2312" w:cs="仿宋_GB2312"/>
          <w:b w:val="0"/>
          <w:bCs w:val="0"/>
          <w:color w:val="000000" w:themeColor="text1"/>
          <w:sz w:val="32"/>
          <w:szCs w:val="32"/>
          <w14:textFill>
            <w14:solidFill>
              <w14:schemeClr w14:val="tx1"/>
            </w14:solidFill>
          </w14:textFill>
        </w:rPr>
        <w:t>市民服务热线共受理工单</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5316</w:t>
      </w:r>
      <w:r>
        <w:rPr>
          <w:rFonts w:hint="eastAsia" w:ascii="仿宋_GB2312" w:hAnsi="仿宋_GB2312" w:eastAsia="仿宋_GB2312" w:cs="仿宋_GB2312"/>
          <w:b w:val="0"/>
          <w:bCs w:val="0"/>
          <w:color w:val="000000" w:themeColor="text1"/>
          <w:sz w:val="32"/>
          <w:szCs w:val="32"/>
          <w14:textFill>
            <w14:solidFill>
              <w14:schemeClr w14:val="tx1"/>
            </w14:solidFill>
          </w14:textFill>
        </w:rPr>
        <w:t>件，按时办结率</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100</w:t>
      </w:r>
      <w:r>
        <w:rPr>
          <w:rFonts w:hint="eastAsia" w:ascii="仿宋_GB2312" w:hAnsi="仿宋_GB2312" w:eastAsia="仿宋_GB2312" w:cs="仿宋_GB2312"/>
          <w:b w:val="0"/>
          <w:bCs w:val="0"/>
          <w:color w:val="000000" w:themeColor="text1"/>
          <w:sz w:val="32"/>
          <w:szCs w:val="32"/>
          <w14:textFill>
            <w14:solidFill>
              <w14:schemeClr w14:val="tx1"/>
            </w14:solidFill>
          </w14:textFill>
        </w:rPr>
        <w:t>%</w:t>
      </w:r>
      <w:r>
        <w:rPr>
          <w:rFonts w:hint="eastAsia" w:ascii="仿宋_GB2312" w:hAnsi="仿宋_GB2312" w:eastAsia="仿宋_GB2312" w:cs="仿宋_GB2312"/>
          <w:sz w:val="32"/>
          <w:szCs w:val="32"/>
          <w:lang w:eastAsia="zh-CN"/>
        </w:rPr>
        <w:t>。</w:t>
      </w:r>
    </w:p>
    <w:p w14:paraId="53C31424">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val="en-US" w:eastAsia="zh-CN"/>
        </w:rPr>
        <w:t>（三）统筹资源使用,完善法律服务体系</w:t>
      </w:r>
    </w:p>
    <w:p w14:paraId="3769F115">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 </w:t>
      </w:r>
      <w:r>
        <w:rPr>
          <w:rFonts w:hint="eastAsia" w:ascii="仿宋_GB2312" w:hAnsi="仿宋_GB2312" w:cs="仿宋_GB2312"/>
          <w:b/>
          <w:bCs/>
          <w:sz w:val="32"/>
          <w:szCs w:val="32"/>
          <w:lang w:val="en-US" w:eastAsia="zh-CN"/>
        </w:rPr>
        <w:t>1.</w:t>
      </w:r>
      <w:r>
        <w:rPr>
          <w:rFonts w:hint="eastAsia" w:ascii="仿宋_GB2312" w:hAnsi="仿宋_GB2312" w:eastAsia="仿宋_GB2312" w:cs="仿宋_GB2312"/>
          <w:b/>
          <w:bCs/>
          <w:sz w:val="32"/>
          <w:szCs w:val="32"/>
        </w:rPr>
        <w:t>发挥公共法律服务站作用。</w:t>
      </w:r>
      <w:r>
        <w:rPr>
          <w:rFonts w:hint="eastAsia" w:ascii="仿宋_GB2312" w:hAnsi="仿宋_GB2312" w:eastAsia="仿宋_GB2312" w:cs="仿宋_GB2312"/>
          <w:sz w:val="32"/>
          <w:szCs w:val="32"/>
          <w:lang w:val="en-US" w:eastAsia="zh-CN"/>
        </w:rPr>
        <w:t>持续</w:t>
      </w:r>
      <w:r>
        <w:rPr>
          <w:rFonts w:hint="eastAsia" w:ascii="仿宋_GB2312" w:hAnsi="仿宋_GB2312" w:eastAsia="仿宋_GB2312" w:cs="仿宋_GB2312"/>
          <w:sz w:val="32"/>
          <w:szCs w:val="32"/>
        </w:rPr>
        <w:t>打造标准化司法所建设，更好的履行司法</w:t>
      </w:r>
      <w:r>
        <w:rPr>
          <w:rFonts w:hint="eastAsia" w:ascii="仿宋_GB2312" w:hAnsi="仿宋_GB2312" w:eastAsia="仿宋_GB2312" w:cs="仿宋_GB2312"/>
          <w:sz w:val="32"/>
          <w:szCs w:val="32"/>
          <w:lang w:val="en-US" w:eastAsia="zh-CN"/>
        </w:rPr>
        <w:t>行政</w:t>
      </w:r>
      <w:r>
        <w:rPr>
          <w:rFonts w:hint="eastAsia" w:ascii="仿宋_GB2312" w:hAnsi="仿宋_GB2312" w:eastAsia="仿宋_GB2312" w:cs="仿宋_GB2312"/>
          <w:sz w:val="32"/>
          <w:szCs w:val="32"/>
        </w:rPr>
        <w:t>职能，统筹好各种法律服务资源，在</w:t>
      </w:r>
      <w:r>
        <w:rPr>
          <w:rFonts w:hint="eastAsia" w:ascii="仿宋_GB2312" w:hAnsi="仿宋_GB2312" w:eastAsia="仿宋_GB2312" w:cs="仿宋_GB2312"/>
          <w:sz w:val="32"/>
          <w:szCs w:val="32"/>
          <w:lang w:val="en-US" w:eastAsia="zh-CN"/>
        </w:rPr>
        <w:t>法律服务站</w:t>
      </w:r>
      <w:r>
        <w:rPr>
          <w:rFonts w:hint="eastAsia" w:ascii="仿宋_GB2312" w:hAnsi="仿宋_GB2312" w:eastAsia="仿宋_GB2312" w:cs="仿宋_GB2312"/>
          <w:sz w:val="32"/>
          <w:szCs w:val="32"/>
        </w:rPr>
        <w:t>窗口为</w:t>
      </w:r>
      <w:r>
        <w:rPr>
          <w:rFonts w:hint="eastAsia" w:ascii="仿宋_GB2312" w:hAnsi="仿宋_GB2312" w:eastAsia="仿宋_GB2312" w:cs="仿宋_GB2312"/>
          <w:sz w:val="32"/>
          <w:szCs w:val="32"/>
          <w:lang w:val="en-US" w:eastAsia="zh-CN"/>
        </w:rPr>
        <w:t>辖区群众</w:t>
      </w:r>
      <w:r>
        <w:rPr>
          <w:rFonts w:hint="eastAsia" w:ascii="仿宋_GB2312" w:hAnsi="仿宋_GB2312" w:eastAsia="仿宋_GB2312" w:cs="仿宋_GB2312"/>
          <w:sz w:val="32"/>
          <w:szCs w:val="32"/>
        </w:rPr>
        <w:t>提供法律咨询、法律援助咨询</w:t>
      </w:r>
      <w:r>
        <w:rPr>
          <w:rFonts w:hint="eastAsia" w:ascii="仿宋_GB2312" w:hAnsi="仿宋_GB2312" w:eastAsia="仿宋_GB2312" w:cs="仿宋_GB2312"/>
          <w:sz w:val="32"/>
          <w:szCs w:val="32"/>
          <w:lang w:val="en-US" w:eastAsia="zh-CN"/>
        </w:rPr>
        <w:t>初审</w:t>
      </w:r>
      <w:r>
        <w:rPr>
          <w:rFonts w:hint="eastAsia" w:ascii="仿宋_GB2312" w:hAnsi="仿宋_GB2312" w:eastAsia="仿宋_GB2312" w:cs="仿宋_GB2312"/>
          <w:sz w:val="32"/>
          <w:szCs w:val="32"/>
        </w:rPr>
        <w:t>、人民调解受理等简便高效、功能齐全的“一站式”公共法律服务。</w:t>
      </w:r>
    </w:p>
    <w:p w14:paraId="3AAB9FFE">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cs="仿宋_GB2312"/>
          <w:b/>
          <w:bCs/>
          <w:sz w:val="32"/>
          <w:szCs w:val="32"/>
          <w:lang w:val="en-US" w:eastAsia="zh-CN"/>
        </w:rPr>
        <w:t>2.</w:t>
      </w:r>
      <w:r>
        <w:rPr>
          <w:rFonts w:hint="eastAsia" w:ascii="仿宋_GB2312" w:hAnsi="仿宋_GB2312" w:eastAsia="仿宋_GB2312" w:cs="仿宋_GB2312"/>
          <w:b/>
          <w:bCs/>
          <w:sz w:val="32"/>
          <w:szCs w:val="32"/>
        </w:rPr>
        <w:t>提升法律服务“面对面、零距离”效能。</w:t>
      </w:r>
      <w:r>
        <w:rPr>
          <w:rFonts w:hint="eastAsia" w:ascii="仿宋_GB2312" w:hAnsi="仿宋_GB2312" w:eastAsia="仿宋_GB2312" w:cs="仿宋_GB2312"/>
          <w:sz w:val="32"/>
          <w:szCs w:val="32"/>
          <w:lang w:val="en-US" w:eastAsia="zh-CN"/>
        </w:rPr>
        <w:t>充分利用我区村居公益法律服务项目资源</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积极邀请村居公益法律顾问律师在全镇14个村居</w:t>
      </w:r>
      <w:r>
        <w:rPr>
          <w:rFonts w:hint="eastAsia" w:ascii="仿宋_GB2312" w:hAnsi="仿宋_GB2312" w:eastAsia="仿宋_GB2312" w:cs="仿宋_GB2312"/>
          <w:sz w:val="32"/>
          <w:szCs w:val="32"/>
        </w:rPr>
        <w:t>开展多样特色法律服务，律师通过现场</w:t>
      </w:r>
      <w:r>
        <w:rPr>
          <w:rFonts w:hint="eastAsia" w:ascii="仿宋_GB2312" w:hAnsi="仿宋_GB2312" w:eastAsia="仿宋_GB2312" w:cs="仿宋_GB2312"/>
          <w:sz w:val="32"/>
          <w:szCs w:val="32"/>
          <w:lang w:val="en-US" w:eastAsia="zh-CN"/>
        </w:rPr>
        <w:t>咨询</w:t>
      </w:r>
      <w:r>
        <w:rPr>
          <w:rFonts w:hint="eastAsia" w:ascii="仿宋_GB2312" w:hAnsi="仿宋_GB2312" w:eastAsia="仿宋_GB2312" w:cs="仿宋_GB2312"/>
          <w:sz w:val="32"/>
          <w:szCs w:val="32"/>
        </w:rPr>
        <w:t>、微信</w:t>
      </w:r>
      <w:r>
        <w:rPr>
          <w:rFonts w:hint="eastAsia" w:ascii="仿宋_GB2312" w:hAnsi="仿宋_GB2312" w:eastAsia="仿宋_GB2312" w:cs="仿宋_GB2312"/>
          <w:sz w:val="32"/>
          <w:szCs w:val="32"/>
          <w:lang w:val="en-US" w:eastAsia="zh-CN"/>
        </w:rPr>
        <w:t>群</w:t>
      </w:r>
      <w:r>
        <w:rPr>
          <w:rFonts w:hint="eastAsia" w:ascii="仿宋_GB2312" w:hAnsi="仿宋_GB2312" w:eastAsia="仿宋_GB2312" w:cs="仿宋_GB2312"/>
          <w:sz w:val="32"/>
          <w:szCs w:val="32"/>
        </w:rPr>
        <w:t>、电话等形式提供线上线下全方位法律服务。在各个活动节点配合</w:t>
      </w:r>
      <w:r>
        <w:rPr>
          <w:rFonts w:hint="eastAsia" w:ascii="仿宋_GB2312" w:hAnsi="仿宋_GB2312" w:eastAsia="仿宋_GB2312" w:cs="仿宋_GB2312"/>
          <w:sz w:val="32"/>
          <w:szCs w:val="32"/>
          <w:lang w:val="en-US" w:eastAsia="zh-CN"/>
        </w:rPr>
        <w:t>村居</w:t>
      </w:r>
      <w:r>
        <w:rPr>
          <w:rFonts w:hint="eastAsia" w:ascii="仿宋_GB2312" w:hAnsi="仿宋_GB2312" w:eastAsia="仿宋_GB2312" w:cs="仿宋_GB2312"/>
          <w:sz w:val="32"/>
          <w:szCs w:val="32"/>
        </w:rPr>
        <w:t>开展各类法治宣传活动。202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4个村居公益法律顾问</w:t>
      </w:r>
      <w:r>
        <w:rPr>
          <w:rFonts w:hint="eastAsia" w:ascii="仿宋_GB2312" w:hAnsi="仿宋_GB2312" w:eastAsia="仿宋_GB2312" w:cs="仿宋_GB2312"/>
          <w:b w:val="0"/>
          <w:bCs w:val="0"/>
          <w:color w:val="000000" w:themeColor="text1"/>
          <w:sz w:val="32"/>
          <w:szCs w:val="32"/>
          <w14:textFill>
            <w14:solidFill>
              <w14:schemeClr w14:val="tx1"/>
            </w14:solidFill>
          </w14:textFill>
        </w:rPr>
        <w:t>律师为</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辖区</w:t>
      </w:r>
      <w:r>
        <w:rPr>
          <w:rFonts w:hint="eastAsia" w:ascii="仿宋_GB2312" w:hAnsi="仿宋_GB2312" w:eastAsia="仿宋_GB2312" w:cs="仿宋_GB2312"/>
          <w:b w:val="0"/>
          <w:bCs w:val="0"/>
          <w:color w:val="000000" w:themeColor="text1"/>
          <w:sz w:val="32"/>
          <w:szCs w:val="32"/>
          <w14:textFill>
            <w14:solidFill>
              <w14:schemeClr w14:val="tx1"/>
            </w14:solidFill>
          </w14:textFill>
        </w:rPr>
        <w:t>提供各类法律支持</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140</w:t>
      </w:r>
      <w:r>
        <w:rPr>
          <w:rFonts w:hint="eastAsia" w:ascii="仿宋_GB2312" w:hAnsi="仿宋_GB2312" w:eastAsia="仿宋_GB2312" w:cs="仿宋_GB2312"/>
          <w:b w:val="0"/>
          <w:bCs w:val="0"/>
          <w:color w:val="000000" w:themeColor="text1"/>
          <w:sz w:val="32"/>
          <w:szCs w:val="32"/>
          <w14:textFill>
            <w14:solidFill>
              <w14:schemeClr w14:val="tx1"/>
            </w14:solidFill>
          </w14:textFill>
        </w:rPr>
        <w:t>余次。</w:t>
      </w:r>
    </w:p>
    <w:p w14:paraId="547002A7">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cs="仿宋_GB2312"/>
          <w:b/>
          <w:bCs/>
          <w:sz w:val="32"/>
          <w:szCs w:val="32"/>
          <w:lang w:val="en-US" w:eastAsia="zh-CN"/>
        </w:rPr>
        <w:t>3.</w:t>
      </w:r>
      <w:r>
        <w:rPr>
          <w:rFonts w:hint="eastAsia" w:ascii="仿宋_GB2312" w:hAnsi="仿宋_GB2312" w:eastAsia="仿宋_GB2312" w:cs="仿宋_GB2312"/>
          <w:b/>
          <w:bCs/>
          <w:sz w:val="32"/>
          <w:szCs w:val="32"/>
        </w:rPr>
        <w:t>打造“公共法律服务</w:t>
      </w:r>
      <w:r>
        <w:rPr>
          <w:rFonts w:hint="eastAsia" w:ascii="仿宋_GB2312" w:hAnsi="仿宋_GB2312" w:eastAsia="仿宋_GB2312" w:cs="仿宋_GB2312"/>
          <w:b/>
          <w:bCs/>
          <w:sz w:val="32"/>
          <w:szCs w:val="32"/>
          <w:lang w:val="en-US" w:eastAsia="zh-CN"/>
        </w:rPr>
        <w:t>站点</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结合</w:t>
      </w:r>
      <w:r>
        <w:rPr>
          <w:rFonts w:hint="eastAsia" w:ascii="仿宋_GB2312" w:hAnsi="仿宋_GB2312" w:eastAsia="仿宋_GB2312" w:cs="仿宋_GB2312"/>
          <w:sz w:val="32"/>
          <w:szCs w:val="32"/>
          <w:lang w:val="en-US" w:eastAsia="zh-CN"/>
        </w:rPr>
        <w:t>檀谷商圈“15分钟服务圈”建设</w:t>
      </w:r>
      <w:r>
        <w:rPr>
          <w:rFonts w:hint="eastAsia" w:ascii="仿宋_GB2312" w:hAnsi="仿宋_GB2312" w:eastAsia="仿宋_GB2312" w:cs="仿宋_GB2312"/>
          <w:sz w:val="32"/>
          <w:szCs w:val="32"/>
        </w:rPr>
        <w:t>，将优质的法律服务嵌入</w:t>
      </w:r>
      <w:r>
        <w:rPr>
          <w:rFonts w:hint="eastAsia" w:ascii="仿宋_GB2312" w:hAnsi="仿宋_GB2312" w:eastAsia="仿宋_GB2312" w:cs="仿宋_GB2312"/>
          <w:sz w:val="32"/>
          <w:szCs w:val="32"/>
          <w:lang w:val="en-US" w:eastAsia="zh-CN"/>
        </w:rPr>
        <w:t>文商旅发展</w:t>
      </w:r>
      <w:r>
        <w:rPr>
          <w:rFonts w:hint="eastAsia" w:ascii="仿宋_GB2312" w:hAnsi="仿宋_GB2312" w:eastAsia="仿宋_GB2312" w:cs="仿宋_GB2312"/>
          <w:sz w:val="32"/>
          <w:szCs w:val="32"/>
        </w:rPr>
        <w:t>。现在</w:t>
      </w:r>
      <w:r>
        <w:rPr>
          <w:rFonts w:hint="eastAsia" w:ascii="仿宋_GB2312" w:hAnsi="仿宋_GB2312" w:eastAsia="仿宋_GB2312" w:cs="仿宋_GB2312"/>
          <w:sz w:val="32"/>
          <w:szCs w:val="32"/>
          <w:lang w:val="en-US" w:eastAsia="zh-CN"/>
        </w:rPr>
        <w:t>檀谷商圈</w:t>
      </w:r>
      <w:r>
        <w:rPr>
          <w:rFonts w:hint="eastAsia" w:ascii="仿宋_GB2312" w:hAnsi="仿宋_GB2312" w:eastAsia="仿宋_GB2312" w:cs="仿宋_GB2312"/>
          <w:sz w:val="32"/>
          <w:szCs w:val="32"/>
        </w:rPr>
        <w:t>和</w:t>
      </w:r>
      <w:r>
        <w:rPr>
          <w:rFonts w:hint="eastAsia" w:ascii="仿宋_GB2312" w:hAnsi="仿宋_GB2312" w:eastAsia="仿宋_GB2312" w:cs="仿宋_GB2312"/>
          <w:sz w:val="32"/>
          <w:szCs w:val="32"/>
          <w:lang w:val="en-US" w:eastAsia="zh-CN"/>
        </w:rPr>
        <w:t>潭柘新区</w:t>
      </w:r>
      <w:r>
        <w:rPr>
          <w:rFonts w:hint="eastAsia" w:ascii="仿宋_GB2312" w:hAnsi="仿宋_GB2312" w:eastAsia="仿宋_GB2312" w:cs="仿宋_GB2312"/>
          <w:sz w:val="32"/>
          <w:szCs w:val="32"/>
        </w:rPr>
        <w:t>设立公共法律服务</w:t>
      </w:r>
      <w:r>
        <w:rPr>
          <w:rFonts w:hint="eastAsia" w:ascii="仿宋_GB2312" w:hAnsi="仿宋_GB2312" w:eastAsia="仿宋_GB2312" w:cs="仿宋_GB2312"/>
          <w:sz w:val="32"/>
          <w:szCs w:val="32"/>
          <w:lang w:val="en-US" w:eastAsia="zh-CN"/>
        </w:rPr>
        <w:t>站点</w:t>
      </w:r>
      <w:r>
        <w:rPr>
          <w:rFonts w:hint="eastAsia" w:ascii="仿宋_GB2312" w:hAnsi="仿宋_GB2312" w:eastAsia="仿宋_GB2312" w:cs="仿宋_GB2312"/>
          <w:sz w:val="32"/>
          <w:szCs w:val="32"/>
        </w:rPr>
        <w:t>，定期为</w:t>
      </w:r>
      <w:r>
        <w:rPr>
          <w:rFonts w:hint="eastAsia" w:ascii="仿宋_GB2312" w:hAnsi="仿宋_GB2312" w:eastAsia="仿宋_GB2312" w:cs="仿宋_GB2312"/>
          <w:sz w:val="32"/>
          <w:szCs w:val="32"/>
          <w:lang w:val="en-US" w:eastAsia="zh-CN"/>
        </w:rPr>
        <w:t>商户和</w:t>
      </w:r>
      <w:r>
        <w:rPr>
          <w:rFonts w:hint="eastAsia" w:ascii="仿宋_GB2312" w:hAnsi="仿宋_GB2312" w:eastAsia="仿宋_GB2312" w:cs="仿宋_GB2312"/>
          <w:sz w:val="32"/>
          <w:szCs w:val="32"/>
        </w:rPr>
        <w:t>周</w:t>
      </w:r>
      <w:r>
        <w:rPr>
          <w:rFonts w:hint="eastAsia" w:ascii="仿宋_GB2312" w:hAnsi="仿宋_GB2312" w:eastAsia="仿宋_GB2312" w:cs="仿宋_GB2312"/>
          <w:sz w:val="32"/>
          <w:szCs w:val="32"/>
          <w:lang w:val="en-US" w:eastAsia="zh-CN"/>
        </w:rPr>
        <w:t>边群众</w:t>
      </w:r>
      <w:r>
        <w:rPr>
          <w:rFonts w:hint="eastAsia" w:ascii="仿宋_GB2312" w:hAnsi="仿宋_GB2312" w:eastAsia="仿宋_GB2312" w:cs="仿宋_GB2312"/>
          <w:sz w:val="32"/>
          <w:szCs w:val="32"/>
        </w:rPr>
        <w:t>提供</w:t>
      </w:r>
      <w:r>
        <w:rPr>
          <w:rFonts w:hint="eastAsia" w:ascii="仿宋_GB2312" w:hAnsi="仿宋_GB2312" w:eastAsia="仿宋_GB2312" w:cs="仿宋_GB2312"/>
          <w:sz w:val="32"/>
          <w:szCs w:val="32"/>
          <w:lang w:val="en-US" w:eastAsia="zh-CN"/>
        </w:rPr>
        <w:t>便捷法律</w:t>
      </w:r>
      <w:r>
        <w:rPr>
          <w:rFonts w:hint="eastAsia" w:ascii="仿宋_GB2312" w:hAnsi="仿宋_GB2312" w:eastAsia="仿宋_GB2312" w:cs="仿宋_GB2312"/>
          <w:sz w:val="32"/>
          <w:szCs w:val="32"/>
        </w:rPr>
        <w:t>服务，为优化营商环境提供法治保障。</w:t>
      </w:r>
    </w:p>
    <w:p w14:paraId="0D39F829">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val="en-US" w:eastAsia="zh-CN"/>
        </w:rPr>
        <w:t>（四）立足矛盾化解，夯实人民调解工作</w:t>
      </w:r>
    </w:p>
    <w:p w14:paraId="1CEEE9C5">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sz w:val="32"/>
          <w:szCs w:val="32"/>
        </w:rPr>
        <w:t xml:space="preserve"> </w:t>
      </w:r>
      <w:r>
        <w:rPr>
          <w:rFonts w:hint="eastAsia" w:ascii="仿宋_GB2312" w:hAnsi="仿宋_GB2312" w:cs="仿宋_GB2312"/>
          <w:b/>
          <w:bCs/>
          <w:sz w:val="32"/>
          <w:szCs w:val="32"/>
          <w:lang w:val="en-US" w:eastAsia="zh-CN"/>
        </w:rPr>
        <w:t>1.</w:t>
      </w:r>
      <w:r>
        <w:rPr>
          <w:rFonts w:hint="eastAsia" w:ascii="仿宋_GB2312" w:hAnsi="仿宋_GB2312" w:eastAsia="仿宋_GB2312" w:cs="仿宋_GB2312"/>
          <w:b/>
          <w:bCs/>
          <w:sz w:val="32"/>
          <w:szCs w:val="32"/>
        </w:rPr>
        <w:t>打造过硬人民调解员队伍。</w:t>
      </w:r>
      <w:r>
        <w:rPr>
          <w:rFonts w:hint="eastAsia" w:ascii="仿宋_GB2312" w:hAnsi="仿宋_GB2312" w:eastAsia="仿宋_GB2312" w:cs="仿宋_GB2312"/>
          <w:sz w:val="32"/>
          <w:szCs w:val="32"/>
        </w:rPr>
        <w:t>定期召开</w:t>
      </w:r>
      <w:r>
        <w:rPr>
          <w:rFonts w:hint="eastAsia" w:ascii="仿宋_GB2312" w:hAnsi="仿宋_GB2312" w:eastAsia="仿宋_GB2312" w:cs="仿宋_GB2312"/>
          <w:sz w:val="32"/>
          <w:szCs w:val="32"/>
          <w:lang w:val="en-US" w:eastAsia="zh-CN"/>
        </w:rPr>
        <w:t>人民</w:t>
      </w:r>
      <w:r>
        <w:rPr>
          <w:rFonts w:hint="eastAsia" w:ascii="仿宋_GB2312" w:hAnsi="仿宋_GB2312" w:eastAsia="仿宋_GB2312" w:cs="仿宋_GB2312"/>
          <w:sz w:val="32"/>
          <w:szCs w:val="32"/>
        </w:rPr>
        <w:t>调解员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法律明白人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培训及座谈会，听取调解员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法律明白人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对调解工作的建议和意见，健全</w:t>
      </w:r>
      <w:r>
        <w:rPr>
          <w:rFonts w:hint="eastAsia" w:ascii="仿宋_GB2312" w:hAnsi="仿宋_GB2312" w:eastAsia="仿宋_GB2312" w:cs="仿宋_GB2312"/>
          <w:sz w:val="32"/>
          <w:szCs w:val="32"/>
          <w:lang w:val="en-US" w:eastAsia="zh-CN"/>
        </w:rPr>
        <w:t>完善</w:t>
      </w:r>
      <w:r>
        <w:rPr>
          <w:rFonts w:hint="eastAsia" w:ascii="仿宋_GB2312" w:hAnsi="仿宋_GB2312" w:eastAsia="仿宋_GB2312" w:cs="仿宋_GB2312"/>
          <w:sz w:val="32"/>
          <w:szCs w:val="32"/>
        </w:rPr>
        <w:t>人民调解</w:t>
      </w:r>
      <w:r>
        <w:rPr>
          <w:rFonts w:hint="eastAsia" w:ascii="仿宋_GB2312" w:hAnsi="仿宋_GB2312" w:eastAsia="仿宋_GB2312" w:cs="仿宋_GB2312"/>
          <w:sz w:val="32"/>
          <w:szCs w:val="32"/>
          <w:lang w:val="en-US" w:eastAsia="zh-CN"/>
        </w:rPr>
        <w:t>员</w:t>
      </w:r>
      <w:r>
        <w:rPr>
          <w:rFonts w:hint="eastAsia" w:ascii="仿宋_GB2312" w:hAnsi="仿宋_GB2312" w:eastAsia="仿宋_GB2312" w:cs="仿宋_GB2312"/>
          <w:sz w:val="32"/>
          <w:szCs w:val="32"/>
        </w:rPr>
        <w:t>考评</w:t>
      </w:r>
      <w:r>
        <w:rPr>
          <w:rFonts w:hint="eastAsia" w:ascii="仿宋_GB2312" w:hAnsi="仿宋_GB2312" w:eastAsia="仿宋_GB2312" w:cs="仿宋_GB2312"/>
          <w:sz w:val="32"/>
          <w:szCs w:val="32"/>
          <w:lang w:val="en-US" w:eastAsia="zh-CN"/>
        </w:rPr>
        <w:t>机制，</w:t>
      </w:r>
      <w:r>
        <w:rPr>
          <w:rFonts w:hint="eastAsia" w:ascii="仿宋_GB2312" w:hAnsi="仿宋_GB2312" w:eastAsia="仿宋_GB2312" w:cs="仿宋_GB2312"/>
          <w:sz w:val="32"/>
          <w:szCs w:val="32"/>
        </w:rPr>
        <w:t>加强基层调解员队伍建设，</w:t>
      </w:r>
      <w:r>
        <w:rPr>
          <w:rFonts w:hint="eastAsia" w:ascii="仿宋_GB2312" w:hAnsi="仿宋_GB2312" w:eastAsia="仿宋_GB2312" w:cs="仿宋_GB2312"/>
          <w:sz w:val="32"/>
          <w:szCs w:val="32"/>
          <w:lang w:val="en-US" w:eastAsia="zh-CN"/>
        </w:rPr>
        <w:t>让</w:t>
      </w:r>
      <w:r>
        <w:rPr>
          <w:rFonts w:hint="eastAsia" w:ascii="仿宋_GB2312" w:hAnsi="仿宋_GB2312" w:eastAsia="仿宋_GB2312" w:cs="仿宋_GB2312"/>
          <w:sz w:val="32"/>
          <w:szCs w:val="32"/>
        </w:rPr>
        <w:t>人民调解资源能可持续发展。</w:t>
      </w:r>
      <w:r>
        <w:rPr>
          <w:rFonts w:hint="eastAsia" w:ascii="仿宋_GB2312" w:hAnsi="仿宋_GB2312" w:eastAsia="仿宋_GB2312" w:cs="仿宋_GB2312"/>
          <w:b w:val="0"/>
          <w:bCs w:val="0"/>
          <w:sz w:val="32"/>
          <w:szCs w:val="32"/>
        </w:rPr>
        <w:t>202</w:t>
      </w:r>
      <w:r>
        <w:rPr>
          <w:rFonts w:hint="eastAsia" w:ascii="仿宋_GB2312" w:hAnsi="仿宋_GB2312" w:eastAsia="仿宋_GB2312" w:cs="仿宋_GB2312"/>
          <w:b w:val="0"/>
          <w:bCs w:val="0"/>
          <w:sz w:val="32"/>
          <w:szCs w:val="32"/>
          <w:lang w:val="en-US" w:eastAsia="zh-CN"/>
        </w:rPr>
        <w:t>4</w:t>
      </w:r>
      <w:r>
        <w:rPr>
          <w:rFonts w:hint="eastAsia" w:ascii="仿宋_GB2312" w:hAnsi="仿宋_GB2312" w:eastAsia="仿宋_GB2312" w:cs="仿宋_GB2312"/>
          <w:b w:val="0"/>
          <w:bCs w:val="0"/>
          <w:sz w:val="32"/>
          <w:szCs w:val="32"/>
        </w:rPr>
        <w:t>年开展</w:t>
      </w:r>
      <w:r>
        <w:rPr>
          <w:rFonts w:hint="eastAsia" w:ascii="仿宋_GB2312" w:hAnsi="仿宋_GB2312" w:eastAsia="仿宋_GB2312" w:cs="仿宋_GB2312"/>
          <w:b w:val="0"/>
          <w:bCs w:val="0"/>
          <w:sz w:val="32"/>
          <w:szCs w:val="32"/>
          <w:lang w:val="en-US" w:eastAsia="zh-CN"/>
        </w:rPr>
        <w:t>线上、线下</w:t>
      </w:r>
      <w:r>
        <w:rPr>
          <w:rFonts w:hint="eastAsia" w:ascii="仿宋_GB2312" w:hAnsi="仿宋_GB2312" w:eastAsia="仿宋_GB2312" w:cs="仿宋_GB2312"/>
          <w:b w:val="0"/>
          <w:bCs w:val="0"/>
          <w:sz w:val="32"/>
          <w:szCs w:val="32"/>
        </w:rPr>
        <w:t>培训10次。</w:t>
      </w:r>
    </w:p>
    <w:p w14:paraId="7FDBBCDF">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cs="仿宋_GB2312"/>
          <w:b/>
          <w:bCs/>
          <w:sz w:val="32"/>
          <w:szCs w:val="32"/>
          <w:lang w:val="en-US" w:eastAsia="zh-CN"/>
        </w:rPr>
        <w:t>2.</w:t>
      </w:r>
      <w:r>
        <w:rPr>
          <w:rFonts w:hint="eastAsia" w:ascii="仿宋_GB2312" w:hAnsi="仿宋_GB2312" w:eastAsia="仿宋_GB2312" w:cs="仿宋_GB2312"/>
          <w:b/>
          <w:bCs/>
          <w:sz w:val="32"/>
          <w:szCs w:val="32"/>
        </w:rPr>
        <w:t>健全矛盾纠纷多元化解机制。</w:t>
      </w:r>
      <w:r>
        <w:rPr>
          <w:rFonts w:hint="eastAsia" w:ascii="仿宋_GB2312" w:hAnsi="仿宋_GB2312" w:eastAsia="仿宋_GB2312" w:cs="仿宋_GB2312"/>
          <w:b w:val="0"/>
          <w:bCs w:val="0"/>
          <w:sz w:val="32"/>
          <w:szCs w:val="32"/>
          <w:lang w:val="en-US" w:eastAsia="zh-CN"/>
        </w:rPr>
        <w:t>大力推广新时代“枫桥经验”，</w:t>
      </w:r>
      <w:r>
        <w:rPr>
          <w:rFonts w:hint="eastAsia" w:ascii="仿宋_GB2312" w:hAnsi="仿宋_GB2312" w:eastAsia="仿宋_GB2312" w:cs="仿宋_GB2312"/>
          <w:b w:val="0"/>
          <w:bCs w:val="0"/>
          <w:sz w:val="32"/>
          <w:szCs w:val="32"/>
        </w:rPr>
        <w:t>设立镇村两级调解组织16个，调解员49名，</w:t>
      </w:r>
      <w:r>
        <w:rPr>
          <w:rFonts w:hint="eastAsia" w:ascii="仿宋_GB2312" w:hAnsi="仿宋_GB2312" w:eastAsia="仿宋_GB2312" w:cs="仿宋_GB2312"/>
          <w:sz w:val="32"/>
          <w:szCs w:val="32"/>
        </w:rPr>
        <w:t>形成“横向联动、纵向贯通、信息共享、互相配合、就地化解”的矛盾调处机制。充分利用北京人民调解综合管理登记调解组织信息、录入人民调解工作开展情况。</w:t>
      </w:r>
      <w:r>
        <w:rPr>
          <w:rFonts w:hint="eastAsia" w:ascii="仿宋_GB2312" w:hAnsi="仿宋_GB2312" w:eastAsia="仿宋_GB2312" w:cs="仿宋_GB2312"/>
          <w:b w:val="0"/>
          <w:bCs w:val="0"/>
          <w:sz w:val="32"/>
          <w:szCs w:val="32"/>
          <w:lang w:val="en-US" w:eastAsia="zh-CN"/>
        </w:rPr>
        <w:t>2024年</w:t>
      </w:r>
      <w:r>
        <w:rPr>
          <w:rFonts w:hint="eastAsia" w:ascii="仿宋_GB2312" w:hAnsi="仿宋_GB2312" w:eastAsia="仿宋_GB2312" w:cs="仿宋_GB2312"/>
          <w:b w:val="0"/>
          <w:bCs w:val="0"/>
          <w:sz w:val="32"/>
          <w:szCs w:val="32"/>
        </w:rPr>
        <w:t>我镇按要求通过综合管理系统开展各项工作，其中，进行各类矛盾纠纷排查460余次，均未发现隐患；充分发挥调解员作用，</w:t>
      </w:r>
      <w:r>
        <w:rPr>
          <w:rFonts w:hint="eastAsia" w:ascii="仿宋_GB2312" w:hAnsi="仿宋_GB2312" w:cs="仿宋_GB2312"/>
          <w:b w:val="0"/>
          <w:bCs w:val="0"/>
          <w:sz w:val="32"/>
          <w:szCs w:val="32"/>
          <w:lang w:eastAsia="zh-CN"/>
        </w:rPr>
        <w:t>全年</w:t>
      </w:r>
      <w:r>
        <w:rPr>
          <w:rFonts w:hint="eastAsia" w:ascii="仿宋_GB2312" w:hAnsi="仿宋_GB2312" w:eastAsia="仿宋_GB2312" w:cs="仿宋_GB2312"/>
          <w:b w:val="0"/>
          <w:bCs w:val="0"/>
          <w:sz w:val="32"/>
          <w:szCs w:val="32"/>
        </w:rPr>
        <w:t>共调处各类矛盾纠纷</w:t>
      </w:r>
      <w:r>
        <w:rPr>
          <w:rFonts w:hint="eastAsia" w:ascii="仿宋_GB2312" w:hAnsi="仿宋_GB2312" w:cs="仿宋_GB2312"/>
          <w:b w:val="0"/>
          <w:bCs w:val="0"/>
          <w:sz w:val="32"/>
          <w:szCs w:val="32"/>
          <w:lang w:eastAsia="zh-CN"/>
        </w:rPr>
        <w:t>73</w:t>
      </w:r>
      <w:r>
        <w:rPr>
          <w:rFonts w:hint="eastAsia" w:ascii="仿宋_GB2312" w:hAnsi="仿宋_GB2312" w:eastAsia="仿宋_GB2312" w:cs="仿宋_GB2312"/>
          <w:b w:val="0"/>
          <w:bCs w:val="0"/>
          <w:sz w:val="32"/>
          <w:szCs w:val="32"/>
        </w:rPr>
        <w:t>件，调解成功率达100%，做到了将矛盾纠纷化解在基层</w:t>
      </w:r>
      <w:r>
        <w:rPr>
          <w:rFonts w:hint="eastAsia" w:ascii="仿宋_GB2312" w:hAnsi="仿宋_GB2312" w:eastAsia="仿宋_GB2312" w:cs="仿宋_GB2312"/>
          <w:b w:val="0"/>
          <w:bCs w:val="0"/>
          <w:sz w:val="32"/>
          <w:szCs w:val="32"/>
          <w:lang w:eastAsia="zh-CN"/>
        </w:rPr>
        <w:t>。</w:t>
      </w:r>
    </w:p>
    <w:p w14:paraId="33984BB5">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（五）强化法治宣传效果，增强全民法治观念</w:t>
      </w:r>
    </w:p>
    <w:p w14:paraId="13B581DB">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cs="仿宋_GB2312"/>
          <w:sz w:val="32"/>
          <w:szCs w:val="32"/>
          <w:lang w:val="en-US" w:eastAsia="zh-CN"/>
        </w:rPr>
      </w:pPr>
      <w:r>
        <w:rPr>
          <w:rFonts w:hint="eastAsia" w:ascii="仿宋_GB2312" w:hAnsi="仿宋_GB2312" w:eastAsia="仿宋_GB2312" w:cs="仿宋_GB2312"/>
          <w:sz w:val="32"/>
          <w:szCs w:val="32"/>
          <w:lang w:val="en-US" w:eastAsia="zh-CN"/>
        </w:rPr>
        <w:t>我镇</w:t>
      </w:r>
      <w:r>
        <w:rPr>
          <w:rFonts w:hint="eastAsia" w:ascii="仿宋_GB2312" w:hAnsi="仿宋_GB2312" w:eastAsia="仿宋_GB2312" w:cs="仿宋_GB2312"/>
          <w:sz w:val="32"/>
          <w:szCs w:val="32"/>
        </w:rPr>
        <w:t>深入实施“八五”普法规划，通过多种途径、多种形式开展法治宣传教育，努力在全</w:t>
      </w:r>
      <w:r>
        <w:rPr>
          <w:rFonts w:hint="eastAsia" w:ascii="仿宋_GB2312" w:hAnsi="仿宋_GB2312" w:eastAsia="仿宋_GB2312" w:cs="仿宋_GB2312"/>
          <w:sz w:val="32"/>
          <w:szCs w:val="32"/>
          <w:lang w:val="en-US" w:eastAsia="zh-CN"/>
        </w:rPr>
        <w:t>镇</w:t>
      </w:r>
      <w:r>
        <w:rPr>
          <w:rFonts w:hint="eastAsia" w:ascii="仿宋_GB2312" w:hAnsi="仿宋_GB2312" w:eastAsia="仿宋_GB2312" w:cs="仿宋_GB2312"/>
          <w:sz w:val="32"/>
          <w:szCs w:val="32"/>
        </w:rPr>
        <w:t>形成崇尚法律、遵守法律的氛围。</w:t>
      </w:r>
      <w:r>
        <w:rPr>
          <w:rFonts w:hint="eastAsia" w:ascii="仿宋_GB2312" w:hAnsi="仿宋_GB2312" w:cs="仿宋_GB2312"/>
          <w:sz w:val="32"/>
          <w:szCs w:val="32"/>
          <w:lang w:val="en-US" w:eastAsia="zh-CN"/>
        </w:rPr>
        <w:t xml:space="preserve"> </w:t>
      </w:r>
    </w:p>
    <w:p w14:paraId="7230CA6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cs="仿宋_GB2312"/>
          <w:b/>
          <w:bCs/>
          <w:sz w:val="32"/>
          <w:szCs w:val="32"/>
          <w:lang w:val="en-US" w:eastAsia="zh-CN"/>
        </w:rPr>
        <w:t>1.</w:t>
      </w:r>
      <w:r>
        <w:rPr>
          <w:rFonts w:hint="eastAsia" w:ascii="仿宋_GB2312" w:hAnsi="仿宋_GB2312" w:eastAsia="仿宋_GB2312" w:cs="仿宋_GB2312"/>
          <w:b/>
          <w:bCs/>
          <w:sz w:val="32"/>
          <w:szCs w:val="32"/>
        </w:rPr>
        <w:t>营造浓厚法治宣传氛围。</w:t>
      </w:r>
      <w:r>
        <w:rPr>
          <w:rFonts w:hint="eastAsia" w:ascii="仿宋_GB2312" w:hAnsi="仿宋_GB2312" w:eastAsia="仿宋_GB2312" w:cs="仿宋_GB2312"/>
          <w:sz w:val="32"/>
          <w:szCs w:val="32"/>
        </w:rPr>
        <w:t>积极推进法治文化阵地和品牌建设，形成以</w:t>
      </w:r>
      <w:r>
        <w:rPr>
          <w:rFonts w:hint="eastAsia" w:ascii="仿宋_GB2312" w:hAnsi="仿宋_GB2312" w:eastAsia="仿宋_GB2312" w:cs="仿宋_GB2312"/>
          <w:sz w:val="32"/>
          <w:szCs w:val="32"/>
          <w:lang w:val="en-US" w:eastAsia="zh-CN"/>
        </w:rPr>
        <w:t>镇级文化中心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文化广场、村居</w:t>
      </w:r>
      <w:r>
        <w:rPr>
          <w:rFonts w:hint="eastAsia" w:ascii="仿宋_GB2312" w:hAnsi="仿宋_GB2312" w:eastAsia="仿宋_GB2312" w:cs="仿宋_GB2312"/>
          <w:sz w:val="32"/>
          <w:szCs w:val="32"/>
        </w:rPr>
        <w:t>党群服务站、</w:t>
      </w:r>
      <w:r>
        <w:rPr>
          <w:rFonts w:hint="eastAsia" w:ascii="仿宋_GB2312" w:hAnsi="仿宋_GB2312" w:eastAsia="仿宋_GB2312" w:cs="仿宋_GB2312"/>
          <w:sz w:val="32"/>
          <w:szCs w:val="32"/>
          <w:lang w:val="en-US" w:eastAsia="zh-CN"/>
        </w:rPr>
        <w:t>文明实践站</w:t>
      </w:r>
      <w:r>
        <w:rPr>
          <w:rFonts w:hint="eastAsia" w:ascii="仿宋_GB2312" w:hAnsi="仿宋_GB2312" w:eastAsia="仿宋_GB2312" w:cs="仿宋_GB2312"/>
          <w:sz w:val="32"/>
          <w:szCs w:val="32"/>
        </w:rPr>
        <w:t>为阵地的宣传网格，</w:t>
      </w:r>
      <w:r>
        <w:rPr>
          <w:rFonts w:hint="eastAsia" w:ascii="仿宋_GB2312" w:hAnsi="仿宋_GB2312" w:eastAsia="仿宋_GB2312" w:cs="仿宋_GB2312"/>
          <w:sz w:val="32"/>
          <w:szCs w:val="32"/>
          <w:lang w:val="en-US" w:eastAsia="zh-CN"/>
        </w:rPr>
        <w:t>以“普法联盟”“法治夏令营”“宪法宣传月”为品牌的宣传媒介，</w:t>
      </w:r>
      <w:r>
        <w:rPr>
          <w:rFonts w:hint="eastAsia" w:ascii="仿宋_GB2312" w:hAnsi="仿宋_GB2312" w:eastAsia="仿宋_GB2312" w:cs="仿宋_GB2312"/>
          <w:sz w:val="32"/>
          <w:szCs w:val="32"/>
        </w:rPr>
        <w:t>按照时间节点开展各类法治宣传，营造浓厚的法治宣传氛围。</w:t>
      </w:r>
    </w:p>
    <w:p w14:paraId="041F232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cs="仿宋_GB2312"/>
          <w:b/>
          <w:bCs/>
          <w:sz w:val="32"/>
          <w:szCs w:val="32"/>
          <w:lang w:val="en-US" w:eastAsia="zh-CN"/>
        </w:rPr>
        <w:t>2.</w:t>
      </w:r>
      <w:r>
        <w:rPr>
          <w:rFonts w:hint="eastAsia" w:ascii="仿宋_GB2312" w:hAnsi="仿宋_GB2312" w:eastAsia="仿宋_GB2312" w:cs="仿宋_GB2312"/>
          <w:b/>
          <w:bCs/>
          <w:sz w:val="32"/>
          <w:szCs w:val="32"/>
        </w:rPr>
        <w:t>落实“谁执法谁普法”普法责任制。</w:t>
      </w:r>
      <w:r>
        <w:rPr>
          <w:rFonts w:hint="eastAsia" w:ascii="仿宋_GB2312" w:hAnsi="仿宋_GB2312" w:eastAsia="仿宋_GB2312" w:cs="仿宋_GB2312"/>
          <w:sz w:val="32"/>
          <w:szCs w:val="32"/>
        </w:rPr>
        <w:t>积极推进“谁执法谁普法”工作，明确重点宣传内容，开展专项宣传活动，结合重大突发公共事件开展与群众密切相关的法律法规宣传，推动形成尊法、学法、守法、用法的良好社会氛围。</w:t>
      </w:r>
    </w:p>
    <w:p w14:paraId="5E0C4EF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cs="仿宋_GB2312"/>
          <w:b/>
          <w:bCs/>
          <w:sz w:val="32"/>
          <w:szCs w:val="32"/>
          <w:lang w:val="en-US" w:eastAsia="zh-CN"/>
        </w:rPr>
        <w:t>3.</w:t>
      </w:r>
      <w:r>
        <w:rPr>
          <w:rFonts w:hint="eastAsia" w:ascii="仿宋_GB2312" w:hAnsi="仿宋_GB2312" w:eastAsia="仿宋_GB2312" w:cs="仿宋_GB2312"/>
          <w:b/>
          <w:bCs/>
          <w:sz w:val="32"/>
          <w:szCs w:val="32"/>
          <w:lang w:val="en-US" w:eastAsia="zh-CN"/>
        </w:rPr>
        <w:t>持续加大法治宣传力度。</w:t>
      </w:r>
      <w:r>
        <w:rPr>
          <w:rFonts w:hint="eastAsia" w:ascii="仿宋_GB2312" w:hAnsi="仿宋_GB2312" w:eastAsia="仿宋_GB2312" w:cs="仿宋_GB2312"/>
          <w:sz w:val="32"/>
          <w:szCs w:val="32"/>
          <w:lang w:val="en-US" w:eastAsia="zh-CN"/>
        </w:rPr>
        <w:t>建立普法宣传常态化机制，高质量抓好重点群体法治宣传，通过积极开展内容丰富的法治培训、宣传活动,利用培训、宣讲、宣传横幅、讲座等形式，扎实推进了法律进机关、进乡村、进社区、进学校、进企业等“法律十进”活动，让法治宣传教育深入到社会各个层面、各类人群。</w:t>
      </w:r>
      <w:r>
        <w:rPr>
          <w:rFonts w:hint="eastAsia" w:ascii="仿宋_GB2312" w:hAnsi="仿宋_GB2312" w:cs="仿宋_GB2312"/>
          <w:sz w:val="32"/>
          <w:szCs w:val="32"/>
          <w:lang w:val="en-US" w:eastAsia="zh-CN"/>
        </w:rPr>
        <w:t>2024年</w:t>
      </w:r>
      <w:r>
        <w:rPr>
          <w:rFonts w:hint="eastAsia" w:ascii="仿宋_GB2312" w:hAnsi="仿宋_GB2312" w:eastAsia="仿宋_GB2312" w:cs="仿宋_GB2312"/>
          <w:sz w:val="32"/>
          <w:szCs w:val="32"/>
          <w:lang w:val="en-US" w:eastAsia="zh-CN"/>
        </w:rPr>
        <w:t>共组织各类</w:t>
      </w:r>
      <w:r>
        <w:rPr>
          <w:rFonts w:hint="eastAsia" w:ascii="仿宋_GB2312" w:hAnsi="仿宋_GB2312" w:eastAsia="仿宋_GB2312" w:cs="仿宋_GB2312"/>
          <w:b w:val="0"/>
          <w:bCs w:val="0"/>
          <w:sz w:val="32"/>
          <w:szCs w:val="32"/>
          <w:lang w:val="en-US" w:eastAsia="zh-CN"/>
        </w:rPr>
        <w:t>法治宣传活动</w:t>
      </w:r>
      <w:r>
        <w:rPr>
          <w:rFonts w:hint="eastAsia" w:ascii="仿宋_GB2312" w:hAnsi="仿宋_GB2312" w:cs="仿宋_GB2312"/>
          <w:b w:val="0"/>
          <w:bCs w:val="0"/>
          <w:sz w:val="32"/>
          <w:szCs w:val="32"/>
          <w:lang w:val="en-US" w:eastAsia="zh-CN"/>
        </w:rPr>
        <w:t>50</w:t>
      </w:r>
      <w:r>
        <w:rPr>
          <w:rFonts w:hint="eastAsia" w:ascii="仿宋_GB2312" w:hAnsi="仿宋_GB2312" w:eastAsia="仿宋_GB2312" w:cs="仿宋_GB2312"/>
          <w:b w:val="0"/>
          <w:bCs w:val="0"/>
          <w:sz w:val="32"/>
          <w:szCs w:val="32"/>
          <w:lang w:val="en-US" w:eastAsia="zh-CN"/>
        </w:rPr>
        <w:t>场次，受众</w:t>
      </w:r>
      <w:r>
        <w:rPr>
          <w:rFonts w:hint="eastAsia" w:ascii="仿宋_GB2312" w:hAnsi="仿宋_GB2312" w:cs="仿宋_GB2312"/>
          <w:b w:val="0"/>
          <w:bCs w:val="0"/>
          <w:sz w:val="32"/>
          <w:szCs w:val="32"/>
          <w:lang w:val="en-US" w:eastAsia="zh-CN"/>
        </w:rPr>
        <w:t>5200</w:t>
      </w:r>
      <w:r>
        <w:rPr>
          <w:rFonts w:hint="eastAsia" w:ascii="仿宋_GB2312" w:hAnsi="仿宋_GB2312" w:eastAsia="仿宋_GB2312" w:cs="仿宋_GB2312"/>
          <w:b w:val="0"/>
          <w:bCs w:val="0"/>
          <w:sz w:val="32"/>
          <w:szCs w:val="32"/>
          <w:lang w:val="en-US" w:eastAsia="zh-CN"/>
        </w:rPr>
        <w:t>余人，</w:t>
      </w:r>
      <w:r>
        <w:rPr>
          <w:rFonts w:hint="eastAsia" w:ascii="仿宋_GB2312" w:hAnsi="仿宋_GB2312" w:eastAsia="仿宋_GB2312" w:cs="仿宋_GB2312"/>
          <w:sz w:val="32"/>
          <w:szCs w:val="32"/>
          <w:lang w:val="en-US" w:eastAsia="zh-CN"/>
        </w:rPr>
        <w:t>实现法治宣传全覆盖。</w:t>
      </w:r>
      <w:r>
        <w:rPr>
          <w:rFonts w:hint="eastAsia" w:ascii="仿宋_GB2312" w:hAnsi="仿宋_GB2312" w:eastAsia="仿宋_GB2312" w:cs="仿宋_GB2312"/>
          <w:sz w:val="32"/>
          <w:szCs w:val="32"/>
        </w:rPr>
        <w:t xml:space="preserve">  </w:t>
      </w:r>
    </w:p>
    <w:p w14:paraId="673875EC">
      <w:pPr>
        <w:keepNext w:val="0"/>
        <w:keepLines w:val="0"/>
        <w:pageBreakBefore w:val="0"/>
        <w:widowControl w:val="0"/>
        <w:kinsoku/>
        <w:wordWrap/>
        <w:overflowPunct/>
        <w:topLinePunct w:val="0"/>
        <w:autoSpaceDE/>
        <w:autoSpaceDN/>
        <w:bidi w:val="0"/>
        <w:adjustRightInd/>
        <w:snapToGrid/>
        <w:spacing w:before="292" w:beforeLines="50" w:line="560" w:lineRule="exact"/>
        <w:ind w:firstLine="632"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二、</w:t>
      </w:r>
      <w:r>
        <w:rPr>
          <w:rFonts w:hint="eastAsia" w:ascii="黑体" w:hAnsi="黑体" w:eastAsia="黑体" w:cs="黑体"/>
          <w:sz w:val="32"/>
          <w:szCs w:val="32"/>
          <w:lang w:val="en-US" w:eastAsia="zh-CN"/>
        </w:rPr>
        <w:t>2024年度推进法治政府建设存在的不足和原因</w:t>
      </w:r>
    </w:p>
    <w:p w14:paraId="7BF66F10">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潭柘寺镇</w:t>
      </w:r>
      <w:r>
        <w:rPr>
          <w:rFonts w:hint="eastAsia" w:ascii="仿宋_GB2312" w:hAnsi="仿宋_GB2312" w:eastAsia="仿宋_GB2312" w:cs="仿宋_GB2312"/>
          <w:sz w:val="32"/>
          <w:szCs w:val="32"/>
        </w:rPr>
        <w:t>法治政府建设工作在党委、</w:t>
      </w:r>
      <w:r>
        <w:rPr>
          <w:rFonts w:hint="eastAsia" w:ascii="仿宋_GB2312" w:hAnsi="仿宋_GB2312" w:eastAsia="仿宋_GB2312" w:cs="仿宋_GB2312"/>
          <w:sz w:val="32"/>
          <w:szCs w:val="32"/>
          <w:lang w:val="en-US" w:eastAsia="zh-CN"/>
        </w:rPr>
        <w:t>政府</w:t>
      </w:r>
      <w:r>
        <w:rPr>
          <w:rFonts w:hint="eastAsia" w:ascii="仿宋_GB2312" w:hAnsi="仿宋_GB2312" w:eastAsia="仿宋_GB2312" w:cs="仿宋_GB2312"/>
          <w:sz w:val="32"/>
          <w:szCs w:val="32"/>
        </w:rPr>
        <w:t>的领导下虽然取得了一定成绩，但</w:t>
      </w:r>
      <w:r>
        <w:rPr>
          <w:rFonts w:hint="eastAsia" w:ascii="仿宋_GB2312" w:hAnsi="仿宋_GB2312" w:eastAsia="仿宋_GB2312" w:cs="仿宋_GB2312"/>
          <w:sz w:val="32"/>
          <w:szCs w:val="32"/>
          <w:lang w:val="en-US" w:eastAsia="zh-CN"/>
        </w:rPr>
        <w:t>在</w:t>
      </w:r>
      <w:r>
        <w:rPr>
          <w:rFonts w:hint="eastAsia" w:ascii="仿宋_GB2312" w:hAnsi="仿宋_GB2312" w:eastAsia="仿宋_GB2312" w:cs="仿宋_GB2312"/>
          <w:sz w:val="32"/>
          <w:szCs w:val="32"/>
        </w:rPr>
        <w:t>全面推进法治政府建设</w:t>
      </w:r>
      <w:r>
        <w:rPr>
          <w:rFonts w:hint="eastAsia" w:ascii="仿宋_GB2312" w:hAnsi="仿宋_GB2312" w:eastAsia="仿宋_GB2312" w:cs="仿宋_GB2312"/>
          <w:sz w:val="32"/>
          <w:szCs w:val="32"/>
          <w:lang w:val="en-US" w:eastAsia="zh-CN"/>
        </w:rPr>
        <w:t>方面</w:t>
      </w:r>
      <w:r>
        <w:rPr>
          <w:rFonts w:hint="eastAsia" w:ascii="仿宋_GB2312" w:hAnsi="仿宋_GB2312" w:eastAsia="仿宋_GB2312" w:cs="仿宋_GB2312"/>
          <w:sz w:val="32"/>
          <w:szCs w:val="32"/>
        </w:rPr>
        <w:t>仍存在不足之处：一是机关干部依法行政能力水平还需进一步提高</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个别工作人员</w:t>
      </w:r>
      <w:r>
        <w:rPr>
          <w:rFonts w:hint="eastAsia" w:ascii="仿宋_GB2312" w:hAnsi="仿宋_GB2312" w:eastAsia="仿宋_GB2312" w:cs="仿宋_GB2312"/>
          <w:sz w:val="32"/>
          <w:szCs w:val="32"/>
        </w:rPr>
        <w:t>的证据意识和程序意识</w:t>
      </w:r>
      <w:r>
        <w:rPr>
          <w:rFonts w:hint="eastAsia" w:ascii="仿宋_GB2312" w:hAnsi="仿宋_GB2312" w:eastAsia="仿宋_GB2312" w:cs="仿宋_GB2312"/>
          <w:sz w:val="32"/>
          <w:szCs w:val="32"/>
          <w:lang w:val="en-US" w:eastAsia="zh-CN"/>
        </w:rPr>
        <w:t>薄弱</w:t>
      </w:r>
      <w:r>
        <w:rPr>
          <w:rFonts w:hint="eastAsia" w:ascii="仿宋_GB2312" w:hAnsi="仿宋_GB2312" w:cs="仿宋_GB2312"/>
          <w:sz w:val="32"/>
          <w:szCs w:val="32"/>
          <w:lang w:val="en-US" w:eastAsia="zh-CN"/>
        </w:rPr>
        <w:t>，学法用法主动性仍有不足，面对新矛盾存在习惯凭经验处理的情况，对新问题研判不够，需要绷紧“法律”之弦</w:t>
      </w:r>
      <w:r>
        <w:rPr>
          <w:rFonts w:hint="eastAsia" w:ascii="仿宋_GB2312" w:hAnsi="仿宋_GB2312" w:eastAsia="仿宋_GB2312" w:cs="仿宋_GB2312"/>
          <w:sz w:val="32"/>
          <w:szCs w:val="32"/>
        </w:rPr>
        <w:t>。</w:t>
      </w:r>
      <w:r>
        <w:rPr>
          <w:rFonts w:hint="eastAsia" w:ascii="仿宋_GB2312" w:hAnsi="仿宋_GB2312" w:cs="仿宋_GB2312"/>
          <w:sz w:val="32"/>
          <w:szCs w:val="32"/>
          <w:lang w:val="en-US" w:eastAsia="zh-CN"/>
        </w:rPr>
        <w:t>二是执法水平有待进一步提高。部分人员执法存在“重结果、轻程序”“重实效、轻证据”的情况，导致证据材料不够充分，文书制作不够细致，一定程度上影响行政行为的效力。三</w:t>
      </w:r>
      <w:r>
        <w:rPr>
          <w:rFonts w:hint="eastAsia" w:ascii="仿宋_GB2312" w:hAnsi="仿宋_GB2312" w:eastAsia="仿宋_GB2312" w:cs="仿宋_GB2312"/>
          <w:sz w:val="32"/>
          <w:szCs w:val="32"/>
        </w:rPr>
        <w:t>是依法治理工作措施还不够丰富</w:t>
      </w:r>
      <w:r>
        <w:rPr>
          <w:rFonts w:hint="eastAsia" w:ascii="仿宋_GB2312" w:hAnsi="仿宋_GB2312" w:cs="仿宋_GB2312"/>
          <w:sz w:val="32"/>
          <w:szCs w:val="32"/>
          <w:lang w:eastAsia="zh-CN"/>
        </w:rPr>
        <w:t>。</w:t>
      </w:r>
      <w:r>
        <w:rPr>
          <w:rFonts w:hint="eastAsia" w:ascii="仿宋_GB2312" w:hAnsi="仿宋_GB2312" w:cs="仿宋_GB2312"/>
          <w:sz w:val="32"/>
          <w:szCs w:val="32"/>
          <w:lang w:val="en-US" w:eastAsia="zh-CN"/>
        </w:rPr>
        <w:t>我镇目前村居治理并行、精品城市打造与诗画乡村建设共进，对</w:t>
      </w:r>
      <w:r>
        <w:rPr>
          <w:rFonts w:hint="eastAsia" w:ascii="仿宋_GB2312" w:hAnsi="仿宋_GB2312" w:eastAsia="仿宋_GB2312" w:cs="仿宋_GB2312"/>
          <w:sz w:val="32"/>
          <w:szCs w:val="32"/>
        </w:rPr>
        <w:t>普法依法治理工作</w:t>
      </w:r>
      <w:r>
        <w:rPr>
          <w:rFonts w:hint="eastAsia" w:ascii="仿宋_GB2312" w:hAnsi="仿宋_GB2312" w:cs="仿宋_GB2312"/>
          <w:sz w:val="32"/>
          <w:szCs w:val="32"/>
          <w:lang w:val="en-US" w:eastAsia="zh-CN"/>
        </w:rPr>
        <w:t>提出了</w:t>
      </w:r>
      <w:r>
        <w:rPr>
          <w:rFonts w:hint="eastAsia" w:ascii="仿宋_GB2312" w:hAnsi="仿宋_GB2312" w:eastAsia="仿宋_GB2312" w:cs="仿宋_GB2312"/>
          <w:sz w:val="32"/>
          <w:szCs w:val="32"/>
        </w:rPr>
        <w:t>新要求</w:t>
      </w:r>
      <w:r>
        <w:rPr>
          <w:rFonts w:hint="eastAsia" w:ascii="仿宋_GB2312" w:hAnsi="仿宋_GB2312" w:cs="仿宋_GB2312"/>
          <w:sz w:val="32"/>
          <w:szCs w:val="32"/>
          <w:lang w:eastAsia="zh-CN"/>
        </w:rPr>
        <w:t>，</w:t>
      </w:r>
      <w:r>
        <w:rPr>
          <w:rFonts w:hint="eastAsia" w:ascii="仿宋_GB2312" w:hAnsi="仿宋_GB2312" w:cs="仿宋_GB2312"/>
          <w:sz w:val="32"/>
          <w:szCs w:val="32"/>
          <w:lang w:val="en-US" w:eastAsia="zh-CN"/>
        </w:rPr>
        <w:t>在普法依法治理工作内容方面</w:t>
      </w:r>
      <w:r>
        <w:rPr>
          <w:rFonts w:hint="eastAsia" w:ascii="仿宋_GB2312" w:hAnsi="仿宋_GB2312" w:eastAsia="仿宋_GB2312" w:cs="仿宋_GB2312"/>
          <w:sz w:val="32"/>
          <w:szCs w:val="32"/>
        </w:rPr>
        <w:t>还有待提高，“谁执法谁普法”责任制仍需进一步压实。</w:t>
      </w:r>
    </w:p>
    <w:p w14:paraId="2E578B8B">
      <w:pPr>
        <w:keepNext w:val="0"/>
        <w:keepLines w:val="0"/>
        <w:pageBreakBefore w:val="0"/>
        <w:widowControl w:val="0"/>
        <w:kinsoku/>
        <w:wordWrap/>
        <w:overflowPunct/>
        <w:topLinePunct w:val="0"/>
        <w:autoSpaceDE/>
        <w:autoSpaceDN/>
        <w:bidi w:val="0"/>
        <w:adjustRightInd/>
        <w:snapToGrid/>
        <w:spacing w:before="292" w:beforeLines="50" w:line="560" w:lineRule="exact"/>
        <w:ind w:firstLine="632"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三、202</w:t>
      </w:r>
      <w:r>
        <w:rPr>
          <w:rFonts w:hint="eastAsia" w:ascii="黑体" w:hAnsi="黑体" w:eastAsia="黑体" w:cs="黑体"/>
          <w:sz w:val="32"/>
          <w:szCs w:val="32"/>
          <w:lang w:val="en-US" w:eastAsia="zh-CN"/>
        </w:rPr>
        <w:t>4</w:t>
      </w:r>
      <w:r>
        <w:rPr>
          <w:rFonts w:hint="eastAsia" w:ascii="黑体" w:hAnsi="黑体" w:eastAsia="黑体" w:cs="黑体"/>
          <w:sz w:val="32"/>
          <w:szCs w:val="32"/>
        </w:rPr>
        <w:t>年度党政主要负责人履行推进法治建设第一责任人职责，加强法治政府建设的工作情况</w:t>
      </w:r>
    </w:p>
    <w:p w14:paraId="1FD3786A">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我镇</w:t>
      </w:r>
      <w:r>
        <w:rPr>
          <w:rFonts w:hint="eastAsia" w:ascii="仿宋_GB2312" w:hAnsi="仿宋_GB2312" w:eastAsia="仿宋_GB2312" w:cs="仿宋_GB2312"/>
          <w:sz w:val="32"/>
          <w:szCs w:val="32"/>
        </w:rPr>
        <w:t>党政主要负责人切实履行推进法治建设第一责任人职责，</w:t>
      </w:r>
      <w:r>
        <w:rPr>
          <w:rFonts w:hint="eastAsia" w:ascii="仿宋_GB2312" w:hAnsi="仿宋_GB2312" w:eastAsia="仿宋_GB2312" w:cs="仿宋_GB2312"/>
          <w:b w:val="0"/>
          <w:bCs w:val="0"/>
          <w:sz w:val="32"/>
          <w:szCs w:val="32"/>
        </w:rPr>
        <w:t>并列入年终述职报告。</w:t>
      </w:r>
      <w:r>
        <w:rPr>
          <w:rFonts w:hint="eastAsia" w:ascii="仿宋_GB2312" w:hAnsi="仿宋_GB2312" w:eastAsia="仿宋_GB2312" w:cs="仿宋_GB2312"/>
          <w:sz w:val="32"/>
          <w:szCs w:val="32"/>
        </w:rPr>
        <w:t>严格落实领导责任制，切实加强对</w:t>
      </w:r>
      <w:r>
        <w:rPr>
          <w:rFonts w:hint="eastAsia" w:ascii="仿宋_GB2312" w:hAnsi="仿宋_GB2312" w:eastAsia="仿宋_GB2312" w:cs="仿宋_GB2312"/>
          <w:sz w:val="32"/>
          <w:szCs w:val="32"/>
          <w:lang w:val="en-US" w:eastAsia="zh-CN"/>
        </w:rPr>
        <w:t>本镇</w:t>
      </w:r>
      <w:r>
        <w:rPr>
          <w:rFonts w:hint="eastAsia" w:ascii="仿宋_GB2312" w:hAnsi="仿宋_GB2312" w:eastAsia="仿宋_GB2312" w:cs="仿宋_GB2312"/>
          <w:sz w:val="32"/>
          <w:szCs w:val="32"/>
        </w:rPr>
        <w:t>法治建设工作的领导。把法治建设工作纳入年度工作计划和工作目标并召开专题会议进行研究部署。严格落实司法所长列席</w:t>
      </w:r>
      <w:r>
        <w:rPr>
          <w:rFonts w:hint="eastAsia" w:ascii="仿宋_GB2312" w:hAnsi="仿宋_GB2312" w:eastAsia="仿宋_GB2312" w:cs="仿宋_GB2312"/>
          <w:sz w:val="32"/>
          <w:szCs w:val="32"/>
          <w:lang w:val="en-US" w:eastAsia="zh-CN"/>
        </w:rPr>
        <w:t>党委会、政府</w:t>
      </w:r>
      <w:r>
        <w:rPr>
          <w:rFonts w:hint="eastAsia" w:ascii="仿宋_GB2312" w:hAnsi="仿宋_GB2312" w:eastAsia="仿宋_GB2312" w:cs="仿宋_GB2312"/>
          <w:sz w:val="32"/>
          <w:szCs w:val="32"/>
        </w:rPr>
        <w:t>办公会制度和行政机关负责人出庭应诉工作。党政领导注重加强领导班子和机关</w:t>
      </w:r>
      <w:r>
        <w:rPr>
          <w:rFonts w:hint="eastAsia" w:ascii="仿宋_GB2312" w:hAnsi="仿宋_GB2312" w:eastAsia="仿宋_GB2312" w:cs="仿宋_GB2312"/>
          <w:sz w:val="32"/>
          <w:szCs w:val="32"/>
          <w:lang w:val="en-US" w:eastAsia="zh-CN"/>
        </w:rPr>
        <w:t>干部</w:t>
      </w:r>
      <w:r>
        <w:rPr>
          <w:rFonts w:hint="eastAsia" w:ascii="仿宋_GB2312" w:hAnsi="仿宋_GB2312" w:eastAsia="仿宋_GB2312" w:cs="仿宋_GB2312"/>
          <w:sz w:val="32"/>
          <w:szCs w:val="32"/>
        </w:rPr>
        <w:t>的法治教育，将法治教育纳入干部教育培训总体规划，执行好</w:t>
      </w:r>
      <w:r>
        <w:rPr>
          <w:rFonts w:hint="eastAsia" w:ascii="仿宋_GB2312" w:hAnsi="仿宋_GB2312" w:eastAsia="仿宋_GB2312" w:cs="仿宋_GB2312"/>
          <w:sz w:val="32"/>
          <w:szCs w:val="32"/>
          <w:lang w:val="en-US" w:eastAsia="zh-CN"/>
        </w:rPr>
        <w:t>党委</w:t>
      </w:r>
      <w:r>
        <w:rPr>
          <w:rFonts w:hint="eastAsia" w:ascii="仿宋_GB2312" w:hAnsi="仿宋_GB2312" w:eastAsia="仿宋_GB2312" w:cs="仿宋_GB2312"/>
          <w:sz w:val="32"/>
          <w:szCs w:val="32"/>
        </w:rPr>
        <w:t>中心组学法、领导干部和公务员日常学法、法治培训等制度，不断提高机关干部依法办事、依法行政能力。</w:t>
      </w:r>
    </w:p>
    <w:p w14:paraId="6A4ECDEA">
      <w:pPr>
        <w:keepNext w:val="0"/>
        <w:keepLines w:val="0"/>
        <w:pageBreakBefore w:val="0"/>
        <w:widowControl w:val="0"/>
        <w:kinsoku/>
        <w:wordWrap/>
        <w:overflowPunct/>
        <w:topLinePunct w:val="0"/>
        <w:autoSpaceDE/>
        <w:autoSpaceDN/>
        <w:bidi w:val="0"/>
        <w:adjustRightInd/>
        <w:snapToGrid/>
        <w:spacing w:before="292" w:beforeLines="50" w:line="560" w:lineRule="exact"/>
        <w:ind w:firstLine="632"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四、202</w:t>
      </w:r>
      <w:r>
        <w:rPr>
          <w:rFonts w:hint="eastAsia" w:ascii="黑体" w:hAnsi="黑体" w:eastAsia="黑体" w:cs="黑体"/>
          <w:sz w:val="32"/>
          <w:szCs w:val="32"/>
          <w:lang w:val="en-US" w:eastAsia="zh-CN"/>
        </w:rPr>
        <w:t>5</w:t>
      </w:r>
      <w:r>
        <w:rPr>
          <w:rFonts w:hint="eastAsia" w:ascii="黑体" w:hAnsi="黑体" w:eastAsia="黑体" w:cs="黑体"/>
          <w:sz w:val="32"/>
          <w:szCs w:val="32"/>
        </w:rPr>
        <w:t>年推进法治政府建设的主要安排</w:t>
      </w:r>
    </w:p>
    <w:p w14:paraId="3C7A21CC">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潭柘寺镇</w:t>
      </w:r>
      <w:r>
        <w:rPr>
          <w:rFonts w:hint="eastAsia" w:ascii="仿宋_GB2312" w:hAnsi="仿宋_GB2312" w:eastAsia="仿宋_GB2312" w:cs="仿宋_GB2312"/>
          <w:sz w:val="32"/>
          <w:szCs w:val="32"/>
        </w:rPr>
        <w:t>继续以习近平新时代中国特色社会主义思想为指导，全面贯彻落实习近平法治思想，切实推进落实</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val="en-US" w:eastAsia="zh-CN"/>
        </w:rPr>
        <w:t>门头沟区全面依法治区</w:t>
      </w:r>
      <w:r>
        <w:rPr>
          <w:rFonts w:hint="eastAsia" w:ascii="仿宋_GB2312" w:hAnsi="仿宋_GB2312" w:eastAsia="仿宋_GB2312" w:cs="仿宋_GB2312"/>
          <w:b w:val="0"/>
          <w:bCs w:val="0"/>
          <w:sz w:val="32"/>
          <w:szCs w:val="32"/>
        </w:rPr>
        <w:t>规划(2021-2025 年)》</w:t>
      </w:r>
      <w:r>
        <w:rPr>
          <w:rFonts w:hint="eastAsia" w:ascii="仿宋_GB2312" w:hAnsi="仿宋_GB2312" w:eastAsia="仿宋_GB2312" w:cs="仿宋_GB2312"/>
          <w:sz w:val="32"/>
          <w:szCs w:val="32"/>
        </w:rPr>
        <w:t>中各项工作举措，不断地加大法治宣传，完善矛盾纠纷多元化解机制，深入推进法治政府建设。</w:t>
      </w:r>
    </w:p>
    <w:p w14:paraId="6911FFB8">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kern w:val="2"/>
          <w:sz w:val="32"/>
          <w:szCs w:val="32"/>
          <w:lang w:val="en-US" w:eastAsia="zh-CN" w:bidi="ar"/>
        </w:rPr>
        <w:t>（一）全面加强依法行政</w:t>
      </w:r>
    </w:p>
    <w:p w14:paraId="1412F528">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健全决策程序，进一步加大政务信息公开力度，统筹发挥好现有</w:t>
      </w:r>
      <w:r>
        <w:rPr>
          <w:rFonts w:hint="eastAsia" w:ascii="仿宋_GB2312" w:hAnsi="仿宋_GB2312" w:eastAsia="仿宋_GB2312" w:cs="仿宋_GB2312"/>
          <w:sz w:val="32"/>
          <w:szCs w:val="32"/>
          <w:lang w:val="en-US" w:eastAsia="zh-CN"/>
        </w:rPr>
        <w:t>政务</w:t>
      </w:r>
      <w:r>
        <w:rPr>
          <w:rFonts w:hint="eastAsia" w:ascii="仿宋_GB2312" w:hAnsi="仿宋_GB2312" w:eastAsia="仿宋_GB2312" w:cs="仿宋_GB2312"/>
          <w:sz w:val="32"/>
          <w:szCs w:val="32"/>
        </w:rPr>
        <w:t>网站、微信的全媒体作用，及时发布</w:t>
      </w:r>
      <w:r>
        <w:rPr>
          <w:rFonts w:hint="eastAsia" w:ascii="仿宋_GB2312" w:hAnsi="仿宋_GB2312" w:eastAsia="仿宋_GB2312" w:cs="仿宋_GB2312"/>
          <w:sz w:val="32"/>
          <w:szCs w:val="32"/>
          <w:lang w:val="en-US" w:eastAsia="zh-CN"/>
        </w:rPr>
        <w:t>政府</w:t>
      </w:r>
      <w:r>
        <w:rPr>
          <w:rFonts w:hint="eastAsia" w:ascii="仿宋_GB2312" w:hAnsi="仿宋_GB2312" w:eastAsia="仿宋_GB2312" w:cs="仿宋_GB2312"/>
          <w:sz w:val="32"/>
          <w:szCs w:val="32"/>
        </w:rPr>
        <w:t>工作内容和信息，接受</w:t>
      </w:r>
      <w:r>
        <w:rPr>
          <w:rFonts w:hint="eastAsia" w:ascii="仿宋_GB2312" w:hAnsi="仿宋_GB2312" w:eastAsia="仿宋_GB2312" w:cs="仿宋_GB2312"/>
          <w:sz w:val="32"/>
          <w:szCs w:val="32"/>
          <w:lang w:val="en-US" w:eastAsia="zh-CN"/>
        </w:rPr>
        <w:t>辖区</w:t>
      </w:r>
      <w:r>
        <w:rPr>
          <w:rFonts w:hint="eastAsia" w:ascii="仿宋_GB2312" w:hAnsi="仿宋_GB2312" w:eastAsia="仿宋_GB2312" w:cs="仿宋_GB2312"/>
          <w:sz w:val="32"/>
          <w:szCs w:val="32"/>
        </w:rPr>
        <w:t>群众监督。进一步加强内部监督，完善</w:t>
      </w:r>
      <w:r>
        <w:rPr>
          <w:rFonts w:hint="eastAsia" w:ascii="仿宋_GB2312" w:hAnsi="仿宋_GB2312" w:eastAsia="仿宋_GB2312" w:cs="仿宋_GB2312"/>
          <w:sz w:val="32"/>
          <w:szCs w:val="32"/>
          <w:lang w:val="en-US" w:eastAsia="zh-CN"/>
        </w:rPr>
        <w:t>内审、合法性审查</w:t>
      </w:r>
      <w:r>
        <w:rPr>
          <w:rFonts w:hint="eastAsia" w:ascii="仿宋_GB2312" w:hAnsi="仿宋_GB2312" w:eastAsia="仿宋_GB2312" w:cs="仿宋_GB2312"/>
          <w:sz w:val="32"/>
          <w:szCs w:val="32"/>
        </w:rPr>
        <w:t>制度，继续推进</w:t>
      </w:r>
      <w:r>
        <w:rPr>
          <w:rFonts w:hint="eastAsia" w:ascii="仿宋_GB2312" w:hAnsi="仿宋_GB2312" w:eastAsia="仿宋_GB2312" w:cs="仿宋_GB2312"/>
          <w:sz w:val="32"/>
          <w:szCs w:val="32"/>
          <w:lang w:val="en-US" w:eastAsia="zh-CN"/>
        </w:rPr>
        <w:t>重大行政决策合法性审查工作</w:t>
      </w:r>
      <w:r>
        <w:rPr>
          <w:rFonts w:hint="eastAsia" w:ascii="仿宋_GB2312" w:hAnsi="仿宋_GB2312" w:eastAsia="仿宋_GB2312" w:cs="仿宋_GB2312"/>
          <w:sz w:val="32"/>
          <w:szCs w:val="32"/>
        </w:rPr>
        <w:t>。积极对接区级行政审批制度改革，严格执行区和</w:t>
      </w:r>
      <w:r>
        <w:rPr>
          <w:rFonts w:hint="eastAsia" w:ascii="仿宋_GB2312" w:hAnsi="仿宋_GB2312" w:eastAsia="仿宋_GB2312" w:cs="仿宋_GB2312"/>
          <w:sz w:val="32"/>
          <w:szCs w:val="32"/>
          <w:lang w:val="en-US" w:eastAsia="zh-CN"/>
        </w:rPr>
        <w:t>镇街</w:t>
      </w:r>
      <w:r>
        <w:rPr>
          <w:rFonts w:hint="eastAsia" w:ascii="仿宋_GB2312" w:hAnsi="仿宋_GB2312" w:eastAsia="仿宋_GB2312" w:cs="仿宋_GB2312"/>
          <w:sz w:val="32"/>
          <w:szCs w:val="32"/>
        </w:rPr>
        <w:t>两级权力清单和责任清单。严格执行重大执法决定法制审核制度，加强行政执法队伍建设，促进严格规范公正文明执法。</w:t>
      </w:r>
    </w:p>
    <w:p w14:paraId="3DD77CB3">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kern w:val="2"/>
          <w:sz w:val="32"/>
          <w:szCs w:val="32"/>
          <w:lang w:val="en-US" w:eastAsia="zh-CN" w:bidi="ar"/>
        </w:rPr>
        <w:t>（二）加强矛盾纠纷多元化解</w:t>
      </w:r>
    </w:p>
    <w:p w14:paraId="74FD5B69">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坚持和发扬新时代“枫桥经验”，发挥好</w:t>
      </w:r>
      <w:r>
        <w:rPr>
          <w:rFonts w:hint="eastAsia" w:ascii="仿宋_GB2312" w:hAnsi="仿宋_GB2312" w:eastAsia="仿宋_GB2312" w:cs="仿宋_GB2312"/>
          <w:sz w:val="32"/>
          <w:szCs w:val="32"/>
          <w:lang w:val="en-US" w:eastAsia="zh-CN"/>
        </w:rPr>
        <w:t>镇调委会、“和美”调解室、镇劳动人事争议调解中心</w:t>
      </w:r>
      <w:r>
        <w:rPr>
          <w:rFonts w:hint="eastAsia" w:ascii="仿宋_GB2312" w:hAnsi="仿宋_GB2312" w:eastAsia="仿宋_GB2312" w:cs="仿宋_GB2312"/>
          <w:sz w:val="32"/>
          <w:szCs w:val="32"/>
        </w:rPr>
        <w:t>纠纷解决平台作用，推进诉源治理，完善人民调解、行政调解、司法调解联动工作机制，着力构建大调解工作新格局。</w:t>
      </w:r>
    </w:p>
    <w:p w14:paraId="6AD80AF2">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楷体_GB2312" w:hAnsi="楷体_GB2312" w:eastAsia="楷体_GB2312" w:cs="楷体_GB2312"/>
          <w:kern w:val="2"/>
          <w:sz w:val="32"/>
          <w:szCs w:val="32"/>
          <w:lang w:val="en-US" w:eastAsia="zh-CN" w:bidi="ar"/>
        </w:rPr>
      </w:pPr>
      <w:r>
        <w:rPr>
          <w:rFonts w:hint="eastAsia" w:ascii="楷体_GB2312" w:hAnsi="楷体_GB2312" w:eastAsia="楷体_GB2312" w:cs="楷体_GB2312"/>
          <w:kern w:val="2"/>
          <w:sz w:val="32"/>
          <w:szCs w:val="32"/>
          <w:lang w:val="en-US" w:eastAsia="zh-CN" w:bidi="ar"/>
        </w:rPr>
        <w:t>（三）加强普法依法治理工作</w:t>
      </w:r>
    </w:p>
    <w:p w14:paraId="21044E7C">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结合</w:t>
      </w:r>
      <w:r>
        <w:rPr>
          <w:rFonts w:hint="eastAsia" w:ascii="仿宋_GB2312" w:hAnsi="仿宋_GB2312" w:eastAsia="仿宋_GB2312" w:cs="仿宋_GB2312"/>
          <w:sz w:val="32"/>
          <w:szCs w:val="32"/>
          <w:lang w:val="en-US" w:eastAsia="zh-CN"/>
        </w:rPr>
        <w:t>潭柘寺镇</w:t>
      </w:r>
      <w:r>
        <w:rPr>
          <w:rFonts w:hint="eastAsia" w:ascii="仿宋_GB2312" w:hAnsi="仿宋_GB2312" w:eastAsia="仿宋_GB2312" w:cs="仿宋_GB2312"/>
          <w:sz w:val="32"/>
          <w:szCs w:val="32"/>
        </w:rPr>
        <w:t>特色开展专项法治宣传活动，结合</w:t>
      </w:r>
      <w:r>
        <w:rPr>
          <w:rFonts w:hint="eastAsia" w:ascii="仿宋_GB2312" w:hAnsi="仿宋_GB2312" w:eastAsia="仿宋_GB2312" w:cs="仿宋_GB2312"/>
          <w:sz w:val="32"/>
          <w:szCs w:val="32"/>
          <w:lang w:val="en-US" w:eastAsia="zh-CN"/>
        </w:rPr>
        <w:t>檀谷商圈发展提升</w:t>
      </w:r>
      <w:r>
        <w:rPr>
          <w:rFonts w:hint="eastAsia" w:ascii="仿宋_GB2312" w:hAnsi="仿宋_GB2312" w:eastAsia="仿宋_GB2312" w:cs="仿宋_GB2312"/>
          <w:sz w:val="32"/>
          <w:szCs w:val="32"/>
        </w:rPr>
        <w:t>，将优质的法律服务嵌入“</w:t>
      </w:r>
      <w:r>
        <w:rPr>
          <w:rFonts w:hint="eastAsia" w:ascii="仿宋_GB2312" w:hAnsi="仿宋_GB2312" w:eastAsia="仿宋_GB2312" w:cs="仿宋_GB2312"/>
          <w:sz w:val="32"/>
          <w:szCs w:val="32"/>
          <w:lang w:val="en-US" w:eastAsia="zh-CN"/>
        </w:rPr>
        <w:t>文旅</w:t>
      </w:r>
      <w:r>
        <w:rPr>
          <w:rFonts w:hint="eastAsia" w:ascii="仿宋_GB2312" w:hAnsi="仿宋_GB2312" w:eastAsia="仿宋_GB2312" w:cs="仿宋_GB2312"/>
          <w:sz w:val="32"/>
          <w:szCs w:val="32"/>
        </w:rPr>
        <w:t>盒子”，做实做优公共法律服务等特色品牌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以持续提升公民法治素养为抓手，纵深推进“八五”普法规划实施，推动依法治理工作提质增效。</w:t>
      </w:r>
    </w:p>
    <w:p w14:paraId="68744538">
      <w:pPr>
        <w:pStyle w:val="2"/>
        <w:keepNext w:val="0"/>
        <w:keepLines w:val="0"/>
        <w:pageBreakBefore w:val="0"/>
        <w:widowControl w:val="0"/>
        <w:kinsoku/>
        <w:wordWrap/>
        <w:overflowPunct/>
        <w:topLinePunct w:val="0"/>
        <w:autoSpaceDE/>
        <w:autoSpaceDN/>
        <w:bidi w:val="0"/>
        <w:adjustRightInd/>
        <w:snapToGrid/>
        <w:spacing w:before="292" w:beforeLines="50" w:after="0" w:line="560" w:lineRule="exact"/>
        <w:ind w:firstLine="641"/>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五、其他需要报告的情况</w:t>
      </w:r>
    </w:p>
    <w:p w14:paraId="5E10EBC6">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无。</w:t>
      </w:r>
    </w:p>
    <w:p w14:paraId="12016809">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特此报告。</w:t>
      </w:r>
    </w:p>
    <w:p w14:paraId="48308209">
      <w:pPr>
        <w:pStyle w:val="2"/>
        <w:keepNext w:val="0"/>
        <w:keepLines w:val="0"/>
        <w:pageBreakBefore w:val="0"/>
        <w:widowControl w:val="0"/>
        <w:kinsoku/>
        <w:wordWrap/>
        <w:overflowPunct/>
        <w:topLinePunct w:val="0"/>
        <w:autoSpaceDE/>
        <w:autoSpaceDN/>
        <w:bidi w:val="0"/>
        <w:spacing w:line="560" w:lineRule="exact"/>
        <w:textAlignment w:val="auto"/>
        <w:rPr>
          <w:rFonts w:hint="eastAsia" w:ascii="仿宋_GB2312" w:hAnsi="仿宋_GB2312" w:eastAsia="仿宋_GB2312" w:cs="仿宋_GB2312"/>
          <w:sz w:val="32"/>
          <w:szCs w:val="32"/>
          <w:highlight w:val="none"/>
          <w:lang w:eastAsia="zh-CN"/>
        </w:rPr>
      </w:pPr>
    </w:p>
    <w:p w14:paraId="2DD61700">
      <w:pPr>
        <w:keepNext w:val="0"/>
        <w:keepLines w:val="0"/>
        <w:pageBreakBefore w:val="0"/>
        <w:widowControl w:val="0"/>
        <w:kinsoku/>
        <w:wordWrap/>
        <w:overflowPunct/>
        <w:topLinePunct w:val="0"/>
        <w:autoSpaceDE/>
        <w:autoSpaceDN/>
        <w:bidi w:val="0"/>
        <w:spacing w:line="560" w:lineRule="exact"/>
        <w:textAlignment w:val="auto"/>
        <w:rPr>
          <w:rFonts w:hint="eastAsia" w:ascii="仿宋_GB2312" w:hAnsi="仿宋_GB2312" w:eastAsia="仿宋_GB2312" w:cs="仿宋_GB2312"/>
          <w:sz w:val="32"/>
          <w:szCs w:val="32"/>
          <w:highlight w:val="none"/>
          <w:lang w:eastAsia="zh-CN"/>
        </w:rPr>
      </w:pPr>
    </w:p>
    <w:p w14:paraId="0D75C801">
      <w:pPr>
        <w:pStyle w:val="2"/>
        <w:keepNext w:val="0"/>
        <w:keepLines w:val="0"/>
        <w:pageBreakBefore w:val="0"/>
        <w:widowControl w:val="0"/>
        <w:kinsoku/>
        <w:wordWrap/>
        <w:overflowPunct/>
        <w:topLinePunct w:val="0"/>
        <w:autoSpaceDE/>
        <w:autoSpaceDN/>
        <w:bidi w:val="0"/>
        <w:spacing w:line="560" w:lineRule="exact"/>
        <w:jc w:val="right"/>
        <w:textAlignment w:val="auto"/>
        <w:rPr>
          <w:rFonts w:hint="eastAsia" w:ascii="仿宋_GB2312" w:hAnsi="仿宋_GB2312" w:cs="仿宋_GB2312"/>
          <w:sz w:val="32"/>
          <w:szCs w:val="32"/>
          <w:highlight w:val="none"/>
          <w:lang w:val="en-US" w:eastAsia="zh-CN"/>
        </w:rPr>
      </w:pPr>
    </w:p>
    <w:p w14:paraId="358E28B2">
      <w:pPr>
        <w:pStyle w:val="2"/>
        <w:keepNext w:val="0"/>
        <w:keepLines w:val="0"/>
        <w:pageBreakBefore w:val="0"/>
        <w:widowControl w:val="0"/>
        <w:kinsoku/>
        <w:wordWrap/>
        <w:overflowPunct/>
        <w:topLinePunct w:val="0"/>
        <w:autoSpaceDE/>
        <w:autoSpaceDN/>
        <w:bidi w:val="0"/>
        <w:spacing w:line="560" w:lineRule="exact"/>
        <w:jc w:val="right"/>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北京市门头沟区潭柘寺镇人民政府</w:t>
      </w:r>
    </w:p>
    <w:p w14:paraId="02A46FA2">
      <w:pPr>
        <w:keepNext w:val="0"/>
        <w:keepLines w:val="0"/>
        <w:pageBreakBefore w:val="0"/>
        <w:widowControl w:val="0"/>
        <w:kinsoku/>
        <w:wordWrap/>
        <w:overflowPunct/>
        <w:topLinePunct w:val="0"/>
        <w:autoSpaceDE/>
        <w:autoSpaceDN/>
        <w:bidi w:val="0"/>
        <w:spacing w:line="560" w:lineRule="exact"/>
        <w:ind w:firstLine="632" w:firstLineChars="200"/>
        <w:jc w:val="center"/>
        <w:textAlignment w:val="auto"/>
        <w:rPr>
          <w:rFonts w:hint="default"/>
          <w:lang w:val="en-US" w:eastAsia="zh-CN"/>
        </w:rPr>
      </w:pPr>
      <w:r>
        <w:rPr>
          <w:rFonts w:hint="eastAsia" w:ascii="仿宋_GB2312" w:hAnsi="仿宋_GB2312" w:cs="仿宋_GB2312"/>
          <w:sz w:val="32"/>
          <w:szCs w:val="32"/>
          <w:highlight w:val="none"/>
          <w:lang w:val="en-US" w:eastAsia="zh-CN"/>
        </w:rPr>
        <w:t xml:space="preserve">                   2025年1月24日</w:t>
      </w:r>
    </w:p>
    <w:p w14:paraId="247A00F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highlight w:val="none"/>
          <w:lang w:val="en-US" w:eastAsia="zh-CN"/>
        </w:rPr>
      </w:pPr>
    </w:p>
    <w:p w14:paraId="1D6FF924">
      <w:pPr>
        <w:keepNext w:val="0"/>
        <w:keepLines w:val="0"/>
        <w:pageBreakBefore w:val="0"/>
        <w:widowControl w:val="0"/>
        <w:kinsoku/>
        <w:wordWrap/>
        <w:overflowPunct/>
        <w:topLinePunct w:val="0"/>
        <w:autoSpaceDE/>
        <w:autoSpaceDN/>
        <w:bidi w:val="0"/>
        <w:spacing w:line="560" w:lineRule="exact"/>
        <w:textAlignment w:val="auto"/>
        <w:rPr>
          <w:rFonts w:hint="eastAsia" w:ascii="仿宋_GB2312"/>
          <w:u w:val="single"/>
        </w:rPr>
      </w:pPr>
    </w:p>
    <w:p w14:paraId="318142C9">
      <w:pPr>
        <w:keepNext w:val="0"/>
        <w:keepLines w:val="0"/>
        <w:pageBreakBefore w:val="0"/>
        <w:widowControl w:val="0"/>
        <w:kinsoku/>
        <w:wordWrap/>
        <w:overflowPunct/>
        <w:topLinePunct w:val="0"/>
        <w:autoSpaceDE/>
        <w:autoSpaceDN/>
        <w:bidi w:val="0"/>
        <w:spacing w:line="560" w:lineRule="exact"/>
        <w:textAlignment w:val="auto"/>
        <w:rPr>
          <w:rFonts w:hint="eastAsia" w:ascii="仿宋_GB2312"/>
          <w:u w:val="single"/>
        </w:rPr>
      </w:pPr>
    </w:p>
    <w:p w14:paraId="30190341">
      <w:pPr>
        <w:spacing w:line="100" w:lineRule="exact"/>
        <w:rPr>
          <w:rFonts w:hint="eastAsia" w:ascii="仿宋_GB2312"/>
          <w:sz w:val="28"/>
          <w:szCs w:val="28"/>
        </w:rPr>
      </w:pPr>
    </w:p>
    <w:sectPr>
      <w:headerReference r:id="rId3" w:type="default"/>
      <w:footerReference r:id="rId5" w:type="default"/>
      <w:headerReference r:id="rId4" w:type="even"/>
      <w:footerReference r:id="rId6" w:type="even"/>
      <w:pgSz w:w="11907" w:h="16840"/>
      <w:pgMar w:top="2098" w:right="1474" w:bottom="1984" w:left="1587" w:header="851" w:footer="1746" w:gutter="0"/>
      <w:pgNumType w:fmt="numberInDash"/>
      <w:cols w:space="720" w:num="1"/>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1863316F-2708-459F-87DA-1074E18320B4}"/>
  </w:font>
  <w:font w:name="黑体">
    <w:panose1 w:val="02010609060101010101"/>
    <w:charset w:val="86"/>
    <w:family w:val="auto"/>
    <w:pitch w:val="default"/>
    <w:sig w:usb0="800002BF" w:usb1="38CF7CFA" w:usb2="00000016" w:usb3="00000000" w:csb0="00040001" w:csb1="00000000"/>
    <w:embedRegular r:id="rId2" w:fontKey="{844A7DCA-6A4E-45CA-B8D7-27970AAE142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3" w:fontKey="{33F2B056-67BF-489E-9D51-774D27E4D3BE}"/>
  </w:font>
  <w:font w:name="方正小标宋简体">
    <w:panose1 w:val="02000000000000000000"/>
    <w:charset w:val="86"/>
    <w:family w:val="auto"/>
    <w:pitch w:val="default"/>
    <w:sig w:usb0="00000001" w:usb1="08000000" w:usb2="00000000" w:usb3="00000000" w:csb0="00040000" w:csb1="00000000"/>
    <w:embedRegular r:id="rId4" w:fontKey="{F1DAF6BB-2866-4DFC-8CC1-713583E00368}"/>
  </w:font>
  <w:font w:name="楷体_GB2312">
    <w:altName w:val="楷体"/>
    <w:panose1 w:val="02010609030101010101"/>
    <w:charset w:val="86"/>
    <w:family w:val="modern"/>
    <w:pitch w:val="default"/>
    <w:sig w:usb0="00000000" w:usb1="00000000" w:usb2="00000000" w:usb3="00000000" w:csb0="00040000" w:csb1="00000000"/>
    <w:embedRegular r:id="rId5" w:fontKey="{4A235C54-DD44-423B-863C-283A3922C4C3}"/>
  </w:font>
  <w:font w:name="楷体">
    <w:panose1 w:val="02010609060101010101"/>
    <w:charset w:val="86"/>
    <w:family w:val="auto"/>
    <w:pitch w:val="default"/>
    <w:sig w:usb0="800002BF" w:usb1="38CF7CFA" w:usb2="00000016" w:usb3="00000000" w:csb0="00040001" w:csb1="00000000"/>
  </w:font>
  <w:font w:name="Segoe UI Variable Text Semibold">
    <w:panose1 w:val="00000000000000000000"/>
    <w:charset w:val="00"/>
    <w:family w:val="auto"/>
    <w:pitch w:val="default"/>
    <w:sig w:usb0="A00002FF" w:usb1="0000000B" w:usb2="00000000" w:usb3="00000000" w:csb0="2000019F" w:csb1="00000000"/>
  </w:font>
  <w:font w:name="Javanese Text">
    <w:panose1 w:val="02000000000000000000"/>
    <w:charset w:val="00"/>
    <w:family w:val="auto"/>
    <w:pitch w:val="default"/>
    <w:sig w:usb0="80000003" w:usb1="00002000" w:usb2="00000000" w:usb3="00000000" w:csb0="00000001" w:csb1="00000000"/>
  </w:font>
  <w:font w:name="Ink Free">
    <w:panose1 w:val="03080402000500000000"/>
    <w:charset w:val="00"/>
    <w:family w:val="auto"/>
    <w:pitch w:val="default"/>
    <w:sig w:usb0="0000068F" w:usb1="4000000A" w:usb2="00000000" w:usb3="00000000" w:csb0="0000019F" w:csb1="00000000"/>
  </w:font>
  <w:font w:name="方正楷体_GB231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BE65EA">
    <w:pPr>
      <w:pStyle w:val="5"/>
      <w:ind w:right="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-3810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AC49B9">
                          <w:pPr>
                            <w:pStyle w:val="5"/>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3pt;height:144pt;width:144pt;mso-position-horizontal:center;mso-position-horizontal-relative:margin;mso-wrap-style:none;z-index:251659264;mso-width-relative:page;mso-height-relative:page;" filled="f" stroked="f" coordsize="21600,21600" o:gfxdata="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PjYvuHTAAAABgEAAA8AAAAAAAAAAQAgAAAAIgAAAGRycy9kb3ducmV2LnhtbFBLAQIU&#10;ABQAAAAIAIdO4kBrhfn7MQIAAGEEAAAOAAAAAAAAAAEAIAAAACIBAABkcnMvZTJvRG9jLnhtbFBL&#10;BQYAAAAABgAGAFkBAADFBQAAAAA=&#10;">
              <v:fill on="f" focussize="0,0"/>
              <v:stroke on="f" weight="0.5pt"/>
              <v:imagedata o:title=""/>
              <o:lock v:ext="edit" aspectratio="f"/>
              <v:textbox inset="0mm,0mm,0mm,0mm" style="mso-fit-shape-to-text:t;">
                <w:txbxContent>
                  <w:p w14:paraId="17AC49B9">
                    <w:pPr>
                      <w:pStyle w:val="5"/>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91485">
    <w:pPr>
      <w:pStyle w:val="5"/>
      <w:ind w:right="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-3810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1DBD55">
                          <w:pPr>
                            <w:pStyle w:val="5"/>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- 2 -</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3pt;height:144pt;width:144pt;mso-position-horizontal:center;mso-position-horizontal-relative:margin;mso-wrap-style:none;z-index:251660288;mso-width-relative:page;mso-height-relative:page;" filled="f" stroked="f" coordsize="21600,21600" o:gfxdata="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PjYvuHTAAAABgEAAA8AAAAAAAAAAQAgAAAAIgAAAGRycy9kb3ducmV2LnhtbFBLAQIU&#10;ABQAAAAIAIdO4kAkgka0MQIAAGEEAAAOAAAAAAAAAAEAIAAAACIBAABkcnMvZTJvRG9jLnhtbFBL&#10;BQYAAAAABgAGAFkBAADFBQAAAAA=&#10;">
              <v:fill on="f" focussize="0,0"/>
              <v:stroke on="f" weight="0.5pt"/>
              <v:imagedata o:title=""/>
              <o:lock v:ext="edit" aspectratio="f"/>
              <v:textbox inset="0mm,0mm,0mm,0mm" style="mso-fit-shape-to-text:t;">
                <w:txbxContent>
                  <w:p w14:paraId="211DBD55">
                    <w:pPr>
                      <w:pStyle w:val="5"/>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- 2 -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CEFA53">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4F9E1E">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3"/>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HorizontalSpacing w:val="158"/>
  <w:drawingGridVerticalSpacing w:val="579"/>
  <w:displayHorizontalDrawingGridEvery w:val="0"/>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k1YjI4NDNmNmMxYjVmYzIzYmNkNWZmNTUxN2I0MjUifQ=="/>
  </w:docVars>
  <w:rsids>
    <w:rsidRoot w:val="00C60364"/>
    <w:rsid w:val="00000B1A"/>
    <w:rsid w:val="00007353"/>
    <w:rsid w:val="00021816"/>
    <w:rsid w:val="00033FF5"/>
    <w:rsid w:val="000419EE"/>
    <w:rsid w:val="00062EEE"/>
    <w:rsid w:val="00066D0D"/>
    <w:rsid w:val="000970FB"/>
    <w:rsid w:val="000A4DBC"/>
    <w:rsid w:val="000B4198"/>
    <w:rsid w:val="000B5470"/>
    <w:rsid w:val="000C0FF6"/>
    <w:rsid w:val="000D3362"/>
    <w:rsid w:val="000D4DD0"/>
    <w:rsid w:val="000D7D23"/>
    <w:rsid w:val="000E045B"/>
    <w:rsid w:val="000F00F9"/>
    <w:rsid w:val="000F48C6"/>
    <w:rsid w:val="00107F82"/>
    <w:rsid w:val="001126BD"/>
    <w:rsid w:val="0012014C"/>
    <w:rsid w:val="00120AD1"/>
    <w:rsid w:val="0012795A"/>
    <w:rsid w:val="00127E6F"/>
    <w:rsid w:val="00136BE3"/>
    <w:rsid w:val="00143682"/>
    <w:rsid w:val="001467B8"/>
    <w:rsid w:val="0015047D"/>
    <w:rsid w:val="00154B1A"/>
    <w:rsid w:val="00161572"/>
    <w:rsid w:val="0016347F"/>
    <w:rsid w:val="00164D9B"/>
    <w:rsid w:val="00171636"/>
    <w:rsid w:val="001749ED"/>
    <w:rsid w:val="00176AE9"/>
    <w:rsid w:val="00177C43"/>
    <w:rsid w:val="00182257"/>
    <w:rsid w:val="00182B86"/>
    <w:rsid w:val="00190F08"/>
    <w:rsid w:val="00191475"/>
    <w:rsid w:val="00191D97"/>
    <w:rsid w:val="00191F45"/>
    <w:rsid w:val="00193C3E"/>
    <w:rsid w:val="001A4E8D"/>
    <w:rsid w:val="001A6916"/>
    <w:rsid w:val="001B1721"/>
    <w:rsid w:val="001C2144"/>
    <w:rsid w:val="001E467E"/>
    <w:rsid w:val="002079B8"/>
    <w:rsid w:val="002106F6"/>
    <w:rsid w:val="00233F13"/>
    <w:rsid w:val="0025016A"/>
    <w:rsid w:val="00250759"/>
    <w:rsid w:val="002528C8"/>
    <w:rsid w:val="00261140"/>
    <w:rsid w:val="00280055"/>
    <w:rsid w:val="0028036D"/>
    <w:rsid w:val="00297071"/>
    <w:rsid w:val="002979E1"/>
    <w:rsid w:val="002A1A1E"/>
    <w:rsid w:val="002A30E5"/>
    <w:rsid w:val="002A5BA0"/>
    <w:rsid w:val="002A6736"/>
    <w:rsid w:val="002B1A19"/>
    <w:rsid w:val="002B1A20"/>
    <w:rsid w:val="002B4ED8"/>
    <w:rsid w:val="002C3A1B"/>
    <w:rsid w:val="002D58E6"/>
    <w:rsid w:val="002F2E7B"/>
    <w:rsid w:val="002F314C"/>
    <w:rsid w:val="003015B7"/>
    <w:rsid w:val="0030605B"/>
    <w:rsid w:val="003100EA"/>
    <w:rsid w:val="003275BD"/>
    <w:rsid w:val="003377A6"/>
    <w:rsid w:val="00340A67"/>
    <w:rsid w:val="00341969"/>
    <w:rsid w:val="00352B68"/>
    <w:rsid w:val="00355847"/>
    <w:rsid w:val="00356E82"/>
    <w:rsid w:val="00361DFC"/>
    <w:rsid w:val="00370D2F"/>
    <w:rsid w:val="00372E61"/>
    <w:rsid w:val="003742E6"/>
    <w:rsid w:val="00377561"/>
    <w:rsid w:val="00381E19"/>
    <w:rsid w:val="00382CCA"/>
    <w:rsid w:val="00391B41"/>
    <w:rsid w:val="003932FB"/>
    <w:rsid w:val="003962D4"/>
    <w:rsid w:val="003A3E5D"/>
    <w:rsid w:val="003B1633"/>
    <w:rsid w:val="003B406F"/>
    <w:rsid w:val="003D0725"/>
    <w:rsid w:val="003D147D"/>
    <w:rsid w:val="003D5599"/>
    <w:rsid w:val="003E2CFE"/>
    <w:rsid w:val="003F3B9E"/>
    <w:rsid w:val="003F5DF0"/>
    <w:rsid w:val="00422267"/>
    <w:rsid w:val="0043156B"/>
    <w:rsid w:val="00433881"/>
    <w:rsid w:val="00442551"/>
    <w:rsid w:val="00446B94"/>
    <w:rsid w:val="00446BA8"/>
    <w:rsid w:val="00461367"/>
    <w:rsid w:val="0046229B"/>
    <w:rsid w:val="0046476E"/>
    <w:rsid w:val="0046730F"/>
    <w:rsid w:val="00485624"/>
    <w:rsid w:val="00485C91"/>
    <w:rsid w:val="00490692"/>
    <w:rsid w:val="00495B60"/>
    <w:rsid w:val="004B4879"/>
    <w:rsid w:val="004C1B35"/>
    <w:rsid w:val="004E6307"/>
    <w:rsid w:val="004E669C"/>
    <w:rsid w:val="00524EE4"/>
    <w:rsid w:val="0052558B"/>
    <w:rsid w:val="00530E00"/>
    <w:rsid w:val="00531BDB"/>
    <w:rsid w:val="005354C5"/>
    <w:rsid w:val="005628BE"/>
    <w:rsid w:val="0056292A"/>
    <w:rsid w:val="00570BBC"/>
    <w:rsid w:val="00571526"/>
    <w:rsid w:val="005763B7"/>
    <w:rsid w:val="00584E68"/>
    <w:rsid w:val="005868C1"/>
    <w:rsid w:val="00591251"/>
    <w:rsid w:val="005A6AC8"/>
    <w:rsid w:val="005B27FF"/>
    <w:rsid w:val="005B2B5A"/>
    <w:rsid w:val="005B5E50"/>
    <w:rsid w:val="005C7C84"/>
    <w:rsid w:val="005E40A4"/>
    <w:rsid w:val="005F48C0"/>
    <w:rsid w:val="005F5FDA"/>
    <w:rsid w:val="005F64BF"/>
    <w:rsid w:val="005F7ED6"/>
    <w:rsid w:val="006013DF"/>
    <w:rsid w:val="006029F8"/>
    <w:rsid w:val="00610BBD"/>
    <w:rsid w:val="00611218"/>
    <w:rsid w:val="00613F43"/>
    <w:rsid w:val="0062519E"/>
    <w:rsid w:val="00630589"/>
    <w:rsid w:val="006312D0"/>
    <w:rsid w:val="00634E83"/>
    <w:rsid w:val="00634F56"/>
    <w:rsid w:val="00640381"/>
    <w:rsid w:val="00640B96"/>
    <w:rsid w:val="00641D8B"/>
    <w:rsid w:val="00646050"/>
    <w:rsid w:val="00671659"/>
    <w:rsid w:val="00674A14"/>
    <w:rsid w:val="006845C8"/>
    <w:rsid w:val="006955D8"/>
    <w:rsid w:val="006A478F"/>
    <w:rsid w:val="006B00CE"/>
    <w:rsid w:val="006B22C5"/>
    <w:rsid w:val="006B3DB0"/>
    <w:rsid w:val="006B5D8F"/>
    <w:rsid w:val="006E36ED"/>
    <w:rsid w:val="006E40B5"/>
    <w:rsid w:val="006E7736"/>
    <w:rsid w:val="006F169A"/>
    <w:rsid w:val="00714230"/>
    <w:rsid w:val="00714641"/>
    <w:rsid w:val="0072404B"/>
    <w:rsid w:val="007356F0"/>
    <w:rsid w:val="00743335"/>
    <w:rsid w:val="007519C9"/>
    <w:rsid w:val="007546EB"/>
    <w:rsid w:val="00765ED8"/>
    <w:rsid w:val="0077231F"/>
    <w:rsid w:val="007733D8"/>
    <w:rsid w:val="00783A4B"/>
    <w:rsid w:val="007858AE"/>
    <w:rsid w:val="0079615A"/>
    <w:rsid w:val="007A1D0C"/>
    <w:rsid w:val="007A4F37"/>
    <w:rsid w:val="007A4F9E"/>
    <w:rsid w:val="007B2B80"/>
    <w:rsid w:val="007C380E"/>
    <w:rsid w:val="007D20FF"/>
    <w:rsid w:val="007D2B41"/>
    <w:rsid w:val="007D2D89"/>
    <w:rsid w:val="007E0612"/>
    <w:rsid w:val="007E25B8"/>
    <w:rsid w:val="007E5987"/>
    <w:rsid w:val="007E5C1B"/>
    <w:rsid w:val="00811E01"/>
    <w:rsid w:val="00812032"/>
    <w:rsid w:val="0081364C"/>
    <w:rsid w:val="00817ABE"/>
    <w:rsid w:val="00820583"/>
    <w:rsid w:val="008242CE"/>
    <w:rsid w:val="0082730A"/>
    <w:rsid w:val="008276A1"/>
    <w:rsid w:val="0083512E"/>
    <w:rsid w:val="008449A2"/>
    <w:rsid w:val="00852616"/>
    <w:rsid w:val="008548F1"/>
    <w:rsid w:val="00862F93"/>
    <w:rsid w:val="0086300F"/>
    <w:rsid w:val="00866C9B"/>
    <w:rsid w:val="008704CD"/>
    <w:rsid w:val="00873218"/>
    <w:rsid w:val="00875625"/>
    <w:rsid w:val="00875B23"/>
    <w:rsid w:val="008779C5"/>
    <w:rsid w:val="00877EF8"/>
    <w:rsid w:val="00877FDE"/>
    <w:rsid w:val="00891683"/>
    <w:rsid w:val="00892BF7"/>
    <w:rsid w:val="008A492D"/>
    <w:rsid w:val="008B7252"/>
    <w:rsid w:val="008C3E15"/>
    <w:rsid w:val="008F5515"/>
    <w:rsid w:val="00917DF4"/>
    <w:rsid w:val="0092727F"/>
    <w:rsid w:val="00931430"/>
    <w:rsid w:val="00934BBE"/>
    <w:rsid w:val="00946C24"/>
    <w:rsid w:val="009503F7"/>
    <w:rsid w:val="00961692"/>
    <w:rsid w:val="009631BC"/>
    <w:rsid w:val="00964341"/>
    <w:rsid w:val="00974611"/>
    <w:rsid w:val="00981369"/>
    <w:rsid w:val="0098157B"/>
    <w:rsid w:val="00982C92"/>
    <w:rsid w:val="009911D0"/>
    <w:rsid w:val="00996B2F"/>
    <w:rsid w:val="009A078C"/>
    <w:rsid w:val="009B112C"/>
    <w:rsid w:val="009E3E72"/>
    <w:rsid w:val="009E6F03"/>
    <w:rsid w:val="009E6FF1"/>
    <w:rsid w:val="009F1F25"/>
    <w:rsid w:val="009F4123"/>
    <w:rsid w:val="00A03552"/>
    <w:rsid w:val="00A0461C"/>
    <w:rsid w:val="00A055FE"/>
    <w:rsid w:val="00A1203D"/>
    <w:rsid w:val="00A16614"/>
    <w:rsid w:val="00A258AD"/>
    <w:rsid w:val="00A36021"/>
    <w:rsid w:val="00A366E2"/>
    <w:rsid w:val="00A71ACD"/>
    <w:rsid w:val="00A75211"/>
    <w:rsid w:val="00A829CF"/>
    <w:rsid w:val="00A87D44"/>
    <w:rsid w:val="00A93C70"/>
    <w:rsid w:val="00A95C3D"/>
    <w:rsid w:val="00A96A8D"/>
    <w:rsid w:val="00AA0BC2"/>
    <w:rsid w:val="00AC5B04"/>
    <w:rsid w:val="00AD2659"/>
    <w:rsid w:val="00AD372B"/>
    <w:rsid w:val="00AD5402"/>
    <w:rsid w:val="00AD588D"/>
    <w:rsid w:val="00AD65A2"/>
    <w:rsid w:val="00AE0383"/>
    <w:rsid w:val="00AE1C6C"/>
    <w:rsid w:val="00AE3007"/>
    <w:rsid w:val="00AE4488"/>
    <w:rsid w:val="00AE6C80"/>
    <w:rsid w:val="00B109A8"/>
    <w:rsid w:val="00B3766F"/>
    <w:rsid w:val="00B41AEF"/>
    <w:rsid w:val="00B41E40"/>
    <w:rsid w:val="00B60310"/>
    <w:rsid w:val="00B61228"/>
    <w:rsid w:val="00B633B5"/>
    <w:rsid w:val="00B75E7B"/>
    <w:rsid w:val="00B77A48"/>
    <w:rsid w:val="00B8021D"/>
    <w:rsid w:val="00B80902"/>
    <w:rsid w:val="00B91798"/>
    <w:rsid w:val="00B95F6C"/>
    <w:rsid w:val="00B95FDE"/>
    <w:rsid w:val="00BA28B4"/>
    <w:rsid w:val="00BA5D15"/>
    <w:rsid w:val="00BC4C41"/>
    <w:rsid w:val="00BE3126"/>
    <w:rsid w:val="00BE3B06"/>
    <w:rsid w:val="00BE47B9"/>
    <w:rsid w:val="00BF55E0"/>
    <w:rsid w:val="00C0097C"/>
    <w:rsid w:val="00C01049"/>
    <w:rsid w:val="00C020B5"/>
    <w:rsid w:val="00C20810"/>
    <w:rsid w:val="00C230AC"/>
    <w:rsid w:val="00C307D7"/>
    <w:rsid w:val="00C60364"/>
    <w:rsid w:val="00C60FEC"/>
    <w:rsid w:val="00C71395"/>
    <w:rsid w:val="00C736DF"/>
    <w:rsid w:val="00C74418"/>
    <w:rsid w:val="00C77454"/>
    <w:rsid w:val="00C86F4E"/>
    <w:rsid w:val="00C92A7E"/>
    <w:rsid w:val="00C95FE3"/>
    <w:rsid w:val="00CA11AE"/>
    <w:rsid w:val="00CA13B9"/>
    <w:rsid w:val="00CA4304"/>
    <w:rsid w:val="00CB4CCF"/>
    <w:rsid w:val="00CC1F13"/>
    <w:rsid w:val="00CD0A92"/>
    <w:rsid w:val="00CD3450"/>
    <w:rsid w:val="00CD62DF"/>
    <w:rsid w:val="00CE0A3A"/>
    <w:rsid w:val="00CE6998"/>
    <w:rsid w:val="00CF0386"/>
    <w:rsid w:val="00CF4CDB"/>
    <w:rsid w:val="00CF4FDA"/>
    <w:rsid w:val="00CF6EA4"/>
    <w:rsid w:val="00D0274E"/>
    <w:rsid w:val="00D0603E"/>
    <w:rsid w:val="00D128D5"/>
    <w:rsid w:val="00D140F0"/>
    <w:rsid w:val="00D2271E"/>
    <w:rsid w:val="00D3386E"/>
    <w:rsid w:val="00D5370E"/>
    <w:rsid w:val="00D60BDC"/>
    <w:rsid w:val="00D636D3"/>
    <w:rsid w:val="00D64FF0"/>
    <w:rsid w:val="00D732D4"/>
    <w:rsid w:val="00D74A2D"/>
    <w:rsid w:val="00D82D81"/>
    <w:rsid w:val="00D83F03"/>
    <w:rsid w:val="00D83F1B"/>
    <w:rsid w:val="00D91C87"/>
    <w:rsid w:val="00DA42F2"/>
    <w:rsid w:val="00DA4BE9"/>
    <w:rsid w:val="00DA6EB7"/>
    <w:rsid w:val="00DB71C2"/>
    <w:rsid w:val="00DC2F4F"/>
    <w:rsid w:val="00DC3161"/>
    <w:rsid w:val="00DC430B"/>
    <w:rsid w:val="00DC6326"/>
    <w:rsid w:val="00DD2829"/>
    <w:rsid w:val="00DF7405"/>
    <w:rsid w:val="00DF74B1"/>
    <w:rsid w:val="00E12144"/>
    <w:rsid w:val="00E22242"/>
    <w:rsid w:val="00E34E77"/>
    <w:rsid w:val="00E56075"/>
    <w:rsid w:val="00E57690"/>
    <w:rsid w:val="00E645CD"/>
    <w:rsid w:val="00E864BB"/>
    <w:rsid w:val="00E947C6"/>
    <w:rsid w:val="00EA0D20"/>
    <w:rsid w:val="00EA3DF4"/>
    <w:rsid w:val="00EB33CD"/>
    <w:rsid w:val="00EB4CD6"/>
    <w:rsid w:val="00EC1C34"/>
    <w:rsid w:val="00EC50BF"/>
    <w:rsid w:val="00EC568D"/>
    <w:rsid w:val="00EC6672"/>
    <w:rsid w:val="00EE25A6"/>
    <w:rsid w:val="00EE4229"/>
    <w:rsid w:val="00EF2315"/>
    <w:rsid w:val="00EF4966"/>
    <w:rsid w:val="00EF4A1F"/>
    <w:rsid w:val="00EF4C49"/>
    <w:rsid w:val="00F00349"/>
    <w:rsid w:val="00F07605"/>
    <w:rsid w:val="00F10233"/>
    <w:rsid w:val="00F123EF"/>
    <w:rsid w:val="00F1391C"/>
    <w:rsid w:val="00F141BA"/>
    <w:rsid w:val="00F166DE"/>
    <w:rsid w:val="00F23052"/>
    <w:rsid w:val="00F27FCD"/>
    <w:rsid w:val="00F30CE9"/>
    <w:rsid w:val="00F30DBE"/>
    <w:rsid w:val="00F33675"/>
    <w:rsid w:val="00F36C6F"/>
    <w:rsid w:val="00F4501B"/>
    <w:rsid w:val="00F46496"/>
    <w:rsid w:val="00F47062"/>
    <w:rsid w:val="00F6410C"/>
    <w:rsid w:val="00F733B0"/>
    <w:rsid w:val="00F957E5"/>
    <w:rsid w:val="00FB0298"/>
    <w:rsid w:val="00FB0883"/>
    <w:rsid w:val="00FB2BC2"/>
    <w:rsid w:val="00FB31D8"/>
    <w:rsid w:val="00FB34BD"/>
    <w:rsid w:val="00FB3886"/>
    <w:rsid w:val="00FB40CD"/>
    <w:rsid w:val="00FC4F5E"/>
    <w:rsid w:val="00FC5855"/>
    <w:rsid w:val="00FD6E07"/>
    <w:rsid w:val="018F6A3E"/>
    <w:rsid w:val="0261662C"/>
    <w:rsid w:val="02C24BF1"/>
    <w:rsid w:val="02FC1E5F"/>
    <w:rsid w:val="04223B99"/>
    <w:rsid w:val="04473600"/>
    <w:rsid w:val="047A1C27"/>
    <w:rsid w:val="05337730"/>
    <w:rsid w:val="05670FE2"/>
    <w:rsid w:val="07A70F85"/>
    <w:rsid w:val="07D7113E"/>
    <w:rsid w:val="07EB5494"/>
    <w:rsid w:val="0819304A"/>
    <w:rsid w:val="083B16CD"/>
    <w:rsid w:val="087E15BA"/>
    <w:rsid w:val="089C51ED"/>
    <w:rsid w:val="095E0DA7"/>
    <w:rsid w:val="09CA0F5B"/>
    <w:rsid w:val="0A4016CA"/>
    <w:rsid w:val="0B3C3086"/>
    <w:rsid w:val="0BD704E6"/>
    <w:rsid w:val="0C825B1D"/>
    <w:rsid w:val="0CD45F94"/>
    <w:rsid w:val="0D907DC5"/>
    <w:rsid w:val="0E367F50"/>
    <w:rsid w:val="0E8D5C3C"/>
    <w:rsid w:val="0EBE0962"/>
    <w:rsid w:val="0F08411D"/>
    <w:rsid w:val="0F662CA3"/>
    <w:rsid w:val="0FAE3419"/>
    <w:rsid w:val="13CF716E"/>
    <w:rsid w:val="14811528"/>
    <w:rsid w:val="14CC73EF"/>
    <w:rsid w:val="14F7158D"/>
    <w:rsid w:val="176770A8"/>
    <w:rsid w:val="18283328"/>
    <w:rsid w:val="186E5C7F"/>
    <w:rsid w:val="188D1AD1"/>
    <w:rsid w:val="190873AA"/>
    <w:rsid w:val="193A32DB"/>
    <w:rsid w:val="19744A3F"/>
    <w:rsid w:val="199E386A"/>
    <w:rsid w:val="1A530AF8"/>
    <w:rsid w:val="1A594EF1"/>
    <w:rsid w:val="1A6C5716"/>
    <w:rsid w:val="1B894D56"/>
    <w:rsid w:val="1C7D3B39"/>
    <w:rsid w:val="1CA70C88"/>
    <w:rsid w:val="1CFF2872"/>
    <w:rsid w:val="1D1F0F4B"/>
    <w:rsid w:val="1D2F7E3D"/>
    <w:rsid w:val="1E865C4C"/>
    <w:rsid w:val="1FDC333E"/>
    <w:rsid w:val="22284DDF"/>
    <w:rsid w:val="22603394"/>
    <w:rsid w:val="2306788B"/>
    <w:rsid w:val="2351194D"/>
    <w:rsid w:val="23A72036"/>
    <w:rsid w:val="27565784"/>
    <w:rsid w:val="27C503A0"/>
    <w:rsid w:val="294C4A80"/>
    <w:rsid w:val="29B64A8F"/>
    <w:rsid w:val="2C7B4D7A"/>
    <w:rsid w:val="2C931228"/>
    <w:rsid w:val="2DC25921"/>
    <w:rsid w:val="2E75392B"/>
    <w:rsid w:val="2FE34275"/>
    <w:rsid w:val="31064506"/>
    <w:rsid w:val="311C483E"/>
    <w:rsid w:val="326E42CA"/>
    <w:rsid w:val="3274146A"/>
    <w:rsid w:val="33955A93"/>
    <w:rsid w:val="339C6C14"/>
    <w:rsid w:val="33B40C73"/>
    <w:rsid w:val="35696FCA"/>
    <w:rsid w:val="35B17B76"/>
    <w:rsid w:val="35DE1766"/>
    <w:rsid w:val="365437D6"/>
    <w:rsid w:val="37F76B0F"/>
    <w:rsid w:val="38926838"/>
    <w:rsid w:val="39080E18"/>
    <w:rsid w:val="396A50BF"/>
    <w:rsid w:val="39C45777"/>
    <w:rsid w:val="3A231E78"/>
    <w:rsid w:val="3A9E3272"/>
    <w:rsid w:val="3AEE0B99"/>
    <w:rsid w:val="3BAA5C47"/>
    <w:rsid w:val="3BAC355E"/>
    <w:rsid w:val="41197AF6"/>
    <w:rsid w:val="41B4069A"/>
    <w:rsid w:val="42D9578F"/>
    <w:rsid w:val="43D917BF"/>
    <w:rsid w:val="44360B43"/>
    <w:rsid w:val="44F74F7E"/>
    <w:rsid w:val="46F1680D"/>
    <w:rsid w:val="480C3F11"/>
    <w:rsid w:val="497E4BBB"/>
    <w:rsid w:val="4A457D1F"/>
    <w:rsid w:val="4ADB7CAF"/>
    <w:rsid w:val="4C2C295A"/>
    <w:rsid w:val="4C4A325A"/>
    <w:rsid w:val="4C6C624A"/>
    <w:rsid w:val="4CEA2347"/>
    <w:rsid w:val="4D1D471C"/>
    <w:rsid w:val="4D7D140D"/>
    <w:rsid w:val="4DD01781"/>
    <w:rsid w:val="4E1E4B37"/>
    <w:rsid w:val="4EFF657E"/>
    <w:rsid w:val="524F15CA"/>
    <w:rsid w:val="528B711F"/>
    <w:rsid w:val="52C47B66"/>
    <w:rsid w:val="53755060"/>
    <w:rsid w:val="53D37FD9"/>
    <w:rsid w:val="53F8359B"/>
    <w:rsid w:val="548412D3"/>
    <w:rsid w:val="55012924"/>
    <w:rsid w:val="565F7902"/>
    <w:rsid w:val="567E76AF"/>
    <w:rsid w:val="5699088A"/>
    <w:rsid w:val="56FC7846"/>
    <w:rsid w:val="57EE53E1"/>
    <w:rsid w:val="58267FC1"/>
    <w:rsid w:val="58757F28"/>
    <w:rsid w:val="599A0924"/>
    <w:rsid w:val="59E600B5"/>
    <w:rsid w:val="5C9B4948"/>
    <w:rsid w:val="5CAA6D2B"/>
    <w:rsid w:val="5CFE6F67"/>
    <w:rsid w:val="5D3F1487"/>
    <w:rsid w:val="5D4627CE"/>
    <w:rsid w:val="5E4654AF"/>
    <w:rsid w:val="60B665C7"/>
    <w:rsid w:val="611A7611"/>
    <w:rsid w:val="617955BF"/>
    <w:rsid w:val="61944A0F"/>
    <w:rsid w:val="61A905CB"/>
    <w:rsid w:val="628C1A7E"/>
    <w:rsid w:val="62A07378"/>
    <w:rsid w:val="63310878"/>
    <w:rsid w:val="65711400"/>
    <w:rsid w:val="65D00260"/>
    <w:rsid w:val="662429D0"/>
    <w:rsid w:val="671B7875"/>
    <w:rsid w:val="67332E10"/>
    <w:rsid w:val="68050763"/>
    <w:rsid w:val="68ED5241"/>
    <w:rsid w:val="696D7945"/>
    <w:rsid w:val="69925649"/>
    <w:rsid w:val="69E55F18"/>
    <w:rsid w:val="69ED195B"/>
    <w:rsid w:val="6B0510F0"/>
    <w:rsid w:val="6B217424"/>
    <w:rsid w:val="6B3158B9"/>
    <w:rsid w:val="6BA35B0F"/>
    <w:rsid w:val="6C20148A"/>
    <w:rsid w:val="6CD423D4"/>
    <w:rsid w:val="6E682806"/>
    <w:rsid w:val="6F592DF2"/>
    <w:rsid w:val="6F9A7F6E"/>
    <w:rsid w:val="706978A3"/>
    <w:rsid w:val="71712EA8"/>
    <w:rsid w:val="72295D03"/>
    <w:rsid w:val="72923043"/>
    <w:rsid w:val="74DE1B17"/>
    <w:rsid w:val="74F11C15"/>
    <w:rsid w:val="76257DC8"/>
    <w:rsid w:val="76C5375C"/>
    <w:rsid w:val="77F440CF"/>
    <w:rsid w:val="798433BC"/>
    <w:rsid w:val="799774A6"/>
    <w:rsid w:val="7AC676A0"/>
    <w:rsid w:val="7C5238E1"/>
    <w:rsid w:val="7D49D529"/>
    <w:rsid w:val="7D4D33EB"/>
    <w:rsid w:val="7D734ED6"/>
    <w:rsid w:val="7DAC53D4"/>
    <w:rsid w:val="7DDA42C8"/>
    <w:rsid w:val="7EA7272A"/>
    <w:rsid w:val="7F085B8C"/>
    <w:rsid w:val="7FFD5FFA"/>
    <w:rsid w:val="BD7FC1B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nhideWhenUsed="0" w:uiPriority="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nhideWhenUsed="0" w:uiPriority="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9">
    <w:name w:val="Default Paragraph Font"/>
    <w:link w:val="10"/>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Date"/>
    <w:basedOn w:val="1"/>
    <w:next w:val="1"/>
    <w:link w:val="12"/>
    <w:qFormat/>
    <w:uiPriority w:val="0"/>
    <w:pPr>
      <w:ind w:left="100" w:leftChars="2500"/>
    </w:pPr>
    <w:rPr>
      <w:sz w:val="28"/>
    </w:rPr>
  </w:style>
  <w:style w:type="paragraph" w:styleId="4">
    <w:name w:val="Balloon Text"/>
    <w:basedOn w:val="1"/>
    <w:semiHidden/>
    <w:qFormat/>
    <w:uiPriority w:val="0"/>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Body Text Indent 3"/>
    <w:basedOn w:val="1"/>
    <w:qFormat/>
    <w:uiPriority w:val="0"/>
    <w:pPr>
      <w:spacing w:line="520" w:lineRule="atLeast"/>
      <w:ind w:firstLine="600" w:firstLineChars="200"/>
    </w:pPr>
    <w:rPr>
      <w:rFonts w:ascii="仿宋_GB2312"/>
      <w:sz w:val="30"/>
      <w:szCs w:val="24"/>
    </w:rPr>
  </w:style>
  <w:style w:type="paragraph" w:customStyle="1" w:styleId="10">
    <w:name w:val="_Style 4"/>
    <w:basedOn w:val="1"/>
    <w:link w:val="9"/>
    <w:qFormat/>
    <w:uiPriority w:val="0"/>
    <w:rPr>
      <w:rFonts w:ascii="宋体" w:hAnsi="宋体" w:cs="Courier New"/>
      <w:sz w:val="32"/>
      <w:szCs w:val="32"/>
    </w:rPr>
  </w:style>
  <w:style w:type="character" w:styleId="11">
    <w:name w:val="page number"/>
    <w:basedOn w:val="9"/>
    <w:qFormat/>
    <w:uiPriority w:val="0"/>
  </w:style>
  <w:style w:type="character" w:customStyle="1" w:styleId="12">
    <w:name w:val="日期 Char"/>
    <w:link w:val="3"/>
    <w:qFormat/>
    <w:uiPriority w:val="0"/>
    <w:rPr>
      <w:rFonts w:eastAsia="仿宋_GB2312"/>
      <w:kern w:val="2"/>
      <w:sz w:val="28"/>
      <w:szCs w:val="32"/>
    </w:rPr>
  </w:style>
  <w:style w:type="character" w:customStyle="1" w:styleId="13">
    <w:name w:val="页脚 Char"/>
    <w:link w:val="5"/>
    <w:qFormat/>
    <w:uiPriority w:val="99"/>
    <w:rPr>
      <w:kern w:val="2"/>
      <w:sz w:val="18"/>
      <w:szCs w:val="18"/>
    </w:rPr>
  </w:style>
  <w:style w:type="character" w:customStyle="1" w:styleId="14">
    <w:name w:val="页眉 Char"/>
    <w:link w:val="6"/>
    <w:qFormat/>
    <w:uiPriority w:val="99"/>
    <w:rPr>
      <w:kern w:val="2"/>
      <w:sz w:val="18"/>
      <w:szCs w:val="18"/>
    </w:rPr>
  </w:style>
  <w:style w:type="character" w:customStyle="1" w:styleId="15">
    <w:name w:val=" Char Char Char Char"/>
    <w:link w:val="16"/>
    <w:qFormat/>
    <w:uiPriority w:val="0"/>
    <w:rPr>
      <w:rFonts w:ascii="宋体" w:hAnsi="宋体" w:eastAsia="宋体" w:cs="Courier New"/>
      <w:kern w:val="2"/>
      <w:sz w:val="32"/>
      <w:szCs w:val="32"/>
      <w:lang w:val="en-US" w:eastAsia="zh-CN" w:bidi="ar-SA"/>
    </w:rPr>
  </w:style>
  <w:style w:type="paragraph" w:customStyle="1" w:styleId="16">
    <w:name w:val=" Char Char Char"/>
    <w:basedOn w:val="1"/>
    <w:link w:val="15"/>
    <w:qFormat/>
    <w:uiPriority w:val="0"/>
    <w:rPr>
      <w:rFonts w:ascii="宋体" w:hAnsi="宋体" w:eastAsia="宋体" w:cs="Courier New"/>
    </w:rPr>
  </w:style>
  <w:style w:type="paragraph" w:customStyle="1" w:styleId="17">
    <w:name w:val="Char Char Char Char"/>
    <w:basedOn w:val="1"/>
    <w:qFormat/>
    <w:uiPriority w:val="0"/>
    <w:rPr>
      <w:rFonts w:ascii="宋体" w:hAnsi="宋体" w:cs="Courier New"/>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1</Company>
  <Pages>7</Pages>
  <Words>3470</Words>
  <Characters>3594</Characters>
  <Lines>12</Lines>
  <Paragraphs>3</Paragraphs>
  <TotalTime>91</TotalTime>
  <ScaleCrop>false</ScaleCrop>
  <LinksUpToDate>false</LinksUpToDate>
  <CharactersWithSpaces>3619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2017-09-02T06:31:00Z</dcterms:created>
  <dc:creator>SYSTEM</dc:creator>
  <cp:lastModifiedBy>w律师</cp:lastModifiedBy>
  <cp:lastPrinted>2025-03-12T06:54:38Z</cp:lastPrinted>
  <dcterms:modified xsi:type="dcterms:W3CDTF">2025-03-12T07:05:38Z</dcterms:modified>
  <dc:title>中共北京市房山区委</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C3CE77E42F3349429ADF7A5A74943E7B_13</vt:lpwstr>
  </property>
  <property fmtid="{D5CDD505-2E9C-101B-9397-08002B2CF9AE}" pid="4" name="KSOTemplateDocerSaveRecord">
    <vt:lpwstr>eyJoZGlkIjoiYzgzYzA4ZTdmOGNhZTliMDAzNDEyMzJiN2E1M2YxNzkiLCJ1c2VySWQiOiIyOTg3MzU0NTEifQ==</vt:lpwstr>
  </property>
</Properties>
</file>