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_GB2312" w:hAnsi="仿宋_GB2312" w:eastAsia="仿宋_GB2312" w:cs="仿宋_GB2312"/>
          <w:sz w:val="32"/>
          <w:szCs w:val="32"/>
          <w:lang w:eastAsia="zh-CN"/>
        </w:rPr>
      </w:pPr>
      <w:r>
        <w:rPr>
          <w:rFonts w:hint="eastAsia" w:ascii="黑体" w:hAnsi="黑体" w:eastAsia="黑体" w:cs="黑体"/>
          <w:sz w:val="44"/>
          <w:szCs w:val="44"/>
          <w:lang w:val="en-US" w:eastAsia="zh-CN"/>
        </w:rPr>
        <w:t>北京市门头沟区清水镇人民政府2021年度  法治政府建设情况报告</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为进一步落实党的十九大、十九届二中、三中、四中</w:t>
      </w:r>
      <w:r>
        <w:rPr>
          <w:rFonts w:hint="eastAsia" w:ascii="仿宋_GB2312" w:hAnsi="仿宋_GB2312" w:eastAsia="仿宋_GB2312" w:cs="仿宋_GB2312"/>
          <w:sz w:val="32"/>
          <w:szCs w:val="32"/>
          <w:lang w:eastAsia="zh-CN"/>
        </w:rPr>
        <w:t>、五中</w:t>
      </w:r>
      <w:r>
        <w:rPr>
          <w:rFonts w:hint="eastAsia" w:ascii="仿宋_GB2312" w:hAnsi="仿宋_GB2312" w:eastAsia="仿宋_GB2312" w:cs="仿宋_GB2312"/>
          <w:sz w:val="32"/>
          <w:szCs w:val="32"/>
        </w:rPr>
        <w:t>全会精神，深入贯彻习近平总书记全面依法治国新理念新思想新战略，</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镇以《</w:t>
      </w:r>
      <w:r>
        <w:rPr>
          <w:rFonts w:hint="eastAsia" w:ascii="仿宋_GB2312" w:hAnsi="仿宋_GB2312" w:eastAsia="仿宋_GB2312" w:cs="仿宋_GB2312"/>
          <w:sz w:val="32"/>
          <w:szCs w:val="32"/>
          <w:lang w:eastAsia="zh-CN"/>
        </w:rPr>
        <w:t>北京市全面依法治市规划</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）》为指引，围绕各项中心工作，认真做好镇法治政府建设，现将相关情况报告如下：</w:t>
      </w:r>
    </w:p>
    <w:p>
      <w:pPr>
        <w:keepNext w:val="0"/>
        <w:keepLines w:val="0"/>
        <w:pageBreakBefore w:val="0"/>
        <w:widowControl/>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outlineLvl w:val="9"/>
        <w:rPr>
          <w:rFonts w:hint="eastAsia" w:ascii="黑体" w:hAnsi="黑体" w:eastAsia="黑体" w:cs="黑体"/>
          <w:color w:val="auto"/>
          <w:sz w:val="32"/>
          <w:szCs w:val="32"/>
        </w:rPr>
      </w:pPr>
      <w:r>
        <w:rPr>
          <w:rFonts w:hint="eastAsia" w:ascii="黑体" w:hAnsi="黑体" w:eastAsia="黑体" w:cs="黑体"/>
          <w:sz w:val="32"/>
          <w:szCs w:val="32"/>
        </w:rPr>
        <w:t>一、202</w:t>
      </w:r>
      <w:r>
        <w:rPr>
          <w:rFonts w:hint="eastAsia" w:ascii="黑体" w:hAnsi="黑体" w:eastAsia="黑体" w:cs="黑体"/>
          <w:sz w:val="32"/>
          <w:szCs w:val="32"/>
          <w:lang w:val="en-US" w:eastAsia="zh-CN"/>
        </w:rPr>
        <w:t>1</w:t>
      </w:r>
      <w:r>
        <w:rPr>
          <w:rFonts w:hint="eastAsia" w:ascii="黑体" w:hAnsi="黑体" w:eastAsia="黑体" w:cs="黑体"/>
          <w:sz w:val="32"/>
          <w:szCs w:val="32"/>
        </w:rPr>
        <w:t>年度推进法治政府建设的主要举措和成效</w:t>
      </w: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firstLine="640" w:firstLineChars="200"/>
        <w:textAlignment w:val="auto"/>
        <w:rPr>
          <w:rFonts w:hint="eastAsia" w:ascii="黑体" w:hAnsi="黑体" w:eastAsia="黑体"/>
          <w:sz w:val="32"/>
          <w:szCs w:val="32"/>
          <w:lang w:eastAsia="zh-CN"/>
        </w:rPr>
      </w:pPr>
      <w:r>
        <w:rPr>
          <w:rFonts w:hint="eastAsia" w:ascii="楷体_GB2312" w:hAnsi="楷体_GB2312" w:eastAsia="楷体_GB2312" w:cs="楷体_GB2312"/>
          <w:color w:val="auto"/>
          <w:sz w:val="32"/>
          <w:szCs w:val="32"/>
          <w:lang w:eastAsia="zh-CN"/>
        </w:rPr>
        <w:t>（一）</w:t>
      </w:r>
      <w:r>
        <w:rPr>
          <w:rFonts w:hint="eastAsia" w:ascii="楷体_GB2312" w:hAnsi="楷体_GB2312" w:eastAsia="楷体_GB2312" w:cs="楷体_GB2312"/>
          <w:color w:val="auto"/>
          <w:sz w:val="32"/>
          <w:szCs w:val="32"/>
          <w:lang w:val="en-US" w:eastAsia="zh-CN"/>
        </w:rPr>
        <w:t>推进党政主要负责人履行法治建设第一责任人职责。</w:t>
      </w:r>
      <w:r>
        <w:rPr>
          <w:rFonts w:hint="eastAsia" w:ascii="仿宋_GB2312" w:hAnsi="仿宋_GB2312" w:eastAsia="仿宋_GB2312" w:cs="仿宋_GB2312"/>
          <w:sz w:val="32"/>
          <w:szCs w:val="32"/>
          <w:lang w:val="en-US" w:eastAsia="zh-CN"/>
        </w:rPr>
        <w:t>党政主要领导加强法治政府建设的组织领导，</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color w:val="auto"/>
          <w:sz w:val="32"/>
          <w:szCs w:val="32"/>
        </w:rPr>
        <w:t>重大合作、招商引资、民商事等</w:t>
      </w:r>
      <w:r>
        <w:rPr>
          <w:rFonts w:hint="eastAsia" w:ascii="仿宋_GB2312" w:hAnsi="仿宋_GB2312" w:eastAsia="仿宋_GB2312" w:cs="仿宋_GB2312"/>
          <w:color w:val="auto"/>
          <w:sz w:val="32"/>
          <w:szCs w:val="32"/>
          <w:lang w:eastAsia="zh-CN"/>
        </w:rPr>
        <w:t>重要</w:t>
      </w:r>
      <w:r>
        <w:rPr>
          <w:rFonts w:hint="eastAsia" w:ascii="仿宋_GB2312" w:hAnsi="仿宋_GB2312" w:eastAsia="仿宋_GB2312" w:cs="仿宋_GB2312"/>
          <w:color w:val="auto"/>
          <w:sz w:val="32"/>
          <w:szCs w:val="32"/>
        </w:rPr>
        <w:t>协议、合同</w:t>
      </w:r>
      <w:r>
        <w:rPr>
          <w:rFonts w:hint="eastAsia" w:ascii="仿宋_GB2312" w:hAnsi="仿宋_GB2312" w:eastAsia="仿宋_GB2312" w:cs="仿宋_GB2312"/>
          <w:color w:val="auto"/>
          <w:sz w:val="32"/>
          <w:szCs w:val="32"/>
          <w:lang w:eastAsia="zh-CN"/>
        </w:rPr>
        <w:t>纳入</w:t>
      </w:r>
      <w:r>
        <w:rPr>
          <w:rFonts w:hint="eastAsia" w:ascii="仿宋_GB2312" w:hAnsi="仿宋_GB2312" w:eastAsia="仿宋_GB2312" w:cs="仿宋_GB2312"/>
          <w:color w:val="auto"/>
          <w:sz w:val="32"/>
          <w:szCs w:val="32"/>
        </w:rPr>
        <w:t>集体讨论决定的行政决策事项</w:t>
      </w:r>
      <w:r>
        <w:rPr>
          <w:rFonts w:hint="eastAsia" w:ascii="仿宋_GB2312" w:hAnsi="仿宋_GB2312" w:eastAsia="仿宋_GB2312" w:cs="仿宋_GB2312"/>
          <w:sz w:val="32"/>
          <w:szCs w:val="32"/>
          <w:lang w:val="en-US" w:eastAsia="zh-CN"/>
        </w:rPr>
        <w:t>，并对法治政府建设重要工作亲自部署、重大问题亲自过问、重点环节亲自协调、重要任务亲自督办；依法主动接受人大的监督，全面推进政务公开。建立健全政府法律顾问制度，充分发挥法律顾问咨询机制，诉讼案件征询律师意见6件次；</w:t>
      </w:r>
      <w:r>
        <w:rPr>
          <w:rFonts w:hint="eastAsia" w:ascii="仿宋_GB2312" w:hAnsi="仿宋_GB2312" w:eastAsia="仿宋_GB2312" w:cs="仿宋_GB2312"/>
          <w:sz w:val="32"/>
          <w:szCs w:val="32"/>
          <w:lang w:eastAsia="zh-CN"/>
        </w:rPr>
        <w:t>建立村居法律顾问服务质量月审核制度</w:t>
      </w:r>
      <w:r>
        <w:rPr>
          <w:rFonts w:hint="eastAsia" w:ascii="仿宋_GB2312" w:hAnsi="仿宋_GB2312" w:eastAsia="仿宋_GB2312" w:cs="仿宋_GB2312"/>
          <w:sz w:val="32"/>
          <w:szCs w:val="32"/>
        </w:rPr>
        <w:t>，实现法律服务与群众需求无缝对接</w:t>
      </w:r>
      <w:r>
        <w:rPr>
          <w:rFonts w:hint="eastAsia" w:ascii="仿宋_GB2312" w:hAnsi="仿宋_GB2312" w:eastAsia="仿宋_GB2312" w:cs="仿宋_GB2312"/>
          <w:sz w:val="32"/>
          <w:szCs w:val="32"/>
          <w:lang w:eastAsia="zh-CN"/>
        </w:rPr>
        <w:t>，全年累计向村居法律顾问咨询、代书等各项法律服务</w:t>
      </w:r>
      <w:r>
        <w:rPr>
          <w:rFonts w:hint="eastAsia" w:ascii="仿宋_GB2312" w:hAnsi="仿宋_GB2312" w:eastAsia="仿宋_GB2312" w:cs="仿宋_GB2312"/>
          <w:sz w:val="32"/>
          <w:szCs w:val="32"/>
          <w:lang w:val="en-US" w:eastAsia="zh-CN"/>
        </w:rPr>
        <w:t>65件次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累计咨询合同起草、签订事项35件次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认真落实行政机关出庭应诉、支持法院受理行政案件、尊重并执行法院生效裁判；持续加强</w:t>
      </w:r>
      <w:r>
        <w:rPr>
          <w:rFonts w:hint="eastAsia" w:ascii="仿宋_GB2312" w:hAnsi="仿宋_GB2312" w:eastAsia="仿宋_GB2312" w:cs="仿宋_GB2312"/>
          <w:sz w:val="32"/>
          <w:szCs w:val="32"/>
        </w:rPr>
        <w:t>法律法规</w:t>
      </w:r>
      <w:r>
        <w:rPr>
          <w:rFonts w:hint="eastAsia" w:ascii="仿宋_GB2312" w:hAnsi="仿宋_GB2312" w:eastAsia="仿宋_GB2312" w:cs="仿宋_GB2312"/>
          <w:sz w:val="32"/>
          <w:szCs w:val="32"/>
          <w:lang w:eastAsia="zh-CN"/>
        </w:rPr>
        <w:t>学习宣传，带头</w:t>
      </w:r>
      <w:r>
        <w:rPr>
          <w:rFonts w:hint="eastAsia" w:ascii="仿宋_GB2312" w:hAnsi="仿宋_GB2312" w:eastAsia="仿宋_GB2312" w:cs="仿宋_GB2312"/>
          <w:sz w:val="32"/>
          <w:szCs w:val="32"/>
        </w:rPr>
        <w:t>会前学法</w:t>
      </w:r>
      <w:r>
        <w:rPr>
          <w:rFonts w:hint="eastAsia" w:ascii="仿宋_GB2312" w:hAnsi="仿宋_GB2312" w:eastAsia="仿宋_GB2312" w:cs="仿宋_GB2312"/>
          <w:sz w:val="32"/>
          <w:szCs w:val="32"/>
          <w:lang w:val="en-US" w:eastAsia="zh-CN"/>
        </w:rPr>
        <w:t>18次</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val="0"/>
        <w:autoSpaceDN w:val="0"/>
        <w:bidi w:val="0"/>
        <w:adjustRightInd w:val="0"/>
        <w:snapToGrid w:val="0"/>
        <w:spacing w:line="560" w:lineRule="exact"/>
        <w:ind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lang w:eastAsia="zh-CN"/>
        </w:rPr>
        <w:t>（二）完善组织机构，加强考核监督机制。</w:t>
      </w:r>
      <w:r>
        <w:rPr>
          <w:rFonts w:hint="eastAsia" w:ascii="仿宋_GB2312" w:hAnsi="仿宋_GB2312" w:eastAsia="仿宋_GB2312" w:cs="仿宋_GB2312"/>
          <w:color w:val="auto"/>
          <w:sz w:val="32"/>
          <w:szCs w:val="32"/>
          <w:lang w:eastAsia="zh-CN"/>
        </w:rPr>
        <w:t>制定《</w:t>
      </w:r>
      <w:r>
        <w:rPr>
          <w:rFonts w:hint="eastAsia" w:ascii="仿宋_GB2312" w:hAnsi="仿宋_GB2312" w:eastAsia="仿宋_GB2312" w:cs="仿宋_GB2312"/>
          <w:color w:val="auto"/>
          <w:sz w:val="32"/>
          <w:szCs w:val="32"/>
        </w:rPr>
        <w:t>清水镇依法治镇工作实施方案</w:t>
      </w:r>
      <w:r>
        <w:rPr>
          <w:rFonts w:hint="eastAsia" w:ascii="仿宋_GB2312" w:hAnsi="仿宋_GB2312" w:eastAsia="仿宋_GB2312" w:cs="仿宋_GB2312"/>
          <w:color w:val="auto"/>
          <w:sz w:val="32"/>
          <w:szCs w:val="32"/>
          <w:lang w:eastAsia="zh-CN"/>
        </w:rPr>
        <w:t>》，在机构改革的大背景下，</w:t>
      </w:r>
      <w:r>
        <w:rPr>
          <w:rFonts w:hint="eastAsia" w:ascii="仿宋_GB2312" w:hAnsi="仿宋_GB2312" w:eastAsia="仿宋_GB2312" w:cs="仿宋_GB2312"/>
          <w:color w:val="auto"/>
          <w:sz w:val="32"/>
          <w:szCs w:val="32"/>
        </w:rPr>
        <w:t>成立法治政府</w:t>
      </w:r>
      <w:r>
        <w:rPr>
          <w:rFonts w:hint="eastAsia" w:ascii="仿宋_GB2312" w:hAnsi="仿宋_GB2312" w:eastAsia="仿宋_GB2312" w:cs="仿宋_GB2312"/>
          <w:color w:val="auto"/>
          <w:sz w:val="32"/>
          <w:szCs w:val="32"/>
          <w:lang w:eastAsia="zh-CN"/>
        </w:rPr>
        <w:t>建设</w:t>
      </w:r>
      <w:r>
        <w:rPr>
          <w:rFonts w:hint="eastAsia" w:ascii="仿宋_GB2312" w:hAnsi="仿宋_GB2312" w:eastAsia="仿宋_GB2312" w:cs="仿宋_GB2312"/>
          <w:color w:val="auto"/>
          <w:sz w:val="32"/>
          <w:szCs w:val="32"/>
        </w:rPr>
        <w:t>工作领导小组，由</w:t>
      </w:r>
      <w:r>
        <w:rPr>
          <w:rFonts w:hint="eastAsia" w:ascii="仿宋_GB2312" w:hAnsi="仿宋_GB2312" w:eastAsia="仿宋_GB2312" w:cs="仿宋_GB2312"/>
          <w:color w:val="auto"/>
          <w:sz w:val="32"/>
          <w:szCs w:val="32"/>
          <w:lang w:eastAsia="zh-CN"/>
        </w:rPr>
        <w:t>党委书记、</w:t>
      </w:r>
      <w:r>
        <w:rPr>
          <w:rFonts w:hint="eastAsia" w:ascii="仿宋_GB2312" w:hAnsi="仿宋_GB2312" w:eastAsia="仿宋_GB2312" w:cs="仿宋_GB2312"/>
          <w:color w:val="auto"/>
          <w:sz w:val="32"/>
          <w:szCs w:val="32"/>
        </w:rPr>
        <w:t>镇长任组长，</w:t>
      </w:r>
      <w:r>
        <w:rPr>
          <w:rFonts w:hint="eastAsia" w:ascii="仿宋_GB2312" w:hAnsi="仿宋_GB2312" w:eastAsia="仿宋_GB2312" w:cs="仿宋_GB2312"/>
          <w:color w:val="auto"/>
          <w:sz w:val="32"/>
          <w:szCs w:val="32"/>
          <w:lang w:eastAsia="zh-CN"/>
        </w:rPr>
        <w:t>全体副职领导</w:t>
      </w:r>
      <w:r>
        <w:rPr>
          <w:rFonts w:hint="eastAsia" w:ascii="仿宋_GB2312" w:hAnsi="仿宋_GB2312" w:eastAsia="仿宋_GB2312" w:cs="仿宋_GB2312"/>
          <w:color w:val="auto"/>
          <w:sz w:val="32"/>
          <w:szCs w:val="32"/>
        </w:rPr>
        <w:t>任副组长，各</w:t>
      </w:r>
      <w:r>
        <w:rPr>
          <w:rFonts w:hint="eastAsia" w:ascii="仿宋_GB2312" w:hAnsi="仿宋_GB2312" w:eastAsia="仿宋_GB2312" w:cs="仿宋_GB2312"/>
          <w:color w:val="auto"/>
          <w:sz w:val="32"/>
          <w:szCs w:val="32"/>
          <w:lang w:eastAsia="zh-CN"/>
        </w:rPr>
        <w:t>科室</w:t>
      </w:r>
      <w:r>
        <w:rPr>
          <w:rFonts w:hint="eastAsia" w:ascii="仿宋_GB2312" w:hAnsi="仿宋_GB2312" w:eastAsia="仿宋_GB2312" w:cs="仿宋_GB2312"/>
          <w:color w:val="auto"/>
          <w:sz w:val="32"/>
          <w:szCs w:val="32"/>
        </w:rPr>
        <w:t>主要负责人为成员</w:t>
      </w:r>
      <w:r>
        <w:rPr>
          <w:rFonts w:hint="eastAsia" w:ascii="仿宋_GB2312" w:hAnsi="仿宋_GB2312" w:eastAsia="仿宋_GB2312" w:cs="仿宋_GB2312"/>
          <w:color w:val="auto"/>
          <w:sz w:val="32"/>
          <w:szCs w:val="32"/>
          <w:lang w:eastAsia="zh-CN"/>
        </w:rPr>
        <w:t>，下设办公室，由主管副职领导，司法所、政府办、人事部门统筹协调全镇依法行政工作，并细化明确各职能部门依法行政职责，做到权责明晰，依法履职</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lang w:eastAsia="zh-CN"/>
        </w:rPr>
        <w:t>重点要求镇各职能科室</w:t>
      </w:r>
      <w:r>
        <w:rPr>
          <w:rFonts w:hint="eastAsia" w:ascii="仿宋_GB2312" w:hAnsi="仿宋_GB2312" w:eastAsia="仿宋_GB2312" w:cs="仿宋_GB2312"/>
          <w:sz w:val="32"/>
          <w:szCs w:val="32"/>
        </w:rPr>
        <w:t>明确依法行政专项工作负责人，将依法行政工作纳入社会治安综合治理目标考评及干部个人考核。对单位及干部个人依法行政工作开展不定时测评，</w:t>
      </w:r>
      <w:r>
        <w:rPr>
          <w:rFonts w:hint="eastAsia" w:ascii="仿宋_GB2312" w:hAnsi="仿宋_GB2312" w:eastAsia="仿宋_GB2312" w:cs="仿宋_GB2312"/>
          <w:sz w:val="32"/>
          <w:szCs w:val="32"/>
          <w:lang w:eastAsia="zh-CN"/>
        </w:rPr>
        <w:t>鼓励</w:t>
      </w:r>
      <w:r>
        <w:rPr>
          <w:rFonts w:hint="eastAsia" w:ascii="仿宋_GB2312" w:hAnsi="仿宋_GB2312" w:eastAsia="仿宋_GB2312" w:cs="仿宋_GB2312"/>
          <w:sz w:val="32"/>
          <w:szCs w:val="32"/>
        </w:rPr>
        <w:t>社会各界</w:t>
      </w:r>
      <w:r>
        <w:rPr>
          <w:rFonts w:hint="eastAsia" w:ascii="仿宋_GB2312" w:hAnsi="仿宋_GB2312" w:eastAsia="仿宋_GB2312" w:cs="仿宋_GB2312"/>
          <w:sz w:val="32"/>
          <w:szCs w:val="32"/>
          <w:lang w:eastAsia="zh-CN"/>
        </w:rPr>
        <w:t>广泛</w:t>
      </w:r>
      <w:r>
        <w:rPr>
          <w:rFonts w:hint="eastAsia" w:ascii="仿宋_GB2312" w:hAnsi="仿宋_GB2312" w:eastAsia="仿宋_GB2312" w:cs="仿宋_GB2312"/>
          <w:sz w:val="32"/>
          <w:szCs w:val="32"/>
        </w:rPr>
        <w:t>参与监督，确保全镇依法行政工作有效</w:t>
      </w:r>
      <w:r>
        <w:rPr>
          <w:rFonts w:hint="eastAsia" w:ascii="仿宋_GB2312" w:hAnsi="仿宋_GB2312" w:eastAsia="仿宋_GB2312" w:cs="仿宋_GB2312"/>
          <w:sz w:val="32"/>
          <w:szCs w:val="32"/>
          <w:lang w:eastAsia="zh-CN"/>
        </w:rPr>
        <w:t>推进。</w:t>
      </w: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lang w:eastAsia="zh-CN"/>
        </w:rPr>
        <w:t>（三）规范政务公开流程。</w:t>
      </w:r>
      <w:r>
        <w:rPr>
          <w:rFonts w:hint="eastAsia" w:ascii="仿宋_GB2312" w:hAnsi="仿宋_GB2312" w:eastAsia="仿宋_GB2312" w:cs="仿宋_GB2312"/>
          <w:color w:val="auto"/>
          <w:sz w:val="32"/>
          <w:szCs w:val="32"/>
        </w:rPr>
        <w:t>按照“应公开、尽公开”的要求，推进决策、执行、管理、服务、结果“五公开”。</w:t>
      </w:r>
      <w:r>
        <w:rPr>
          <w:rFonts w:hint="eastAsia" w:ascii="仿宋_GB2312" w:hAnsi="仿宋_GB2312" w:eastAsia="仿宋_GB2312" w:cs="仿宋_GB2312"/>
          <w:sz w:val="32"/>
          <w:szCs w:val="32"/>
          <w:lang w:eastAsia="zh-CN"/>
        </w:rPr>
        <w:t>对应公开事项，由党建办专人负责系统登录，</w:t>
      </w:r>
      <w:r>
        <w:rPr>
          <w:rFonts w:hint="eastAsia" w:ascii="仿宋_GB2312" w:hAnsi="仿宋_GB2312" w:eastAsia="仿宋_GB2312" w:cs="仿宋_GB2312"/>
          <w:color w:val="auto"/>
          <w:sz w:val="32"/>
          <w:szCs w:val="32"/>
        </w:rPr>
        <w:t>全面实行政务公开清单管理和动态更新，立足</w:t>
      </w:r>
      <w:r>
        <w:rPr>
          <w:rFonts w:hint="eastAsia" w:ascii="仿宋_GB2312" w:hAnsi="仿宋_GB2312" w:eastAsia="仿宋_GB2312" w:cs="仿宋_GB2312"/>
          <w:color w:val="auto"/>
          <w:sz w:val="32"/>
          <w:szCs w:val="32"/>
          <w:lang w:eastAsia="zh-CN"/>
        </w:rPr>
        <w:t>群众</w:t>
      </w:r>
      <w:r>
        <w:rPr>
          <w:rFonts w:hint="eastAsia" w:ascii="仿宋_GB2312" w:hAnsi="仿宋_GB2312" w:eastAsia="仿宋_GB2312" w:cs="仿宋_GB2312"/>
          <w:color w:val="auto"/>
          <w:sz w:val="32"/>
          <w:szCs w:val="32"/>
        </w:rPr>
        <w:t>需求，重点围绕农房整治、征地补偿、拆迁安置、涉农补贴、社会保险、社会救助、医疗卫生、义务教育等民生事项，提高政务公开针对性。完善政务咨询投诉举报平台，畅通依申请公开受理渠道，</w:t>
      </w:r>
      <w:r>
        <w:rPr>
          <w:rFonts w:hint="eastAsia" w:ascii="仿宋_GB2312" w:hAnsi="仿宋_GB2312" w:eastAsia="仿宋_GB2312" w:cs="仿宋_GB2312"/>
          <w:color w:val="auto"/>
          <w:sz w:val="32"/>
          <w:szCs w:val="32"/>
          <w:lang w:eastAsia="zh-CN"/>
        </w:rPr>
        <w:t>通过</w:t>
      </w:r>
      <w:r>
        <w:rPr>
          <w:rFonts w:hint="eastAsia" w:ascii="仿宋_GB2312" w:hAnsi="仿宋_GB2312" w:eastAsia="仿宋_GB2312" w:cs="仿宋_GB2312"/>
          <w:color w:val="auto"/>
          <w:sz w:val="32"/>
          <w:szCs w:val="32"/>
          <w:lang w:val="en-US" w:eastAsia="zh-CN"/>
        </w:rPr>
        <w:t>12345群众诉求热线</w:t>
      </w:r>
      <w:r>
        <w:rPr>
          <w:rFonts w:hint="eastAsia" w:ascii="仿宋_GB2312" w:hAnsi="仿宋_GB2312" w:eastAsia="仿宋_GB2312" w:cs="仿宋_GB2312"/>
          <w:color w:val="auto"/>
          <w:sz w:val="32"/>
          <w:szCs w:val="32"/>
        </w:rPr>
        <w:t>及时回应群众关切，探索高效便捷精准的政务公开方式，让群众“看得见、用得上、可监督”。</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（四）顺利启动“八五”法治宣传教育规划。</w:t>
      </w:r>
      <w:r>
        <w:rPr>
          <w:rFonts w:hint="eastAsia" w:ascii="仿宋_GB2312" w:hAnsi="仿宋_GB2312" w:eastAsia="仿宋_GB2312" w:cs="仿宋_GB2312"/>
          <w:sz w:val="32"/>
          <w:szCs w:val="32"/>
          <w:lang w:eastAsia="zh-CN"/>
        </w:rPr>
        <w:t>依据</w:t>
      </w:r>
      <w:r>
        <w:rPr>
          <w:rFonts w:hint="eastAsia" w:ascii="仿宋_GB2312" w:hAnsi="仿宋_GB2312" w:eastAsia="仿宋_GB2312" w:cs="仿宋_GB2312"/>
          <w:sz w:val="32"/>
          <w:szCs w:val="32"/>
        </w:rPr>
        <w:t>镇“</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五”普法规划及年度法治宣传教育实施意见</w:t>
      </w:r>
      <w:r>
        <w:rPr>
          <w:rFonts w:hint="eastAsia" w:ascii="仿宋_GB2312" w:hAnsi="仿宋_GB2312" w:eastAsia="仿宋_GB2312" w:cs="仿宋_GB2312"/>
          <w:sz w:val="32"/>
          <w:szCs w:val="32"/>
          <w:lang w:eastAsia="zh-CN"/>
        </w:rPr>
        <w:t>，制定《</w:t>
      </w:r>
      <w:r>
        <w:rPr>
          <w:rFonts w:hint="eastAsia" w:ascii="仿宋_GB2312" w:hAnsi="仿宋_GB2312" w:eastAsia="仿宋_GB2312" w:cs="仿宋_GB2312"/>
          <w:sz w:val="32"/>
          <w:szCs w:val="32"/>
          <w:lang w:val="en-US" w:eastAsia="zh-CN"/>
        </w:rPr>
        <w:t>2021年清水镇普法责任制清单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进一步推进贯彻落实“谁立法谁普法”“谁执法谁普法”“谁管理谁普法”“谁服务谁普法”的普法责任制，深化“以案释法”活动</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（五）多渠道提升法治意识。</w:t>
      </w:r>
      <w:r>
        <w:rPr>
          <w:rFonts w:hint="eastAsia" w:ascii="仿宋_GB2312" w:hAnsi="仿宋_GB2312" w:eastAsia="仿宋_GB2312" w:cs="仿宋_GB2312"/>
          <w:sz w:val="32"/>
          <w:szCs w:val="32"/>
        </w:rPr>
        <w:t>一是</w:t>
      </w:r>
      <w:r>
        <w:rPr>
          <w:rFonts w:hint="eastAsia" w:ascii="仿宋_GB2312" w:hAnsi="仿宋_GB2312" w:eastAsia="仿宋_GB2312" w:cs="仿宋_GB2312"/>
          <w:sz w:val="32"/>
          <w:szCs w:val="32"/>
          <w:lang w:eastAsia="zh-CN"/>
        </w:rPr>
        <w:t>着重开展</w:t>
      </w:r>
      <w:r>
        <w:rPr>
          <w:rFonts w:hint="eastAsia" w:ascii="仿宋_GB2312" w:hAnsi="仿宋_GB2312" w:eastAsia="仿宋_GB2312" w:cs="仿宋_GB2312"/>
          <w:sz w:val="32"/>
          <w:szCs w:val="32"/>
        </w:rPr>
        <w:t>领导干部和公职人员学法，通过会前学法、青年干部培训等方式，强化法律法规及党政规章的学习，不断提升干部依法行政能力</w:t>
      </w:r>
      <w:r>
        <w:rPr>
          <w:rFonts w:hint="eastAsia" w:ascii="仿宋_GB2312" w:hAnsi="仿宋_GB2312" w:eastAsia="仿宋_GB2312" w:cs="仿宋_GB2312"/>
          <w:sz w:val="32"/>
          <w:szCs w:val="32"/>
          <w:lang w:eastAsia="zh-CN"/>
        </w:rPr>
        <w:t>，全年累计学法</w:t>
      </w:r>
      <w:r>
        <w:rPr>
          <w:rFonts w:hint="eastAsia" w:ascii="仿宋_GB2312" w:hAnsi="仿宋_GB2312" w:eastAsia="仿宋_GB2312" w:cs="仿宋_GB2312"/>
          <w:sz w:val="32"/>
          <w:szCs w:val="32"/>
          <w:lang w:val="en-US" w:eastAsia="zh-CN"/>
        </w:rPr>
        <w:t>18次</w:t>
      </w:r>
      <w:r>
        <w:rPr>
          <w:rFonts w:hint="eastAsia" w:ascii="仿宋_GB2312" w:hAnsi="仿宋_GB2312" w:eastAsia="仿宋_GB2312" w:cs="仿宋_GB2312"/>
          <w:sz w:val="32"/>
          <w:szCs w:val="32"/>
        </w:rPr>
        <w:t>。二是</w:t>
      </w:r>
      <w:r>
        <w:rPr>
          <w:rFonts w:hint="eastAsia" w:ascii="仿宋_GB2312" w:hAnsi="仿宋_GB2312" w:eastAsia="仿宋_GB2312" w:cs="仿宋_GB2312"/>
          <w:sz w:val="32"/>
          <w:szCs w:val="32"/>
          <w:lang w:eastAsia="zh-CN"/>
        </w:rPr>
        <w:t>不断强化</w:t>
      </w:r>
      <w:r>
        <w:rPr>
          <w:rFonts w:hint="eastAsia" w:ascii="仿宋_GB2312" w:hAnsi="仿宋_GB2312" w:eastAsia="仿宋_GB2312" w:cs="仿宋_GB2312"/>
          <w:sz w:val="32"/>
          <w:szCs w:val="32"/>
        </w:rPr>
        <w:t>村民学法。按照部署要求，持续推进公共法律服务体系建设，</w:t>
      </w:r>
      <w:r>
        <w:rPr>
          <w:rFonts w:hint="eastAsia" w:ascii="仿宋_GB2312" w:hAnsi="仿宋_GB2312" w:eastAsia="仿宋_GB2312" w:cs="仿宋_GB2312"/>
          <w:sz w:val="32"/>
          <w:szCs w:val="32"/>
          <w:lang w:eastAsia="zh-CN"/>
        </w:rPr>
        <w:t>全镇</w:t>
      </w:r>
      <w:r>
        <w:rPr>
          <w:rFonts w:hint="eastAsia" w:ascii="仿宋_GB2312" w:hAnsi="仿宋_GB2312" w:eastAsia="仿宋_GB2312" w:cs="仿宋_GB2312"/>
          <w:sz w:val="32"/>
          <w:szCs w:val="32"/>
        </w:rPr>
        <w:t>设立公共法律服务室</w:t>
      </w:r>
      <w:r>
        <w:rPr>
          <w:rFonts w:hint="eastAsia" w:ascii="仿宋_GB2312" w:hAnsi="仿宋_GB2312" w:eastAsia="仿宋_GB2312" w:cs="仿宋_GB2312"/>
          <w:sz w:val="32"/>
          <w:szCs w:val="32"/>
          <w:lang w:val="en-US" w:eastAsia="zh-CN"/>
        </w:rPr>
        <w:t>32个，镇政府定期将</w:t>
      </w:r>
      <w:r>
        <w:rPr>
          <w:rFonts w:hint="eastAsia" w:ascii="仿宋_GB2312" w:hAnsi="仿宋_GB2312" w:eastAsia="仿宋_GB2312" w:cs="仿宋_GB2312"/>
          <w:sz w:val="32"/>
          <w:szCs w:val="32"/>
          <w:lang w:eastAsia="zh-CN"/>
        </w:rPr>
        <w:t>村居法律顾问的调整配备信息及时通知各村委会，</w:t>
      </w:r>
      <w:r>
        <w:rPr>
          <w:rFonts w:hint="eastAsia" w:ascii="仿宋_GB2312" w:hAnsi="仿宋_GB2312" w:eastAsia="仿宋_GB2312" w:cs="仿宋_GB2312"/>
          <w:sz w:val="32"/>
          <w:szCs w:val="32"/>
        </w:rPr>
        <w:t>坚持</w:t>
      </w:r>
      <w:r>
        <w:rPr>
          <w:rFonts w:hint="eastAsia" w:ascii="仿宋_GB2312" w:hAnsi="仿宋_GB2312" w:eastAsia="仿宋_GB2312" w:cs="仿宋_GB2312"/>
          <w:sz w:val="32"/>
          <w:szCs w:val="32"/>
          <w:lang w:eastAsia="zh-CN"/>
        </w:rPr>
        <w:t>村居法律顾问服务质量月审核制度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协助村委会、</w:t>
      </w:r>
      <w:r>
        <w:rPr>
          <w:rFonts w:hint="eastAsia" w:ascii="仿宋_GB2312" w:hAnsi="仿宋_GB2312" w:eastAsia="仿宋_GB2312" w:cs="仿宋_GB2312"/>
          <w:sz w:val="32"/>
          <w:szCs w:val="32"/>
        </w:rPr>
        <w:t>村民</w:t>
      </w:r>
      <w:r>
        <w:rPr>
          <w:rFonts w:hint="eastAsia" w:ascii="仿宋_GB2312" w:hAnsi="仿宋_GB2312" w:eastAsia="仿宋_GB2312" w:cs="仿宋_GB2312"/>
          <w:sz w:val="32"/>
          <w:szCs w:val="32"/>
          <w:lang w:eastAsia="zh-CN"/>
        </w:rPr>
        <w:t>就相关法律疑难</w:t>
      </w:r>
      <w:r>
        <w:rPr>
          <w:rFonts w:hint="eastAsia" w:ascii="仿宋_GB2312" w:hAnsi="仿宋_GB2312" w:eastAsia="仿宋_GB2312" w:cs="仿宋_GB2312"/>
          <w:sz w:val="32"/>
          <w:szCs w:val="32"/>
        </w:rPr>
        <w:t>予以解答，实现法律服务与群众需求无缝对接</w:t>
      </w:r>
      <w:r>
        <w:rPr>
          <w:rFonts w:hint="eastAsia" w:ascii="仿宋_GB2312" w:hAnsi="仿宋_GB2312" w:eastAsia="仿宋_GB2312" w:cs="仿宋_GB2312"/>
          <w:sz w:val="32"/>
          <w:szCs w:val="32"/>
          <w:lang w:eastAsia="zh-CN"/>
        </w:rPr>
        <w:t>，全年累计开展咨询、代书等各项法律服务</w:t>
      </w:r>
      <w:r>
        <w:rPr>
          <w:rFonts w:hint="eastAsia" w:ascii="仿宋_GB2312" w:hAnsi="仿宋_GB2312" w:eastAsia="仿宋_GB2312" w:cs="仿宋_GB2312"/>
          <w:sz w:val="32"/>
          <w:szCs w:val="32"/>
          <w:lang w:val="en-US" w:eastAsia="zh-CN"/>
        </w:rPr>
        <w:t>65余件次</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sz w:val="32"/>
          <w:szCs w:val="32"/>
          <w:lang w:val="en-US"/>
        </w:rPr>
      </w:pPr>
      <w:r>
        <w:rPr>
          <w:rFonts w:hint="eastAsia" w:ascii="楷体" w:hAnsi="楷体" w:eastAsia="楷体" w:cs="楷体"/>
          <w:sz w:val="32"/>
          <w:szCs w:val="32"/>
          <w:lang w:eastAsia="zh-CN"/>
        </w:rPr>
        <w:t>（六）发挥普法宣传阵地作用。</w:t>
      </w:r>
      <w:r>
        <w:rPr>
          <w:rFonts w:hint="eastAsia" w:ascii="仿宋_GB2312" w:hAnsi="仿宋_GB2312" w:eastAsia="仿宋_GB2312" w:cs="仿宋_GB2312"/>
          <w:b w:val="0"/>
          <w:bCs w:val="0"/>
          <w:sz w:val="32"/>
          <w:szCs w:val="32"/>
          <w:lang w:val="en-US" w:eastAsia="zh-CN"/>
        </w:rPr>
        <w:t>采用法治讲座、入户宣传、主题宣传等形式，先后开展领导干部理论中心组会前学法、</w:t>
      </w:r>
      <w:r>
        <w:rPr>
          <w:rFonts w:hint="eastAsia" w:ascii="仿宋_GB2312" w:hAnsi="仿宋_GB2312" w:eastAsia="仿宋_GB2312" w:cs="仿宋_GB2312"/>
          <w:b w:val="0"/>
          <w:bCs w:val="0"/>
          <w:sz w:val="32"/>
          <w:szCs w:val="32"/>
          <w:lang w:eastAsia="zh-CN"/>
        </w:rPr>
        <w:t>未成年人普法、</w:t>
      </w:r>
      <w:r>
        <w:rPr>
          <w:rFonts w:hint="eastAsia" w:ascii="仿宋_GB2312" w:hAnsi="仿宋_GB2312" w:eastAsia="仿宋_GB2312" w:cs="仿宋_GB2312"/>
          <w:b w:val="0"/>
          <w:bCs w:val="0"/>
          <w:sz w:val="32"/>
          <w:szCs w:val="32"/>
          <w:lang w:val="en-US" w:eastAsia="zh-CN"/>
        </w:rPr>
        <w:t>军属法律援助、司法所“开放日”“</w:t>
      </w:r>
      <w:r>
        <w:rPr>
          <w:rFonts w:hint="eastAsia" w:ascii="仿宋_GB2312" w:hAnsi="仿宋_GB2312" w:eastAsia="仿宋_GB2312" w:cs="仿宋_GB2312"/>
          <w:b w:val="0"/>
          <w:bCs w:val="0"/>
          <w:sz w:val="32"/>
          <w:szCs w:val="32"/>
          <w:lang w:eastAsia="zh-CN"/>
        </w:rPr>
        <w:t>基层送法助力乡村振兴</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lang w:eastAsia="zh-CN"/>
        </w:rPr>
        <w:t>主题宣传、提高创城普法知晓率、宪法日宣传等活动，</w:t>
      </w:r>
      <w:r>
        <w:rPr>
          <w:rFonts w:hint="eastAsia" w:ascii="仿宋_GB2312" w:hAnsi="仿宋_GB2312" w:eastAsia="仿宋_GB2312" w:cs="仿宋_GB2312"/>
          <w:b w:val="0"/>
          <w:bCs w:val="0"/>
          <w:sz w:val="32"/>
          <w:szCs w:val="32"/>
          <w:lang w:val="en-US" w:eastAsia="zh-CN"/>
        </w:rPr>
        <w:t>累计开展普法宣传活动13场，张贴宣传海报260份，发放宣传品2900份，受众1800人</w:t>
      </w:r>
      <w:r>
        <w:rPr>
          <w:rFonts w:hint="eastAsia" w:ascii="仿宋_GB2312" w:hAnsi="仿宋_GB2312" w:eastAsia="仿宋_GB2312" w:cs="仿宋_GB2312"/>
          <w:sz w:val="32"/>
          <w:szCs w:val="32"/>
          <w:lang w:val="en-US" w:eastAsia="zh-CN"/>
        </w:rPr>
        <w:t>。同时，利用12348平台解答各类群众来访、来电咨询400件次。</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sz w:val="32"/>
          <w:szCs w:val="32"/>
          <w:lang w:eastAsia="zh-CN"/>
        </w:rPr>
        <w:t>（七）突出矛盾纠纷排查化解。</w:t>
      </w:r>
      <w:r>
        <w:rPr>
          <w:rFonts w:hint="eastAsia" w:ascii="仿宋_GB2312" w:hAnsi="仿宋_GB2312" w:eastAsia="仿宋_GB2312" w:cs="仿宋_GB2312"/>
          <w:sz w:val="32"/>
          <w:szCs w:val="32"/>
          <w:lang w:eastAsia="zh-CN"/>
        </w:rPr>
        <w:t>按月不定期开展全域性村民矛盾纠纷排查，</w:t>
      </w:r>
      <w:r>
        <w:rPr>
          <w:rFonts w:hint="eastAsia" w:ascii="仿宋_GB2312" w:hAnsi="仿宋_GB2312" w:eastAsia="仿宋_GB2312" w:cs="仿宋_GB2312"/>
          <w:sz w:val="32"/>
          <w:szCs w:val="32"/>
        </w:rPr>
        <w:t>镇村两级人民调解组织共</w:t>
      </w:r>
      <w:r>
        <w:rPr>
          <w:rFonts w:hint="eastAsia" w:ascii="仿宋_GB2312" w:hAnsi="仿宋_GB2312" w:eastAsia="仿宋_GB2312" w:cs="仿宋_GB2312"/>
          <w:sz w:val="32"/>
          <w:szCs w:val="32"/>
          <w:lang w:eastAsia="zh-CN"/>
        </w:rPr>
        <w:t>开展矛盾纠纷排查</w:t>
      </w:r>
      <w:r>
        <w:rPr>
          <w:rFonts w:hint="eastAsia" w:ascii="仿宋_GB2312" w:hAnsi="仿宋_GB2312" w:eastAsia="仿宋_GB2312" w:cs="仿宋_GB2312"/>
          <w:sz w:val="32"/>
          <w:szCs w:val="32"/>
          <w:lang w:val="en-US" w:eastAsia="zh-CN"/>
        </w:rPr>
        <w:t>10次，</w:t>
      </w:r>
      <w:r>
        <w:rPr>
          <w:rFonts w:hint="eastAsia" w:ascii="仿宋_GB2312" w:hAnsi="仿宋_GB2312" w:eastAsia="仿宋_GB2312" w:cs="仿宋_GB2312"/>
          <w:sz w:val="32"/>
          <w:szCs w:val="32"/>
          <w:lang w:eastAsia="zh-CN"/>
        </w:rPr>
        <w:t>将可能风险及时化解于无形。鉴于疫情防控需要，采用个别单独指导方式，分别入</w:t>
      </w:r>
      <w:r>
        <w:rPr>
          <w:rFonts w:hint="eastAsia" w:ascii="仿宋_GB2312" w:hAnsi="仿宋_GB2312" w:eastAsia="仿宋_GB2312" w:cs="仿宋_GB2312"/>
          <w:sz w:val="32"/>
          <w:szCs w:val="32"/>
          <w:lang w:val="en-US" w:eastAsia="zh-CN"/>
        </w:rPr>
        <w:t>11个</w:t>
      </w:r>
      <w:r>
        <w:rPr>
          <w:rFonts w:hint="eastAsia" w:ascii="仿宋_GB2312" w:hAnsi="仿宋_GB2312" w:eastAsia="仿宋_GB2312" w:cs="仿宋_GB2312"/>
          <w:sz w:val="32"/>
          <w:szCs w:val="32"/>
          <w:lang w:eastAsia="zh-CN"/>
        </w:rPr>
        <w:t>村开展村委会换届选举后新任人民调解员培训，累计培训</w:t>
      </w:r>
      <w:r>
        <w:rPr>
          <w:rFonts w:hint="eastAsia" w:ascii="仿宋_GB2312" w:hAnsi="仿宋_GB2312" w:eastAsia="仿宋_GB2312" w:cs="仿宋_GB2312"/>
          <w:sz w:val="32"/>
          <w:szCs w:val="32"/>
          <w:lang w:val="en-US" w:eastAsia="zh-CN"/>
        </w:rPr>
        <w:t>40人次；</w:t>
      </w:r>
      <w:r>
        <w:rPr>
          <w:rFonts w:hint="eastAsia" w:ascii="仿宋_GB2312" w:hAnsi="仿宋_GB2312" w:eastAsia="仿宋_GB2312" w:cs="仿宋_GB2312"/>
          <w:sz w:val="32"/>
          <w:szCs w:val="32"/>
        </w:rPr>
        <w:t>镇村两级人民调解组织共调解</w:t>
      </w:r>
      <w:r>
        <w:rPr>
          <w:rFonts w:hint="eastAsia" w:ascii="仿宋_GB2312" w:hAnsi="仿宋_GB2312" w:eastAsia="仿宋_GB2312" w:cs="仿宋_GB2312"/>
          <w:sz w:val="32"/>
          <w:szCs w:val="32"/>
          <w:lang w:eastAsia="zh-CN"/>
        </w:rPr>
        <w:t>民事</w:t>
      </w:r>
      <w:r>
        <w:rPr>
          <w:rFonts w:hint="eastAsia" w:ascii="仿宋_GB2312" w:hAnsi="仿宋_GB2312" w:eastAsia="仿宋_GB2312" w:cs="仿宋_GB2312"/>
          <w:sz w:val="32"/>
          <w:szCs w:val="32"/>
        </w:rPr>
        <w:t>纠纷</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涉及</w:t>
      </w:r>
      <w:r>
        <w:rPr>
          <w:rFonts w:hint="eastAsia" w:ascii="仿宋_GB2312" w:hAnsi="仿宋_GB2312" w:eastAsia="仿宋_GB2312" w:cs="仿宋_GB2312"/>
          <w:sz w:val="32"/>
          <w:szCs w:val="32"/>
          <w:lang w:val="en-US" w:eastAsia="zh-CN"/>
        </w:rPr>
        <w:t>邻里关系、侵权损害赔偿、劳资等纠纷类型，双方当事人均已达成调解协议并按约定执行完毕。</w:t>
      </w:r>
    </w:p>
    <w:p>
      <w:pPr>
        <w:pStyle w:val="3"/>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 xml:space="preserve"> </w:t>
      </w:r>
      <w:r>
        <w:rPr>
          <w:rFonts w:hint="eastAsia" w:ascii="楷体" w:hAnsi="楷体" w:eastAsia="楷体" w:cs="楷体"/>
          <w:kern w:val="2"/>
          <w:sz w:val="32"/>
          <w:szCs w:val="32"/>
          <w:lang w:val="en-US" w:eastAsia="zh-CN" w:bidi="ar-SA"/>
        </w:rPr>
        <w:t>（八）充分发挥法律顾问咨询机制。</w:t>
      </w:r>
      <w:r>
        <w:rPr>
          <w:rFonts w:hint="eastAsia" w:ascii="仿宋_GB2312" w:hAnsi="仿宋_GB2312" w:eastAsia="仿宋_GB2312" w:cs="仿宋_GB2312"/>
          <w:kern w:val="2"/>
          <w:sz w:val="32"/>
          <w:szCs w:val="32"/>
          <w:lang w:val="en-US" w:eastAsia="zh-CN" w:bidi="ar-SA"/>
        </w:rPr>
        <w:t>10个村委会向村居法律顾问咨询合同起草、签订事项35件次，聘请律师代理民事、行政诉讼案件6件，镇政府就2例合同纠纷案件的答辩、应诉、举证事宜征询区法律顾问团律师意见。</w:t>
      </w:r>
    </w:p>
    <w:p>
      <w:pPr>
        <w:pStyle w:val="3"/>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楷体" w:hAnsi="楷体" w:eastAsia="楷体" w:cs="楷体"/>
          <w:kern w:val="2"/>
          <w:sz w:val="32"/>
          <w:szCs w:val="32"/>
          <w:lang w:val="en-US" w:eastAsia="zh-CN" w:bidi="ar-SA"/>
        </w:rPr>
        <w:t>（九）推进政府严格规范公正文明执法。</w:t>
      </w:r>
      <w:r>
        <w:rPr>
          <w:rFonts w:hint="eastAsia" w:ascii="仿宋_GB2312" w:hAnsi="仿宋_GB2312" w:eastAsia="仿宋_GB2312" w:cs="仿宋_GB2312"/>
          <w:kern w:val="2"/>
          <w:sz w:val="32"/>
          <w:szCs w:val="32"/>
          <w:lang w:val="en-US" w:eastAsia="zh-CN" w:bidi="ar-SA"/>
        </w:rPr>
        <w:t>严格执行2020年制定的《清水镇综合执法队执法责任制度》《清水镇综合执法队执法评议考核办法》《清水镇综合执法队人员行为规范》《清水镇综合执法重大行政执法决定法制审核目录清单》，镇综合行政执法队共计执行区综合行政执法局下达的10大类30项专项执法工作，开展下放职权梳理，梳理出不纳入“违法行为纳入检查率”考核行政执法职权90项；完成区综合行政执</w:t>
      </w:r>
      <w:r>
        <w:rPr>
          <w:rFonts w:hint="eastAsia" w:ascii="仿宋_GB2312" w:hAnsi="仿宋_GB2312" w:eastAsia="仿宋_GB2312" w:cs="仿宋_GB2312"/>
          <w:kern w:val="2"/>
          <w:sz w:val="32"/>
          <w:szCs w:val="32"/>
          <w:lang w:val="en-US" w:eastAsia="zh-Hans" w:bidi="ar-SA"/>
        </w:rPr>
        <w:t>法</w:t>
      </w:r>
      <w:r>
        <w:rPr>
          <w:rFonts w:hint="eastAsia" w:ascii="仿宋_GB2312" w:hAnsi="仿宋_GB2312" w:eastAsia="仿宋_GB2312" w:cs="仿宋_GB2312"/>
          <w:kern w:val="2"/>
          <w:sz w:val="32"/>
          <w:szCs w:val="32"/>
          <w:lang w:val="en-US" w:eastAsia="zh-CN" w:bidi="ar-SA"/>
        </w:rPr>
        <w:t>局下发的专项执法工作方案30项，其他工作方案及应急预案22项，执法队全年累计出动执法人员1240余人次，执法车辆350余辆次，规范各类违法行为1000余起。全年共立案70起，罚款金额共计438060元，其中一般程序37起，罚款437400元，简易程序33起，罚款660元，同时有序开展法治审核。</w:t>
      </w:r>
    </w:p>
    <w:p>
      <w:pPr>
        <w:keepNext w:val="0"/>
        <w:keepLines w:val="0"/>
        <w:pageBreakBefore w:val="0"/>
        <w:widowControl/>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二、推进法治政府建设存在的不足和原因</w:t>
      </w:r>
    </w:p>
    <w:p>
      <w:pPr>
        <w:pStyle w:val="3"/>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theme="minorBidi"/>
          <w:kern w:val="2"/>
          <w:sz w:val="32"/>
          <w:szCs w:val="32"/>
          <w:lang w:val="en-US" w:eastAsia="zh-CN" w:bidi="ar-SA"/>
        </w:rPr>
        <w:t>（一）是普法宣传工作做得不够细。</w:t>
      </w:r>
      <w:r>
        <w:rPr>
          <w:rFonts w:hint="eastAsia" w:ascii="仿宋_GB2312" w:hAnsi="仿宋_GB2312" w:eastAsia="仿宋_GB2312" w:cs="仿宋_GB2312"/>
          <w:color w:val="auto"/>
          <w:kern w:val="2"/>
          <w:sz w:val="32"/>
          <w:szCs w:val="32"/>
          <w:highlight w:val="none"/>
          <w:lang w:val="en-US" w:eastAsia="zh-CN" w:bidi="ar-SA"/>
        </w:rPr>
        <w:t>虽然在本年度开展了多场普法宣传，但参加活动积极性不高，普法宣传缺乏实效。原因在于：普法宣传的受众多为本地村民，法律观念偏淡薄，主动学习法律的热情不高；宣传活动的形式老旧，缺乏新意，吸引力不足。</w:t>
      </w:r>
    </w:p>
    <w:p>
      <w:pPr>
        <w:pStyle w:val="3"/>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rPr>
          <w:rFonts w:hint="eastAsia"/>
        </w:rPr>
      </w:pPr>
      <w:r>
        <w:rPr>
          <w:rFonts w:hint="eastAsia" w:ascii="楷体" w:hAnsi="楷体" w:eastAsia="楷体" w:cstheme="minorBidi"/>
          <w:kern w:val="2"/>
          <w:sz w:val="32"/>
          <w:szCs w:val="32"/>
          <w:lang w:val="en-US" w:eastAsia="zh-CN" w:bidi="ar-SA"/>
        </w:rPr>
        <w:t>（二）法治人员力量不足、工作缺乏专业指导。</w:t>
      </w:r>
      <w:r>
        <w:rPr>
          <w:rFonts w:hint="eastAsia" w:ascii="仿宋_GB2312" w:hAnsi="仿宋_GB2312" w:eastAsia="仿宋_GB2312" w:cs="仿宋_GB2312"/>
          <w:color w:val="auto"/>
          <w:kern w:val="2"/>
          <w:sz w:val="32"/>
          <w:szCs w:val="32"/>
          <w:highlight w:val="none"/>
          <w:lang w:val="en-US" w:eastAsia="zh-CN" w:bidi="ar-SA"/>
        </w:rPr>
        <w:t>部分司法行政人员和行政执法人员对法治政府建设和法律专业知识有所欠缺，法治政府建设整体推进还不够平衡。原因在于专业的行政执法培训较少，执法人员缺少系统的行政法规培训，依法行政水平不高，对政策的把握力度不强。</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560" w:lineRule="exact"/>
        <w:ind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三、党政主要负责人履行推进法治建设第一责任人职责，加强法治政府建设的有关情况</w:t>
      </w:r>
    </w:p>
    <w:p>
      <w:pPr>
        <w:keepNext w:val="0"/>
        <w:keepLines w:val="0"/>
        <w:pageBreakBefore w:val="0"/>
        <w:widowControl/>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楷体" w:hAnsi="楷体" w:eastAsia="楷体" w:cs="楷体"/>
          <w:sz w:val="32"/>
          <w:szCs w:val="32"/>
          <w:lang w:eastAsia="zh-CN"/>
        </w:rPr>
        <w:t>（一）规范决策程序，推进重大行政决策科学化、民主化、法治化。</w:t>
      </w:r>
      <w:r>
        <w:rPr>
          <w:rFonts w:hint="eastAsia" w:ascii="仿宋_GB2312" w:hAnsi="仿宋_GB2312" w:eastAsia="仿宋_GB2312" w:cs="仿宋_GB2312"/>
          <w:sz w:val="32"/>
          <w:szCs w:val="32"/>
          <w:lang w:eastAsia="zh-CN"/>
        </w:rPr>
        <w:t>依法规范决策，强化</w:t>
      </w:r>
      <w:r>
        <w:rPr>
          <w:rFonts w:hint="eastAsia" w:ascii="仿宋_GB2312" w:hAnsi="仿宋_GB2312" w:eastAsia="仿宋_GB2312" w:cs="仿宋_GB2312"/>
          <w:sz w:val="32"/>
          <w:szCs w:val="32"/>
          <w:lang w:val="en-US" w:eastAsia="zh-CN"/>
        </w:rPr>
        <w:t>党政一把手履行法治建设第一责任人，</w:t>
      </w:r>
      <w:r>
        <w:rPr>
          <w:rFonts w:hint="eastAsia" w:ascii="仿宋_GB2312" w:hAnsi="仿宋_GB2312" w:eastAsia="仿宋_GB2312" w:cs="仿宋_GB2312"/>
          <w:sz w:val="32"/>
          <w:szCs w:val="32"/>
        </w:rPr>
        <w:t>以完善行政决策机制为重点，</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color w:val="auto"/>
          <w:sz w:val="32"/>
          <w:szCs w:val="32"/>
        </w:rPr>
        <w:t>以镇名义对外签订的涉及重大合作、招商引资、民商事等内容的协议、合同等影响</w:t>
      </w:r>
      <w:r>
        <w:rPr>
          <w:rFonts w:hint="eastAsia" w:ascii="仿宋_GB2312" w:hAnsi="仿宋_GB2312" w:eastAsia="仿宋_GB2312" w:cs="仿宋_GB2312"/>
          <w:color w:val="auto"/>
          <w:sz w:val="32"/>
          <w:szCs w:val="32"/>
          <w:lang w:eastAsia="zh-CN"/>
        </w:rPr>
        <w:t>镇</w:t>
      </w:r>
      <w:r>
        <w:rPr>
          <w:rFonts w:hint="eastAsia" w:ascii="仿宋_GB2312" w:hAnsi="仿宋_GB2312" w:eastAsia="仿宋_GB2312" w:cs="仿宋_GB2312"/>
          <w:color w:val="auto"/>
          <w:sz w:val="32"/>
          <w:szCs w:val="32"/>
        </w:rPr>
        <w:t>区域经济社会发展全局、涉及重大公共利益或者公众切身利益</w:t>
      </w:r>
      <w:r>
        <w:rPr>
          <w:rFonts w:hint="eastAsia" w:ascii="仿宋_GB2312" w:hAnsi="仿宋_GB2312" w:eastAsia="仿宋_GB2312" w:cs="仿宋_GB2312"/>
          <w:color w:val="auto"/>
          <w:sz w:val="32"/>
          <w:szCs w:val="32"/>
          <w:lang w:eastAsia="zh-CN"/>
        </w:rPr>
        <w:t>等事项纳入</w:t>
      </w:r>
      <w:r>
        <w:rPr>
          <w:rFonts w:hint="eastAsia" w:ascii="仿宋_GB2312" w:hAnsi="仿宋_GB2312" w:eastAsia="仿宋_GB2312" w:cs="仿宋_GB2312"/>
          <w:color w:val="auto"/>
          <w:sz w:val="32"/>
          <w:szCs w:val="32"/>
        </w:rPr>
        <w:t>经镇党委会议或者镇党政联席会议等集体讨论决定的行政决策事项；</w:t>
      </w:r>
      <w:r>
        <w:rPr>
          <w:rFonts w:hint="eastAsia" w:ascii="仿宋_GB2312" w:hAnsi="仿宋_GB2312" w:eastAsia="仿宋_GB2312" w:cs="仿宋_GB2312"/>
          <w:color w:val="auto"/>
          <w:sz w:val="32"/>
          <w:szCs w:val="32"/>
          <w:lang w:eastAsia="zh-CN"/>
        </w:rPr>
        <w:t>并要求</w:t>
      </w:r>
      <w:r>
        <w:rPr>
          <w:rFonts w:hint="eastAsia" w:ascii="仿宋_GB2312" w:hAnsi="仿宋_GB2312" w:eastAsia="仿宋_GB2312" w:cs="仿宋_GB2312"/>
          <w:sz w:val="32"/>
          <w:szCs w:val="32"/>
        </w:rPr>
        <w:t>对政府内部决策规则和程序及涉及社会公共利益和公民切身利益的重大决策，依法公开征求意见。</w:t>
      </w:r>
      <w:r>
        <w:rPr>
          <w:rFonts w:hint="eastAsia" w:ascii="仿宋_GB2312" w:hAnsi="仿宋_GB2312" w:eastAsia="仿宋_GB2312" w:cs="仿宋_GB2312"/>
          <w:sz w:val="32"/>
          <w:szCs w:val="32"/>
          <w:lang w:val="en-US" w:eastAsia="zh-CN"/>
        </w:rPr>
        <w:t>镇街党政主要负责人</w:t>
      </w:r>
      <w:r>
        <w:rPr>
          <w:rFonts w:hint="eastAsia" w:ascii="仿宋_GB2312" w:hAnsi="仿宋_GB2312" w:eastAsia="仿宋_GB2312" w:cs="仿宋_GB2312"/>
          <w:sz w:val="32"/>
          <w:szCs w:val="32"/>
          <w:lang w:eastAsia="zh-CN"/>
        </w:rPr>
        <w:t>强化理论中心组学习，</w:t>
      </w:r>
      <w:r>
        <w:rPr>
          <w:rFonts w:hint="eastAsia" w:ascii="仿宋_GB2312" w:hAnsi="仿宋_GB2312" w:eastAsia="仿宋_GB2312" w:cs="仿宋_GB2312"/>
          <w:sz w:val="32"/>
          <w:szCs w:val="32"/>
          <w:lang w:val="en-US" w:eastAsia="zh-CN"/>
        </w:rPr>
        <w:t>加强学习贯彻习近平法治思想，将法治政府建设列入党（工）委重要议事日程，对法治政府建设重要工作亲自部署、重大问题亲自过问、重点环节亲自协调、重要任务亲自督办，把镇街各项工作纳入法治化轨道。</w:t>
      </w:r>
      <w:r>
        <w:rPr>
          <w:rFonts w:hint="eastAsia" w:ascii="仿宋_GB2312" w:hAnsi="仿宋_GB2312" w:eastAsia="仿宋_GB2312" w:cs="仿宋_GB2312"/>
          <w:sz w:val="32"/>
          <w:szCs w:val="32"/>
        </w:rPr>
        <w:t>大力实施“阳光工程”，完善《清水镇政务公开实施方案》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推进电子政务建设，</w:t>
      </w:r>
      <w:r>
        <w:rPr>
          <w:rFonts w:hint="eastAsia" w:ascii="仿宋_GB2312" w:hAnsi="仿宋_GB2312" w:eastAsia="仿宋_GB2312" w:cs="仿宋_GB2312"/>
          <w:sz w:val="32"/>
          <w:szCs w:val="32"/>
          <w:lang w:eastAsia="zh-CN"/>
        </w:rPr>
        <w:t>严格落实法治审核和行政处罚公示制度，</w:t>
      </w:r>
      <w:r>
        <w:rPr>
          <w:rFonts w:hint="eastAsia" w:ascii="仿宋_GB2312" w:hAnsi="仿宋_GB2312" w:eastAsia="仿宋_GB2312" w:cs="仿宋_GB2312"/>
          <w:sz w:val="32"/>
          <w:szCs w:val="32"/>
        </w:rPr>
        <w:t>提高</w:t>
      </w:r>
      <w:r>
        <w:rPr>
          <w:rFonts w:hint="eastAsia" w:ascii="仿宋_GB2312" w:hAnsi="仿宋_GB2312" w:eastAsia="仿宋_GB2312" w:cs="仿宋_GB2312"/>
          <w:sz w:val="32"/>
          <w:szCs w:val="32"/>
          <w:lang w:eastAsia="zh-CN"/>
        </w:rPr>
        <w:t>决策规范性和行政执法</w:t>
      </w:r>
      <w:r>
        <w:rPr>
          <w:rFonts w:hint="eastAsia" w:ascii="仿宋_GB2312" w:hAnsi="仿宋_GB2312" w:eastAsia="仿宋_GB2312" w:cs="仿宋_GB2312"/>
          <w:sz w:val="32"/>
          <w:szCs w:val="32"/>
        </w:rPr>
        <w:t>透明度。</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（二）发挥人大代表监督职能。</w:t>
      </w:r>
      <w:r>
        <w:rPr>
          <w:rFonts w:hint="eastAsia" w:ascii="仿宋_GB2312" w:hAnsi="仿宋_GB2312" w:eastAsia="仿宋_GB2312" w:cs="仿宋_GB2312"/>
          <w:sz w:val="32"/>
          <w:szCs w:val="32"/>
        </w:rPr>
        <w:t>积极开展人大代表视察活动，不断健全完善社情民意联系收集及工作通报制度。组织人大代表对“精准扶贫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村居改造”等各项工作进行视察、座谈，积极听取各代表委员的意见建议，努力改进工作中的不足，切实提升“美丽乡村”建设能力。</w:t>
      </w:r>
    </w:p>
    <w:p>
      <w:pPr>
        <w:spacing w:line="560" w:lineRule="exact"/>
        <w:ind w:firstLine="640" w:firstLineChars="200"/>
        <w:rPr>
          <w:rFonts w:hint="eastAsia"/>
        </w:rPr>
      </w:pPr>
      <w:r>
        <w:rPr>
          <w:rFonts w:hint="eastAsia" w:ascii="楷体" w:hAnsi="楷体" w:eastAsia="楷体" w:cs="楷体"/>
          <w:sz w:val="32"/>
          <w:szCs w:val="32"/>
          <w:lang w:eastAsia="zh-CN"/>
        </w:rPr>
        <w:t>（三）通过规范性文件管理规范政府行政行为。</w:t>
      </w:r>
      <w:r>
        <w:rPr>
          <w:rFonts w:hint="eastAsia" w:ascii="仿宋_GB2312" w:hAnsi="仿宋_GB2312" w:eastAsia="仿宋_GB2312" w:cs="仿宋_GB2312"/>
          <w:sz w:val="32"/>
          <w:szCs w:val="32"/>
        </w:rPr>
        <w:t>严格按照加强规范性文件管理的有关规定，强化事前审查、事后备案，不断健全、完善镇政府行政管理制度体系，规范基层政府行政行为。进一步完善规范性文件监督制度及报审程序，做到有件必备、有备必审、有错必纠，确保规范性文件合法性。</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lang w:val="en-US" w:eastAsia="zh-CN"/>
        </w:rPr>
        <w:t>2022年度推进法治政府建设的主要安排</w:t>
      </w:r>
      <w:r>
        <w:rPr>
          <w:rFonts w:hint="eastAsia"/>
          <w:sz w:val="32"/>
          <w:szCs w:val="32"/>
        </w:rPr>
        <w:tab/>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sz w:val="32"/>
          <w:szCs w:val="32"/>
          <w:lang w:eastAsia="zh-CN"/>
        </w:rPr>
        <w:t>（一）</w:t>
      </w:r>
      <w:r>
        <w:rPr>
          <w:rFonts w:hint="eastAsia" w:ascii="楷体" w:hAnsi="楷体" w:eastAsia="楷体"/>
          <w:sz w:val="32"/>
          <w:szCs w:val="32"/>
        </w:rPr>
        <w:t>提升</w:t>
      </w:r>
      <w:r>
        <w:rPr>
          <w:rFonts w:hint="eastAsia" w:ascii="楷体" w:hAnsi="楷体" w:eastAsia="楷体"/>
          <w:sz w:val="32"/>
          <w:szCs w:val="32"/>
          <w:lang w:eastAsia="zh-CN"/>
        </w:rPr>
        <w:t>干部队伍的</w:t>
      </w:r>
      <w:r>
        <w:rPr>
          <w:rFonts w:hint="eastAsia" w:ascii="楷体" w:hAnsi="楷体" w:eastAsia="楷体"/>
          <w:sz w:val="32"/>
          <w:szCs w:val="32"/>
        </w:rPr>
        <w:t>法治思维。</w:t>
      </w:r>
      <w:r>
        <w:rPr>
          <w:rFonts w:hint="eastAsia" w:ascii="仿宋_GB2312" w:hAnsi="仿宋_GB2312" w:eastAsia="仿宋_GB2312" w:cs="仿宋_GB2312"/>
          <w:sz w:val="32"/>
          <w:szCs w:val="32"/>
        </w:rPr>
        <w:t xml:space="preserve">落实领导干部带头学法守法、依法办事制度，完善领导干部法治教育培训制度；落实“谁执法谁普法”普法工作责任制，推行以案释法制度。落实宪法宣誓制度，强化宪法意识，弘扬宪法精神，形成崇尚宪法、遵守宪法、维护宪法权威的良好氛围。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sz w:val="32"/>
          <w:szCs w:val="32"/>
        </w:rPr>
        <w:t>（</w:t>
      </w:r>
      <w:r>
        <w:rPr>
          <w:rFonts w:hint="eastAsia" w:ascii="楷体" w:hAnsi="楷体" w:eastAsia="楷体"/>
          <w:sz w:val="32"/>
          <w:szCs w:val="32"/>
          <w:lang w:eastAsia="zh-CN"/>
        </w:rPr>
        <w:t>二</w:t>
      </w:r>
      <w:r>
        <w:rPr>
          <w:rFonts w:hint="eastAsia" w:ascii="楷体" w:hAnsi="楷体" w:eastAsia="楷体"/>
          <w:sz w:val="32"/>
          <w:szCs w:val="32"/>
        </w:rPr>
        <w:t>）</w:t>
      </w:r>
      <w:r>
        <w:rPr>
          <w:rFonts w:hint="eastAsia" w:ascii="楷体" w:hAnsi="楷体" w:eastAsia="楷体"/>
          <w:sz w:val="32"/>
          <w:szCs w:val="32"/>
          <w:lang w:val="en-US" w:eastAsia="zh-CN"/>
        </w:rPr>
        <w:t>完善依法行政制度体系。</w:t>
      </w:r>
      <w:r>
        <w:rPr>
          <w:rFonts w:hint="eastAsia" w:ascii="仿宋_GB2312" w:hAnsi="仿宋_GB2312" w:eastAsia="仿宋_GB2312" w:cs="仿宋_GB2312"/>
          <w:sz w:val="32"/>
          <w:szCs w:val="32"/>
        </w:rPr>
        <w:t>以治理体系和治理能力现代化为导向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推进政府事权规范化，机构、职能、权限、程序、责任法定化、公开化；强化政府公共服务职能，推进社会建设、改革与治理工作，</w:t>
      </w:r>
      <w:r>
        <w:rPr>
          <w:rFonts w:hint="eastAsia" w:ascii="仿宋_GB2312" w:hAnsi="仿宋_GB2312" w:eastAsia="仿宋_GB2312" w:cs="仿宋_GB2312"/>
          <w:sz w:val="32"/>
          <w:szCs w:val="32"/>
          <w:lang w:val="en-US" w:eastAsia="zh-CN"/>
        </w:rPr>
        <w:t>坚持党对行政规范性文件制定工作的领导，</w:t>
      </w:r>
      <w:r>
        <w:rPr>
          <w:rFonts w:hint="eastAsia" w:ascii="仿宋_GB2312" w:hAnsi="仿宋_GB2312" w:eastAsia="仿宋_GB2312" w:cs="仿宋_GB2312"/>
          <w:sz w:val="32"/>
          <w:szCs w:val="32"/>
          <w:lang w:eastAsia="zh-CN"/>
        </w:rPr>
        <w:t>进一步</w:t>
      </w:r>
      <w:r>
        <w:rPr>
          <w:rFonts w:hint="eastAsia" w:ascii="仿宋_GB2312" w:hAnsi="仿宋_GB2312" w:eastAsia="仿宋_GB2312" w:cs="仿宋_GB2312"/>
          <w:sz w:val="32"/>
          <w:szCs w:val="32"/>
        </w:rPr>
        <w:t>完善社会治理体制机制。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15" w:leftChars="7" w:firstLine="640" w:firstLineChars="200"/>
        <w:jc w:val="left"/>
        <w:textAlignment w:val="auto"/>
        <w:rPr>
          <w:rFonts w:hint="eastAsia" w:ascii="仿宋_GB2312" w:hAnsi="仿宋_GB2312" w:eastAsia="仿宋_GB2312" w:cs="仿宋_GB2312"/>
          <w:sz w:val="32"/>
          <w:szCs w:val="32"/>
        </w:rPr>
      </w:pPr>
      <w:r>
        <w:rPr>
          <w:rFonts w:hint="eastAsia" w:ascii="楷体" w:hAnsi="楷体" w:eastAsia="楷体"/>
          <w:sz w:val="32"/>
          <w:szCs w:val="32"/>
        </w:rPr>
        <w:t>（</w:t>
      </w:r>
      <w:r>
        <w:rPr>
          <w:rFonts w:hint="eastAsia" w:ascii="楷体" w:hAnsi="楷体" w:eastAsia="楷体"/>
          <w:sz w:val="32"/>
          <w:szCs w:val="32"/>
          <w:lang w:eastAsia="zh-CN"/>
        </w:rPr>
        <w:t>三</w:t>
      </w:r>
      <w:r>
        <w:rPr>
          <w:rFonts w:hint="eastAsia" w:ascii="楷体" w:hAnsi="楷体" w:eastAsia="楷体"/>
          <w:sz w:val="32"/>
          <w:szCs w:val="32"/>
        </w:rPr>
        <w:t>）落实重大行政决策机制</w:t>
      </w:r>
      <w:r>
        <w:rPr>
          <w:rFonts w:hint="eastAsia" w:ascii="楷体" w:hAnsi="楷体" w:eastAsia="楷体"/>
          <w:sz w:val="32"/>
          <w:szCs w:val="32"/>
          <w:lang w:eastAsia="zh-CN"/>
        </w:rPr>
        <w:t>。</w:t>
      </w:r>
      <w:r>
        <w:rPr>
          <w:rFonts w:hint="eastAsia" w:ascii="仿宋_GB2312" w:hAnsi="仿宋_GB2312" w:eastAsia="仿宋_GB2312" w:cs="仿宋_GB2312"/>
          <w:sz w:val="32"/>
          <w:szCs w:val="32"/>
          <w:lang w:eastAsia="zh-CN"/>
        </w:rPr>
        <w:t>严格执行“三重一大”决策制度，定期邀请党代表、人大代表列席重大决策、重大事项的决策程序，</w:t>
      </w:r>
      <w:r>
        <w:rPr>
          <w:rFonts w:hint="eastAsia" w:ascii="仿宋_GB2312" w:hAnsi="仿宋_GB2312" w:eastAsia="仿宋_GB2312" w:cs="仿宋_GB2312"/>
          <w:sz w:val="32"/>
          <w:szCs w:val="32"/>
        </w:rPr>
        <w:t>扩大公众参与决策</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范围，不断提升决策民主化法治化水平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切实发挥外聘政府法律顾问作用，进一步提升法治政府建设水平。</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 w:hAnsi="楷体" w:eastAsia="楷体"/>
          <w:sz w:val="32"/>
          <w:szCs w:val="32"/>
        </w:rPr>
        <w:t>（</w:t>
      </w:r>
      <w:r>
        <w:rPr>
          <w:rFonts w:hint="eastAsia" w:ascii="楷体" w:hAnsi="楷体" w:eastAsia="楷体"/>
          <w:sz w:val="32"/>
          <w:szCs w:val="32"/>
          <w:lang w:eastAsia="zh-CN"/>
        </w:rPr>
        <w:t>四</w:t>
      </w:r>
      <w:r>
        <w:rPr>
          <w:rFonts w:hint="eastAsia" w:ascii="楷体" w:hAnsi="楷体" w:eastAsia="楷体"/>
          <w:sz w:val="32"/>
          <w:szCs w:val="32"/>
        </w:rPr>
        <w:t>）</w:t>
      </w:r>
      <w:r>
        <w:rPr>
          <w:rFonts w:hint="eastAsia" w:ascii="楷体" w:hAnsi="楷体" w:eastAsia="楷体"/>
          <w:sz w:val="32"/>
          <w:szCs w:val="32"/>
          <w:lang w:eastAsia="zh-CN"/>
        </w:rPr>
        <w:t>严格</w:t>
      </w:r>
      <w:r>
        <w:rPr>
          <w:rFonts w:hint="eastAsia" w:ascii="楷体" w:hAnsi="楷体" w:eastAsia="楷体"/>
          <w:sz w:val="32"/>
          <w:szCs w:val="32"/>
        </w:rPr>
        <w:t>规范</w:t>
      </w:r>
      <w:r>
        <w:rPr>
          <w:rFonts w:hint="eastAsia" w:ascii="楷体" w:hAnsi="楷体" w:eastAsia="楷体"/>
          <w:sz w:val="32"/>
          <w:szCs w:val="32"/>
          <w:lang w:eastAsia="zh-CN"/>
        </w:rPr>
        <w:t>综合</w:t>
      </w:r>
      <w:r>
        <w:rPr>
          <w:rFonts w:hint="eastAsia" w:ascii="楷体" w:hAnsi="楷体" w:eastAsia="楷体"/>
          <w:sz w:val="32"/>
          <w:szCs w:val="32"/>
        </w:rPr>
        <w:t>执法</w:t>
      </w:r>
      <w:r>
        <w:rPr>
          <w:rFonts w:hint="eastAsia" w:ascii="楷体" w:hAnsi="楷体" w:eastAsia="楷体"/>
          <w:sz w:val="32"/>
          <w:szCs w:val="32"/>
          <w:lang w:eastAsia="zh-CN"/>
        </w:rPr>
        <w:t>行为</w:t>
      </w:r>
      <w:r>
        <w:rPr>
          <w:rFonts w:hint="eastAsia" w:ascii="楷体" w:hAnsi="楷体" w:eastAsia="楷体"/>
          <w:sz w:val="32"/>
          <w:szCs w:val="32"/>
        </w:rPr>
        <w:t>。</w:t>
      </w:r>
      <w:r>
        <w:rPr>
          <w:rFonts w:hint="eastAsia" w:ascii="仿宋_GB2312" w:hAnsi="仿宋_GB2312" w:eastAsia="仿宋_GB2312" w:cs="仿宋_GB2312"/>
          <w:sz w:val="32"/>
          <w:szCs w:val="32"/>
          <w:lang w:eastAsia="zh-CN"/>
        </w:rPr>
        <w:t>以综合执法下沉为契机，</w:t>
      </w:r>
      <w:r>
        <w:rPr>
          <w:rFonts w:hint="eastAsia" w:ascii="仿宋_GB2312" w:hAnsi="仿宋_GB2312" w:eastAsia="仿宋_GB2312" w:cs="仿宋_GB2312"/>
          <w:sz w:val="32"/>
          <w:szCs w:val="32"/>
        </w:rPr>
        <w:t>按要求健全基层法制机构，</w:t>
      </w:r>
      <w:r>
        <w:rPr>
          <w:rFonts w:hint="eastAsia" w:ascii="仿宋_GB2312" w:hAnsi="仿宋_GB2312" w:eastAsia="仿宋_GB2312" w:cs="仿宋_GB2312"/>
          <w:sz w:val="32"/>
          <w:szCs w:val="32"/>
          <w:lang w:eastAsia="zh-CN"/>
        </w:rPr>
        <w:t>继续</w:t>
      </w:r>
      <w:r>
        <w:rPr>
          <w:rFonts w:hint="eastAsia" w:ascii="仿宋_GB2312" w:hAnsi="仿宋_GB2312" w:eastAsia="仿宋_GB2312" w:cs="仿宋_GB2312"/>
          <w:sz w:val="32"/>
          <w:szCs w:val="32"/>
        </w:rPr>
        <w:t>推行重大执法决定法制审核制度、行政执法公示制度和行政执法全过程记录制度，根据依法行政考评指标要求，提升规范执法水平。</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sz w:val="32"/>
          <w:szCs w:val="32"/>
        </w:rPr>
      </w:pPr>
      <w:r>
        <w:rPr>
          <w:rFonts w:hint="eastAsia" w:ascii="楷体" w:hAnsi="楷体" w:eastAsia="楷体"/>
          <w:sz w:val="32"/>
          <w:szCs w:val="32"/>
        </w:rPr>
        <w:t>（</w:t>
      </w:r>
      <w:r>
        <w:rPr>
          <w:rFonts w:hint="eastAsia" w:ascii="楷体" w:hAnsi="楷体" w:eastAsia="楷体"/>
          <w:sz w:val="32"/>
          <w:szCs w:val="32"/>
          <w:lang w:eastAsia="zh-CN"/>
        </w:rPr>
        <w:t>五</w:t>
      </w:r>
      <w:r>
        <w:rPr>
          <w:rFonts w:hint="eastAsia" w:ascii="楷体" w:hAnsi="楷体" w:eastAsia="楷体"/>
          <w:sz w:val="32"/>
          <w:szCs w:val="32"/>
        </w:rPr>
        <w:t>）依法化解社会矛盾纠纷。</w:t>
      </w:r>
      <w:r>
        <w:rPr>
          <w:rFonts w:hint="eastAsia"/>
          <w:sz w:val="32"/>
          <w:szCs w:val="32"/>
        </w:rPr>
        <w:t>加强人民调解规范化建设，强化人民调解员学习培训。依法规范信访工作，严格落实信访工作责任制。进一步完善公共法律服务，加大全民守法普法力度，推进法治社会建设。</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五、其他需要报告的情况</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Theme="minorHAnsi" w:hAnsiTheme="minorHAnsi" w:eastAsiaTheme="minorEastAsia" w:cstheme="minorBidi"/>
          <w:b w:val="0"/>
          <w:bCs w:val="0"/>
          <w:kern w:val="2"/>
          <w:sz w:val="32"/>
          <w:szCs w:val="32"/>
          <w:lang w:val="en-US" w:eastAsia="zh-CN" w:bidi="ar-SA"/>
        </w:rPr>
      </w:pPr>
      <w:r>
        <w:rPr>
          <w:rFonts w:hint="eastAsia" w:asciiTheme="minorHAnsi" w:hAnsiTheme="minorHAnsi" w:eastAsiaTheme="minorEastAsia" w:cstheme="minorBidi"/>
          <w:b w:val="0"/>
          <w:bCs w:val="0"/>
          <w:kern w:val="2"/>
          <w:sz w:val="32"/>
          <w:szCs w:val="32"/>
          <w:lang w:val="en-US" w:eastAsia="zh-CN" w:bidi="ar-SA"/>
        </w:rPr>
        <w:t>无</w:t>
      </w:r>
      <w:r>
        <w:rPr>
          <w:rFonts w:hint="eastAsia" w:asciiTheme="minorHAnsi" w:hAnsiTheme="minorHAnsi" w:cstheme="minorBidi"/>
          <w:b w:val="0"/>
          <w:bCs w:val="0"/>
          <w:kern w:val="2"/>
          <w:sz w:val="32"/>
          <w:szCs w:val="32"/>
          <w:lang w:val="en-US" w:eastAsia="zh-CN" w:bidi="ar-SA"/>
        </w:rPr>
        <w:t>。</w:t>
      </w:r>
    </w:p>
    <w:p>
      <w:pPr>
        <w:pStyle w:val="2"/>
        <w:rPr>
          <w:rFonts w:hint="eastAsia"/>
        </w:rPr>
      </w:pPr>
    </w:p>
    <w:p>
      <w:pPr>
        <w:pStyle w:val="2"/>
        <w:keepNext w:val="0"/>
        <w:keepLines w:val="0"/>
        <w:pageBreakBefore w:val="0"/>
        <w:kinsoku/>
        <w:wordWrap/>
        <w:overflowPunct/>
        <w:topLinePunct w:val="0"/>
        <w:bidi w:val="0"/>
        <w:adjustRightInd w:val="0"/>
        <w:snapToGrid w:val="0"/>
        <w:spacing w:before="0" w:after="0" w:line="560" w:lineRule="exact"/>
        <w:textAlignment w:val="auto"/>
        <w:rPr>
          <w:rFonts w:hint="eastAsia"/>
          <w:sz w:val="32"/>
          <w:szCs w:val="32"/>
          <w:lang w:eastAsia="zh-CN"/>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sz w:val="32"/>
          <w:szCs w:val="32"/>
          <w:lang w:eastAsia="zh-CN"/>
        </w:rPr>
      </w:pPr>
      <w:r>
        <w:rPr>
          <w:rFonts w:hint="eastAsia"/>
          <w:sz w:val="32"/>
          <w:szCs w:val="32"/>
          <w:lang w:val="en-US" w:eastAsia="zh-CN"/>
        </w:rPr>
        <w:t xml:space="preserve">                              </w:t>
      </w:r>
      <w:r>
        <w:rPr>
          <w:rFonts w:hint="eastAsia"/>
          <w:sz w:val="32"/>
          <w:szCs w:val="32"/>
          <w:lang w:eastAsia="zh-CN"/>
        </w:rPr>
        <w:t>清水镇人民政府</w:t>
      </w:r>
    </w:p>
    <w:p>
      <w:pPr>
        <w:keepNext w:val="0"/>
        <w:keepLines w:val="0"/>
        <w:pageBreakBefore w:val="0"/>
        <w:kinsoku/>
        <w:wordWrap/>
        <w:overflowPunct/>
        <w:topLinePunct w:val="0"/>
        <w:bidi w:val="0"/>
        <w:adjustRightInd w:val="0"/>
        <w:snapToGrid w:val="0"/>
        <w:spacing w:line="560" w:lineRule="exact"/>
        <w:ind w:firstLine="5440" w:firstLineChars="1700"/>
        <w:textAlignment w:val="auto"/>
        <w:rPr>
          <w:rFonts w:hint="default"/>
          <w:sz w:val="32"/>
          <w:szCs w:val="32"/>
          <w:lang w:val="en-US" w:eastAsia="zh-CN"/>
        </w:rPr>
      </w:pPr>
      <w:r>
        <w:rPr>
          <w:rFonts w:hint="eastAsia"/>
          <w:sz w:val="32"/>
          <w:szCs w:val="32"/>
          <w:lang w:val="en-US" w:eastAsia="zh-CN"/>
        </w:rPr>
        <w:t>202</w:t>
      </w:r>
      <w:r>
        <w:rPr>
          <w:rFonts w:hint="default"/>
          <w:sz w:val="32"/>
          <w:szCs w:val="32"/>
          <w:lang w:eastAsia="zh-CN"/>
        </w:rPr>
        <w:t>2</w:t>
      </w:r>
      <w:r>
        <w:rPr>
          <w:rFonts w:hint="eastAsia"/>
          <w:sz w:val="32"/>
          <w:szCs w:val="32"/>
          <w:lang w:val="en-US" w:eastAsia="zh-CN"/>
        </w:rPr>
        <w:t>年</w:t>
      </w:r>
      <w:r>
        <w:rPr>
          <w:rFonts w:hint="default"/>
          <w:sz w:val="32"/>
          <w:szCs w:val="32"/>
          <w:lang w:eastAsia="zh-CN"/>
        </w:rPr>
        <w:t>2</w:t>
      </w:r>
      <w:r>
        <w:rPr>
          <w:rFonts w:hint="eastAsia"/>
          <w:sz w:val="32"/>
          <w:szCs w:val="32"/>
          <w:lang w:val="en-US" w:eastAsia="zh-CN"/>
        </w:rPr>
        <w:t>月</w:t>
      </w:r>
      <w:r>
        <w:rPr>
          <w:rFonts w:hint="default"/>
          <w:sz w:val="32"/>
          <w:szCs w:val="32"/>
          <w:lang w:eastAsia="zh-CN"/>
        </w:rPr>
        <w:t>25</w:t>
      </w:r>
      <w:r>
        <w:rPr>
          <w:rFonts w:hint="eastAsia"/>
          <w:sz w:val="32"/>
          <w:szCs w:val="32"/>
          <w:lang w:val="en-US" w:eastAsia="zh-CN"/>
        </w:rPr>
        <w:t>日</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wNjk3NTcxNWUzY2VjNGNjODZlZDE1MjA5NzA3NWMifQ=="/>
  </w:docVars>
  <w:rsids>
    <w:rsidRoot w:val="56B03AD5"/>
    <w:rsid w:val="0006354E"/>
    <w:rsid w:val="000D0436"/>
    <w:rsid w:val="000F7396"/>
    <w:rsid w:val="00177399"/>
    <w:rsid w:val="0018721C"/>
    <w:rsid w:val="00194CCE"/>
    <w:rsid w:val="002316F8"/>
    <w:rsid w:val="00381CA2"/>
    <w:rsid w:val="003D77F2"/>
    <w:rsid w:val="00531F7E"/>
    <w:rsid w:val="0053564B"/>
    <w:rsid w:val="00586A8B"/>
    <w:rsid w:val="00696A06"/>
    <w:rsid w:val="006A6ACA"/>
    <w:rsid w:val="006E08EB"/>
    <w:rsid w:val="00702BE7"/>
    <w:rsid w:val="007D3372"/>
    <w:rsid w:val="00960791"/>
    <w:rsid w:val="009E2D22"/>
    <w:rsid w:val="00A9038B"/>
    <w:rsid w:val="00B654C4"/>
    <w:rsid w:val="00B66F51"/>
    <w:rsid w:val="00BC7C12"/>
    <w:rsid w:val="00C00F93"/>
    <w:rsid w:val="00C11FF2"/>
    <w:rsid w:val="00C42867"/>
    <w:rsid w:val="00C53F14"/>
    <w:rsid w:val="00CE4F22"/>
    <w:rsid w:val="00DA59F8"/>
    <w:rsid w:val="00DD0DE4"/>
    <w:rsid w:val="00DE11F9"/>
    <w:rsid w:val="00E63CB8"/>
    <w:rsid w:val="00EA0537"/>
    <w:rsid w:val="00EC363C"/>
    <w:rsid w:val="00F167AE"/>
    <w:rsid w:val="00F23CED"/>
    <w:rsid w:val="00F85B44"/>
    <w:rsid w:val="011E69BD"/>
    <w:rsid w:val="025B5F89"/>
    <w:rsid w:val="03EA34AE"/>
    <w:rsid w:val="042105F4"/>
    <w:rsid w:val="0449381C"/>
    <w:rsid w:val="04BA2023"/>
    <w:rsid w:val="05283562"/>
    <w:rsid w:val="057005E3"/>
    <w:rsid w:val="05B732E4"/>
    <w:rsid w:val="05E27AD6"/>
    <w:rsid w:val="06452B0D"/>
    <w:rsid w:val="065B3397"/>
    <w:rsid w:val="06CE2A57"/>
    <w:rsid w:val="071A13F4"/>
    <w:rsid w:val="0793154D"/>
    <w:rsid w:val="08986B20"/>
    <w:rsid w:val="09C13652"/>
    <w:rsid w:val="09DB7F9E"/>
    <w:rsid w:val="09EA33AB"/>
    <w:rsid w:val="0A2A26B0"/>
    <w:rsid w:val="0B8027C0"/>
    <w:rsid w:val="0BC47331"/>
    <w:rsid w:val="0BCB264B"/>
    <w:rsid w:val="0C057848"/>
    <w:rsid w:val="0C141C56"/>
    <w:rsid w:val="0C2A5B7E"/>
    <w:rsid w:val="0C3216FB"/>
    <w:rsid w:val="0C3F0FDE"/>
    <w:rsid w:val="0C9E323C"/>
    <w:rsid w:val="0CD13BD9"/>
    <w:rsid w:val="0CEA780D"/>
    <w:rsid w:val="0D020A0B"/>
    <w:rsid w:val="0D04112E"/>
    <w:rsid w:val="0D213614"/>
    <w:rsid w:val="0D2E4E2B"/>
    <w:rsid w:val="0D796485"/>
    <w:rsid w:val="0DC51206"/>
    <w:rsid w:val="0E0B5DE0"/>
    <w:rsid w:val="0E15476E"/>
    <w:rsid w:val="0EED1247"/>
    <w:rsid w:val="0F676A49"/>
    <w:rsid w:val="0F696F96"/>
    <w:rsid w:val="0FDD2101"/>
    <w:rsid w:val="0FFF56D6"/>
    <w:rsid w:val="102E1B18"/>
    <w:rsid w:val="106C6344"/>
    <w:rsid w:val="10C83D1A"/>
    <w:rsid w:val="1159509F"/>
    <w:rsid w:val="13E21097"/>
    <w:rsid w:val="13EE160F"/>
    <w:rsid w:val="143D4BEB"/>
    <w:rsid w:val="14E9557A"/>
    <w:rsid w:val="15113EE2"/>
    <w:rsid w:val="15C37D58"/>
    <w:rsid w:val="161B6841"/>
    <w:rsid w:val="168F2610"/>
    <w:rsid w:val="169513EA"/>
    <w:rsid w:val="16CD618E"/>
    <w:rsid w:val="16D72F09"/>
    <w:rsid w:val="173E6247"/>
    <w:rsid w:val="17CC2342"/>
    <w:rsid w:val="18887D40"/>
    <w:rsid w:val="197059E0"/>
    <w:rsid w:val="197A185D"/>
    <w:rsid w:val="197A7A12"/>
    <w:rsid w:val="1A203510"/>
    <w:rsid w:val="1A3E50D2"/>
    <w:rsid w:val="1A8C1F5A"/>
    <w:rsid w:val="1B617245"/>
    <w:rsid w:val="1B726F9F"/>
    <w:rsid w:val="1D2C5ED3"/>
    <w:rsid w:val="1D49444E"/>
    <w:rsid w:val="1D7A3D95"/>
    <w:rsid w:val="1DAE42AD"/>
    <w:rsid w:val="1E585072"/>
    <w:rsid w:val="1E7F0EC9"/>
    <w:rsid w:val="208240E6"/>
    <w:rsid w:val="21B67120"/>
    <w:rsid w:val="22D86510"/>
    <w:rsid w:val="23340293"/>
    <w:rsid w:val="233D2211"/>
    <w:rsid w:val="234106CD"/>
    <w:rsid w:val="23980D2D"/>
    <w:rsid w:val="244B33CC"/>
    <w:rsid w:val="2484675D"/>
    <w:rsid w:val="24961512"/>
    <w:rsid w:val="24A308BA"/>
    <w:rsid w:val="24F01DD6"/>
    <w:rsid w:val="25556812"/>
    <w:rsid w:val="264F486A"/>
    <w:rsid w:val="265036B5"/>
    <w:rsid w:val="26B90C84"/>
    <w:rsid w:val="26F97E80"/>
    <w:rsid w:val="27861041"/>
    <w:rsid w:val="27B32BD6"/>
    <w:rsid w:val="2A092979"/>
    <w:rsid w:val="2A105011"/>
    <w:rsid w:val="2A286BF6"/>
    <w:rsid w:val="2A3F3411"/>
    <w:rsid w:val="2AE97EA3"/>
    <w:rsid w:val="2B092677"/>
    <w:rsid w:val="2B532F2C"/>
    <w:rsid w:val="2B8B65C3"/>
    <w:rsid w:val="2B986184"/>
    <w:rsid w:val="2BFE1F25"/>
    <w:rsid w:val="2CA24DF8"/>
    <w:rsid w:val="2DD635F1"/>
    <w:rsid w:val="2DF26D0A"/>
    <w:rsid w:val="2F24191E"/>
    <w:rsid w:val="2FA237BF"/>
    <w:rsid w:val="2FCE0359"/>
    <w:rsid w:val="30112B90"/>
    <w:rsid w:val="302225D0"/>
    <w:rsid w:val="31644767"/>
    <w:rsid w:val="31D40319"/>
    <w:rsid w:val="31DC4ACE"/>
    <w:rsid w:val="31E41F98"/>
    <w:rsid w:val="32CC2BCB"/>
    <w:rsid w:val="32EA5E7D"/>
    <w:rsid w:val="33753559"/>
    <w:rsid w:val="33A71E30"/>
    <w:rsid w:val="34461F33"/>
    <w:rsid w:val="34DB19BE"/>
    <w:rsid w:val="350D651E"/>
    <w:rsid w:val="35496ED9"/>
    <w:rsid w:val="359169E6"/>
    <w:rsid w:val="35FC34C7"/>
    <w:rsid w:val="36465C1C"/>
    <w:rsid w:val="36906FEA"/>
    <w:rsid w:val="36AC78BB"/>
    <w:rsid w:val="37C53AA3"/>
    <w:rsid w:val="37FC421C"/>
    <w:rsid w:val="3833260C"/>
    <w:rsid w:val="383F48C6"/>
    <w:rsid w:val="385233C2"/>
    <w:rsid w:val="3866768A"/>
    <w:rsid w:val="3945558B"/>
    <w:rsid w:val="39AA5B4D"/>
    <w:rsid w:val="39E521A8"/>
    <w:rsid w:val="3A4C0FF4"/>
    <w:rsid w:val="3A9C7EB1"/>
    <w:rsid w:val="3AA47215"/>
    <w:rsid w:val="3B2A046A"/>
    <w:rsid w:val="3B5B7866"/>
    <w:rsid w:val="3B7D37CF"/>
    <w:rsid w:val="3CE753A4"/>
    <w:rsid w:val="3DCC7A7C"/>
    <w:rsid w:val="3DE7333C"/>
    <w:rsid w:val="3E561A10"/>
    <w:rsid w:val="3EEE015B"/>
    <w:rsid w:val="3F03295E"/>
    <w:rsid w:val="40157755"/>
    <w:rsid w:val="4079457A"/>
    <w:rsid w:val="408A3BCB"/>
    <w:rsid w:val="40FF337E"/>
    <w:rsid w:val="41796AED"/>
    <w:rsid w:val="41BB295C"/>
    <w:rsid w:val="41EF340A"/>
    <w:rsid w:val="42050FFE"/>
    <w:rsid w:val="42A977FE"/>
    <w:rsid w:val="43AC2EA4"/>
    <w:rsid w:val="453661C2"/>
    <w:rsid w:val="460828DC"/>
    <w:rsid w:val="46B2252A"/>
    <w:rsid w:val="46FA5174"/>
    <w:rsid w:val="472965B9"/>
    <w:rsid w:val="47412E70"/>
    <w:rsid w:val="4753077C"/>
    <w:rsid w:val="47632194"/>
    <w:rsid w:val="48462B8E"/>
    <w:rsid w:val="48645CC2"/>
    <w:rsid w:val="488205BE"/>
    <w:rsid w:val="49C24CC0"/>
    <w:rsid w:val="4A51005C"/>
    <w:rsid w:val="4AE323D4"/>
    <w:rsid w:val="4C4605B5"/>
    <w:rsid w:val="4EC372F3"/>
    <w:rsid w:val="4EE64201"/>
    <w:rsid w:val="4EF23F8B"/>
    <w:rsid w:val="4F101850"/>
    <w:rsid w:val="50811A75"/>
    <w:rsid w:val="512101A3"/>
    <w:rsid w:val="514E0D65"/>
    <w:rsid w:val="51CD0D86"/>
    <w:rsid w:val="53E955AD"/>
    <w:rsid w:val="54354050"/>
    <w:rsid w:val="54A45C1B"/>
    <w:rsid w:val="54FB6A6C"/>
    <w:rsid w:val="55526259"/>
    <w:rsid w:val="55F04F4C"/>
    <w:rsid w:val="561620D3"/>
    <w:rsid w:val="56261DBD"/>
    <w:rsid w:val="56B03AD5"/>
    <w:rsid w:val="579A4261"/>
    <w:rsid w:val="57B84C0C"/>
    <w:rsid w:val="596533FF"/>
    <w:rsid w:val="599027EB"/>
    <w:rsid w:val="59DC5F12"/>
    <w:rsid w:val="5A393BD2"/>
    <w:rsid w:val="5AF325B5"/>
    <w:rsid w:val="5AF80C77"/>
    <w:rsid w:val="5BD3132C"/>
    <w:rsid w:val="5D590A32"/>
    <w:rsid w:val="5DB229C9"/>
    <w:rsid w:val="5E2606B1"/>
    <w:rsid w:val="5E58773A"/>
    <w:rsid w:val="5EE8403E"/>
    <w:rsid w:val="5F526256"/>
    <w:rsid w:val="5FE27872"/>
    <w:rsid w:val="5FFC318A"/>
    <w:rsid w:val="604A5A10"/>
    <w:rsid w:val="60952D33"/>
    <w:rsid w:val="609F4026"/>
    <w:rsid w:val="61A93F9E"/>
    <w:rsid w:val="61D218D0"/>
    <w:rsid w:val="61DF5D9B"/>
    <w:rsid w:val="61E72F88"/>
    <w:rsid w:val="61F917BD"/>
    <w:rsid w:val="62107526"/>
    <w:rsid w:val="62CB4127"/>
    <w:rsid w:val="632B1B64"/>
    <w:rsid w:val="64300B94"/>
    <w:rsid w:val="647931EF"/>
    <w:rsid w:val="657D5FF6"/>
    <w:rsid w:val="663F4D1F"/>
    <w:rsid w:val="675426FA"/>
    <w:rsid w:val="67544162"/>
    <w:rsid w:val="677551A6"/>
    <w:rsid w:val="677A5474"/>
    <w:rsid w:val="68325E66"/>
    <w:rsid w:val="68C41514"/>
    <w:rsid w:val="696D1EDE"/>
    <w:rsid w:val="6ACB221F"/>
    <w:rsid w:val="6B07083C"/>
    <w:rsid w:val="6B0F4DE1"/>
    <w:rsid w:val="6B9D46E2"/>
    <w:rsid w:val="6C7A1DCE"/>
    <w:rsid w:val="6C9B6AF2"/>
    <w:rsid w:val="6C9D0D2C"/>
    <w:rsid w:val="6CF55B96"/>
    <w:rsid w:val="6CFF1DBD"/>
    <w:rsid w:val="6DB36A59"/>
    <w:rsid w:val="6E977926"/>
    <w:rsid w:val="6ED40A61"/>
    <w:rsid w:val="6F656E61"/>
    <w:rsid w:val="6F950040"/>
    <w:rsid w:val="70D42656"/>
    <w:rsid w:val="719F18B6"/>
    <w:rsid w:val="71A0441E"/>
    <w:rsid w:val="71B65F51"/>
    <w:rsid w:val="72BB50F9"/>
    <w:rsid w:val="72D25148"/>
    <w:rsid w:val="73162792"/>
    <w:rsid w:val="73305994"/>
    <w:rsid w:val="73444042"/>
    <w:rsid w:val="73AC1CB4"/>
    <w:rsid w:val="73C43905"/>
    <w:rsid w:val="73DE409C"/>
    <w:rsid w:val="73F625C1"/>
    <w:rsid w:val="74512B28"/>
    <w:rsid w:val="74597C2E"/>
    <w:rsid w:val="751368E2"/>
    <w:rsid w:val="760A1356"/>
    <w:rsid w:val="76EC70A4"/>
    <w:rsid w:val="770A338D"/>
    <w:rsid w:val="773125D4"/>
    <w:rsid w:val="77351D23"/>
    <w:rsid w:val="77752177"/>
    <w:rsid w:val="77E322A9"/>
    <w:rsid w:val="78123D2E"/>
    <w:rsid w:val="783373F4"/>
    <w:rsid w:val="785155B7"/>
    <w:rsid w:val="785B29F7"/>
    <w:rsid w:val="79413EF7"/>
    <w:rsid w:val="7A25239E"/>
    <w:rsid w:val="7A3E76AA"/>
    <w:rsid w:val="7A421AF9"/>
    <w:rsid w:val="7A58639A"/>
    <w:rsid w:val="7ADF5215"/>
    <w:rsid w:val="7B5F1FCE"/>
    <w:rsid w:val="7B976F95"/>
    <w:rsid w:val="7C3171FF"/>
    <w:rsid w:val="7CB841A4"/>
    <w:rsid w:val="7D4E086C"/>
    <w:rsid w:val="7DAA63A2"/>
    <w:rsid w:val="7E095100"/>
    <w:rsid w:val="7E370C13"/>
    <w:rsid w:val="7E624810"/>
    <w:rsid w:val="7E9E5BAA"/>
    <w:rsid w:val="7EDB1273"/>
    <w:rsid w:val="7EDE2234"/>
    <w:rsid w:val="7F192D69"/>
    <w:rsid w:val="7FC50853"/>
    <w:rsid w:val="FF175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b/>
      <w:bCs/>
      <w:sz w:val="32"/>
      <w:szCs w:val="32"/>
    </w:rPr>
  </w:style>
  <w:style w:type="paragraph" w:styleId="3">
    <w:name w:val="Normal Indent"/>
    <w:basedOn w:val="1"/>
    <w:unhideWhenUsed/>
    <w:qFormat/>
    <w:uiPriority w:val="0"/>
    <w:pPr>
      <w:spacing w:beforeLines="0" w:afterLines="0"/>
      <w:ind w:firstLine="420"/>
    </w:pPr>
    <w:rPr>
      <w:rFonts w:hint="eastAsia"/>
      <w:sz w:val="21"/>
    </w:rPr>
  </w:style>
  <w:style w:type="paragraph" w:styleId="4">
    <w:name w:val="annotation text"/>
    <w:basedOn w:val="1"/>
    <w:qFormat/>
    <w:uiPriority w:val="0"/>
    <w:pPr>
      <w:jc w:val="left"/>
    </w:pPr>
  </w:style>
  <w:style w:type="paragraph" w:styleId="5">
    <w:name w:val="toc 3"/>
    <w:basedOn w:val="1"/>
    <w:next w:val="1"/>
    <w:unhideWhenUsed/>
    <w:qFormat/>
    <w:uiPriority w:val="39"/>
    <w:pPr>
      <w:ind w:left="420"/>
    </w:pPr>
    <w:rPr>
      <w:rFonts w:ascii="等线" w:hAnsi="等线" w:eastAsia="等线"/>
      <w:b/>
      <w:sz w:val="30"/>
      <w:szCs w:val="30"/>
    </w:rPr>
  </w:style>
  <w:style w:type="paragraph" w:styleId="6">
    <w:name w:val="footer"/>
    <w:basedOn w:val="1"/>
    <w:link w:val="12"/>
    <w:qFormat/>
    <w:uiPriority w:val="0"/>
    <w:pPr>
      <w:tabs>
        <w:tab w:val="center" w:pos="4153"/>
        <w:tab w:val="right" w:pos="8306"/>
      </w:tabs>
      <w:snapToGrid w:val="0"/>
      <w:jc w:val="left"/>
    </w:pPr>
    <w:rPr>
      <w:sz w:val="18"/>
      <w:szCs w:val="18"/>
    </w:rPr>
  </w:style>
  <w:style w:type="paragraph" w:styleId="7">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10">
    <w:name w:val="Strong"/>
    <w:basedOn w:val="9"/>
    <w:qFormat/>
    <w:uiPriority w:val="0"/>
    <w:rPr>
      <w:b/>
    </w:rPr>
  </w:style>
  <w:style w:type="character" w:customStyle="1" w:styleId="11">
    <w:name w:val="页眉 Char"/>
    <w:basedOn w:val="9"/>
    <w:link w:val="7"/>
    <w:qFormat/>
    <w:uiPriority w:val="0"/>
    <w:rPr>
      <w:rFonts w:asciiTheme="minorHAnsi" w:hAnsiTheme="minorHAnsi" w:eastAsiaTheme="minorEastAsia" w:cstheme="minorBidi"/>
      <w:kern w:val="2"/>
      <w:sz w:val="18"/>
      <w:szCs w:val="18"/>
    </w:rPr>
  </w:style>
  <w:style w:type="character" w:customStyle="1" w:styleId="12">
    <w:name w:val="页脚 Char"/>
    <w:basedOn w:val="9"/>
    <w:link w:val="6"/>
    <w:qFormat/>
    <w:uiPriority w:val="0"/>
    <w:rPr>
      <w:rFonts w:asciiTheme="minorHAnsi" w:hAnsiTheme="minorHAnsi" w:eastAsiaTheme="minorEastAsia" w:cstheme="minorBidi"/>
      <w:kern w:val="2"/>
      <w:sz w:val="18"/>
      <w:szCs w:val="18"/>
    </w:rPr>
  </w:style>
  <w:style w:type="paragraph" w:customStyle="1" w:styleId="13">
    <w:name w:val="无间隔1"/>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lackTie">
      <a:maj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3621</Words>
  <Characters>3707</Characters>
  <Lines>17</Lines>
  <Paragraphs>4</Paragraphs>
  <TotalTime>0</TotalTime>
  <ScaleCrop>false</ScaleCrop>
  <LinksUpToDate>false</LinksUpToDate>
  <CharactersWithSpaces>3744</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2020-02-21T10:15:00Z</dcterms:created>
  <dc:creator>堂诘歌德</dc:creator>
  <cp:lastModifiedBy>张昆</cp:lastModifiedBy>
  <cp:lastPrinted>2022-03-02T17:22:00Z</cp:lastPrinted>
  <dcterms:modified xsi:type="dcterms:W3CDTF">2023-06-14T07:03:07Z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6BA78853695A487CB6895198E5191C6B</vt:lpwstr>
  </property>
</Properties>
</file>