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8DF5C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北京市门头沟区水务局</w:t>
      </w:r>
    </w:p>
    <w:p w14:paraId="3EE0EFD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年法治政府建设情况报告</w:t>
      </w:r>
      <w:bookmarkEnd w:id="0"/>
    </w:p>
    <w:p w14:paraId="6B30298A">
      <w:pPr>
        <w:pStyle w:val="3"/>
        <w:ind w:left="0" w:leftChars="0" w:firstLine="0" w:firstLineChars="0"/>
        <w:rPr>
          <w:rFonts w:hint="eastAsia" w:ascii="方正小标宋简体" w:hAnsi="方正小标宋简体" w:eastAsia="方正小标宋简体" w:cs="方正小标宋简体"/>
          <w:sz w:val="32"/>
          <w:szCs w:val="32"/>
        </w:rPr>
      </w:pPr>
    </w:p>
    <w:p w14:paraId="042A1D2C">
      <w:pPr>
        <w:keepNext w:val="0"/>
        <w:keepLines w:val="0"/>
        <w:pageBreakBefore w:val="0"/>
        <w:kinsoku/>
        <w:wordWrap/>
        <w:overflowPunct/>
        <w:topLinePunct w:val="0"/>
        <w:autoSpaceDE/>
        <w:autoSpaceDN/>
        <w:bidi w:val="0"/>
        <w:adjustRightInd/>
        <w:snapToGrid/>
        <w:spacing w:line="560" w:lineRule="exact"/>
        <w:ind w:firstLine="640" w:firstLineChars="200"/>
        <w:rPr>
          <w:rFonts w:ascii="仿宋_GB2312" w:hAnsi="仿宋_GB2312" w:eastAsia="仿宋_GB2312" w:cs="仿宋_GB2312"/>
          <w:sz w:val="32"/>
          <w:szCs w:val="32"/>
        </w:rPr>
      </w:pPr>
      <w:r>
        <w:rPr>
          <w:rFonts w:ascii="仿宋_GB2312" w:eastAsia="仿宋_GB2312"/>
          <w:sz w:val="32"/>
          <w:szCs w:val="32"/>
        </w:rPr>
        <w:t>20</w:t>
      </w:r>
      <w:r>
        <w:rPr>
          <w:rFonts w:hint="eastAsia" w:ascii="仿宋_GB2312" w:eastAsia="仿宋_GB2312"/>
          <w:sz w:val="32"/>
          <w:szCs w:val="32"/>
          <w:lang w:val="en-US" w:eastAsia="zh-CN"/>
        </w:rPr>
        <w:t>24</w:t>
      </w:r>
      <w:r>
        <w:rPr>
          <w:rFonts w:hint="eastAsia" w:ascii="仿宋_GB2312" w:eastAsia="仿宋_GB2312"/>
          <w:sz w:val="32"/>
          <w:szCs w:val="32"/>
        </w:rPr>
        <w:t>年，</w:t>
      </w:r>
      <w:r>
        <w:rPr>
          <w:rFonts w:hint="eastAsia" w:ascii="仿宋_GB2312" w:eastAsia="仿宋_GB2312"/>
          <w:sz w:val="32"/>
          <w:szCs w:val="32"/>
          <w:lang w:eastAsia="zh-CN"/>
        </w:rPr>
        <w:t>区水务局</w:t>
      </w:r>
      <w:r>
        <w:rPr>
          <w:rFonts w:hint="eastAsia" w:ascii="仿宋_GB2312" w:eastAsia="仿宋_GB2312"/>
          <w:sz w:val="32"/>
          <w:szCs w:val="32"/>
        </w:rPr>
        <w:t>在区委区政府的坚强领导下，坚持以新时期治水思路为指导，</w:t>
      </w:r>
      <w:r>
        <w:rPr>
          <w:rFonts w:hint="eastAsia" w:ascii="仿宋_GB2312" w:eastAsia="仿宋_GB2312"/>
          <w:sz w:val="32"/>
          <w:szCs w:val="32"/>
          <w:lang w:eastAsia="zh-CN"/>
        </w:rPr>
        <w:t>全面贯彻落实</w:t>
      </w:r>
      <w:r>
        <w:rPr>
          <w:rFonts w:hint="eastAsia" w:ascii="仿宋_GB2312" w:hAnsi="仿宋_GB2312" w:eastAsia="仿宋_GB2312" w:cs="仿宋_GB2312"/>
          <w:sz w:val="32"/>
          <w:szCs w:val="32"/>
          <w:lang w:val="en-US" w:eastAsia="zh-CN"/>
        </w:rPr>
        <w:t>党的二十大和二十届二中、三中全会精神</w:t>
      </w:r>
      <w:r>
        <w:rPr>
          <w:rFonts w:hint="eastAsia" w:ascii="仿宋_GB2312" w:hAnsi="仿宋_GB2312" w:eastAsia="仿宋_GB2312" w:cs="仿宋_GB2312"/>
          <w:kern w:val="0"/>
          <w:sz w:val="32"/>
          <w:szCs w:val="32"/>
          <w:shd w:val="clear" w:color="auto" w:fill="FFFFFF"/>
        </w:rPr>
        <w:t>，</w:t>
      </w:r>
      <w:r>
        <w:rPr>
          <w:rFonts w:hint="eastAsia" w:ascii="仿宋_GB2312" w:eastAsia="仿宋_GB2312"/>
          <w:b w:val="0"/>
          <w:bCs/>
          <w:sz w:val="32"/>
          <w:szCs w:val="32"/>
        </w:rPr>
        <w:t>紧扣全区“12345”总体发展思路，</w:t>
      </w:r>
      <w:r>
        <w:rPr>
          <w:rFonts w:hint="eastAsia" w:ascii="仿宋_GB2312" w:hAnsi="仿宋_GB2312" w:eastAsia="仿宋_GB2312" w:cs="仿宋_GB2312"/>
          <w:sz w:val="32"/>
          <w:szCs w:val="32"/>
        </w:rPr>
        <w:t>扎实推进法治政府建设工作，取得了重要进展和成效。现将有关情况报告如下：</w:t>
      </w:r>
    </w:p>
    <w:p w14:paraId="1D7A2BA6">
      <w:pPr>
        <w:pStyle w:val="4"/>
        <w:keepNext w:val="0"/>
        <w:keepLines w:val="0"/>
        <w:pageBreakBefore w:val="0"/>
        <w:widowControl w:val="0"/>
        <w:kinsoku/>
        <w:wordWrap/>
        <w:overflowPunct/>
        <w:topLinePunct w:val="0"/>
        <w:autoSpaceDE/>
        <w:autoSpaceDN/>
        <w:bidi w:val="0"/>
        <w:adjustRightInd/>
        <w:snapToGrid/>
        <w:spacing w:after="0" w:line="560" w:lineRule="exact"/>
        <w:ind w:firstLine="640"/>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val="en-US" w:eastAsia="zh-CN"/>
        </w:rPr>
        <w:t>一、2024年度</w:t>
      </w:r>
      <w:r>
        <w:rPr>
          <w:rFonts w:hint="eastAsia" w:ascii="黑体" w:hAnsi="黑体" w:eastAsia="黑体" w:cs="黑体"/>
          <w:sz w:val="32"/>
          <w:szCs w:val="32"/>
          <w:lang w:val="en-US" w:eastAsia="zh-CN"/>
        </w:rPr>
        <w:t>推进法治政府建设的主要举措和成效</w:t>
      </w:r>
    </w:p>
    <w:p w14:paraId="47E46267">
      <w:pPr>
        <w:pStyle w:val="5"/>
        <w:keepNext w:val="0"/>
        <w:keepLines w:val="0"/>
        <w:pageBreakBefore w:val="0"/>
        <w:widowControl/>
        <w:shd w:val="clear" w:color="auto"/>
        <w:kinsoku/>
        <w:wordWrap/>
        <w:overflowPunct/>
        <w:topLinePunct w:val="0"/>
        <w:autoSpaceDE/>
        <w:autoSpaceDN/>
        <w:bidi w:val="0"/>
        <w:adjustRightInd/>
        <w:snapToGrid/>
        <w:spacing w:beforeAutospacing="0" w:afterAutospacing="0" w:line="560" w:lineRule="exact"/>
        <w:ind w:firstLine="640" w:firstLineChars="200"/>
        <w:jc w:val="both"/>
        <w:textAlignment w:val="baseline"/>
        <w:rPr>
          <w:rFonts w:hint="eastAsia"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（一）聚焦“政治使命”，统筹引领法治政府建设</w:t>
      </w:r>
    </w:p>
    <w:p w14:paraId="438B0DB4">
      <w:pPr>
        <w:pStyle w:val="5"/>
        <w:keepNext w:val="0"/>
        <w:keepLines w:val="0"/>
        <w:pageBreakBefore w:val="0"/>
        <w:widowControl/>
        <w:shd w:val="clear" w:color="000000"/>
        <w:kinsoku/>
        <w:wordWrap/>
        <w:overflowPunct/>
        <w:topLinePunct w:val="0"/>
        <w:autoSpaceDE/>
        <w:autoSpaceDN/>
        <w:bidi w:val="0"/>
        <w:adjustRightInd/>
        <w:snapToGrid/>
        <w:spacing w:beforeAutospacing="0" w:afterAutospacing="0" w:line="56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shd w:val="clear" w:color="auto" w:fill="FFFFFF"/>
        </w:rPr>
        <w:t>一是</w:t>
      </w:r>
      <w:r>
        <w:rPr>
          <w:rFonts w:hint="eastAsia" w:ascii="仿宋_GB2312" w:hAnsi="仿宋_GB2312" w:eastAsia="仿宋_GB2312" w:cs="仿宋_GB2312"/>
          <w:sz w:val="32"/>
          <w:szCs w:val="32"/>
          <w:shd w:val="clear" w:color="auto" w:fill="FFFFFF"/>
        </w:rPr>
        <w:t>将法治建设纳入党组重要议事日程，听取推进法治政府建设示范创建相关工作汇报，牵头</w:t>
      </w:r>
      <w:r>
        <w:rPr>
          <w:rFonts w:hint="eastAsia" w:ascii="仿宋_GB2312" w:hAnsi="仿宋_GB2312" w:eastAsia="仿宋_GB2312" w:cs="仿宋_GB2312"/>
          <w:color w:val="000000"/>
          <w:sz w:val="32"/>
          <w:szCs w:val="32"/>
        </w:rPr>
        <w:t>细化完善党政主要负责人履行推进法治建设第一责任人职责清单15项，</w:t>
      </w:r>
      <w:r>
        <w:rPr>
          <w:rFonts w:hint="eastAsia" w:ascii="仿宋_GB2312" w:hAnsi="仿宋_GB2312" w:eastAsia="仿宋_GB2312" w:cs="仿宋_GB2312"/>
          <w:color w:val="000000"/>
          <w:sz w:val="32"/>
          <w:szCs w:val="32"/>
          <w:lang w:eastAsia="zh-CN"/>
        </w:rPr>
        <w:t>主持撰写述法报告并列入领导干部年度述职报告，</w:t>
      </w:r>
      <w:r>
        <w:rPr>
          <w:rFonts w:hint="eastAsia" w:ascii="仿宋_GB2312" w:hAnsi="仿宋_GB2312" w:eastAsia="仿宋_GB2312" w:cs="仿宋_GB2312"/>
          <w:sz w:val="32"/>
          <w:szCs w:val="32"/>
          <w:shd w:val="clear" w:color="auto" w:fill="FFFFFF"/>
        </w:rPr>
        <w:t>及时解决法治建设工作中的实际问题，切实将法治建设与水务中心工作同研究、同部署、同落实、同考核。</w:t>
      </w:r>
      <w:r>
        <w:rPr>
          <w:rFonts w:hint="eastAsia" w:ascii="仿宋_GB2312" w:hAnsi="仿宋_GB2312" w:eastAsia="仿宋_GB2312" w:cs="仿宋_GB2312"/>
          <w:b/>
          <w:sz w:val="32"/>
          <w:szCs w:val="32"/>
          <w:shd w:val="clear" w:color="auto" w:fill="FFFFFF"/>
        </w:rPr>
        <w:t>二是</w:t>
      </w:r>
      <w:r>
        <w:rPr>
          <w:rFonts w:hint="eastAsia" w:ascii="仿宋_GB2312" w:hAnsi="仿宋_GB2312" w:eastAsia="仿宋_GB2312" w:cs="仿宋_GB2312"/>
          <w:sz w:val="32"/>
          <w:szCs w:val="32"/>
          <w:shd w:val="clear" w:color="auto" w:fill="FFFFFF"/>
        </w:rPr>
        <w:t>落实领导干部学法用法制度，将</w:t>
      </w:r>
      <w:r>
        <w:rPr>
          <w:rFonts w:hint="eastAsia" w:ascii="仿宋_GB2312" w:hAnsi="仿宋_GB2312" w:eastAsia="仿宋_GB2312" w:cs="仿宋_GB2312"/>
          <w:sz w:val="32"/>
          <w:szCs w:val="32"/>
        </w:rPr>
        <w:t>习近平法治思想、《北京市节水条例》等纳入党组理论学习中心组学习内容，</w:t>
      </w:r>
      <w:r>
        <w:rPr>
          <w:rFonts w:hint="eastAsia" w:ascii="仿宋_GB2312" w:hAnsi="仿宋_GB2312" w:eastAsia="仿宋_GB2312" w:cs="仿宋_GB2312"/>
          <w:sz w:val="32"/>
          <w:szCs w:val="32"/>
          <w:shd w:val="clear" w:color="auto" w:fill="FFFFFF"/>
        </w:rPr>
        <w:t>年内主持</w:t>
      </w:r>
      <w:r>
        <w:rPr>
          <w:rFonts w:hint="eastAsia" w:ascii="仿宋_GB2312" w:hAnsi="仿宋_GB2312" w:eastAsia="仿宋_GB2312" w:cs="仿宋_GB2312"/>
          <w:sz w:val="32"/>
          <w:szCs w:val="32"/>
        </w:rPr>
        <w:t>会前学法</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次</w:t>
      </w:r>
      <w:r>
        <w:rPr>
          <w:rFonts w:hint="eastAsia" w:ascii="仿宋_GB2312" w:hAnsi="仿宋_GB2312" w:eastAsia="仿宋_GB2312" w:cs="仿宋_GB2312"/>
          <w:sz w:val="32"/>
          <w:szCs w:val="32"/>
          <w:lang w:eastAsia="zh-CN"/>
        </w:rPr>
        <w:t>，参与并组织各类行政审批业务培训、法律条例阐释讲解、政务服务学习调研</w:t>
      </w:r>
      <w:r>
        <w:rPr>
          <w:rFonts w:hint="eastAsia" w:ascii="仿宋_GB2312" w:hAnsi="仿宋_GB2312" w:eastAsia="仿宋_GB2312" w:cs="仿宋_GB2312"/>
          <w:sz w:val="32"/>
          <w:szCs w:val="32"/>
          <w:lang w:val="en-US" w:eastAsia="zh-CN"/>
        </w:rPr>
        <w:t>12次，不断提升干部职工法治思维和依法办事能力，</w:t>
      </w:r>
      <w:r>
        <w:rPr>
          <w:rFonts w:hint="eastAsia" w:ascii="仿宋_GB2312" w:hAnsi="仿宋_GB2312" w:eastAsia="仿宋_GB2312" w:cs="仿宋_GB2312"/>
          <w:sz w:val="32"/>
          <w:szCs w:val="32"/>
        </w:rPr>
        <w:t>全局</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lang w:eastAsia="zh-CN"/>
        </w:rPr>
        <w:t>名</w:t>
      </w:r>
      <w:r>
        <w:rPr>
          <w:rFonts w:hint="eastAsia" w:ascii="仿宋_GB2312" w:hAnsi="仿宋_GB2312" w:eastAsia="仿宋_GB2312" w:cs="仿宋_GB2312"/>
          <w:sz w:val="32"/>
          <w:szCs w:val="32"/>
        </w:rPr>
        <w:t>行政执法及法治科室</w:t>
      </w:r>
      <w:r>
        <w:rPr>
          <w:rFonts w:hint="eastAsia" w:ascii="仿宋_GB2312" w:hAnsi="仿宋_GB2312" w:eastAsia="仿宋_GB2312" w:cs="仿宋_GB2312"/>
          <w:sz w:val="32"/>
          <w:szCs w:val="32"/>
          <w:lang w:eastAsia="zh-CN"/>
        </w:rPr>
        <w:t>工作人员</w:t>
      </w:r>
      <w:r>
        <w:rPr>
          <w:rFonts w:hint="eastAsia" w:ascii="仿宋_GB2312" w:hAnsi="仿宋_GB2312" w:eastAsia="仿宋_GB2312" w:cs="仿宋_GB2312"/>
          <w:sz w:val="32"/>
          <w:szCs w:val="32"/>
        </w:rPr>
        <w:t>在线学习法治教育达到60学时以上，覆盖率</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考试通过率</w:t>
      </w:r>
      <w:r>
        <w:rPr>
          <w:rFonts w:hint="eastAsia" w:ascii="仿宋_GB2312" w:hAnsi="仿宋_GB2312" w:eastAsia="仿宋_GB2312" w:cs="仿宋_GB2312"/>
          <w:sz w:val="32"/>
          <w:szCs w:val="32"/>
          <w:lang w:eastAsia="zh-CN"/>
        </w:rPr>
        <w:t>均为</w:t>
      </w:r>
      <w:r>
        <w:rPr>
          <w:rFonts w:hint="eastAsia" w:ascii="仿宋_GB2312" w:hAnsi="仿宋_GB2312" w:eastAsia="仿宋_GB2312" w:cs="仿宋_GB2312"/>
          <w:sz w:val="32"/>
          <w:szCs w:val="32"/>
        </w:rPr>
        <w:t>100%。</w:t>
      </w:r>
    </w:p>
    <w:p w14:paraId="1EE7913C">
      <w:pPr>
        <w:pStyle w:val="5"/>
        <w:keepNext w:val="0"/>
        <w:keepLines w:val="0"/>
        <w:pageBreakBefore w:val="0"/>
        <w:widowControl/>
        <w:shd w:val="clear" w:color="auto"/>
        <w:kinsoku/>
        <w:wordWrap/>
        <w:overflowPunct/>
        <w:topLinePunct w:val="0"/>
        <w:autoSpaceDE/>
        <w:autoSpaceDN/>
        <w:bidi w:val="0"/>
        <w:adjustRightInd/>
        <w:snapToGrid/>
        <w:spacing w:beforeAutospacing="0" w:afterAutospacing="0" w:line="560" w:lineRule="exact"/>
        <w:ind w:firstLine="640" w:firstLineChars="200"/>
        <w:jc w:val="both"/>
        <w:textAlignment w:val="baseline"/>
        <w:rPr>
          <w:rFonts w:hint="eastAsia" w:ascii="楷体_GB2312" w:hAnsi="楷体_GB2312" w:eastAsia="楷体_GB2312" w:cs="楷体_GB2312"/>
          <w:color w:val="333333"/>
          <w:sz w:val="32"/>
          <w:szCs w:val="32"/>
          <w:shd w:val="clear" w:color="auto" w:fill="FFFFFF"/>
          <w:lang w:eastAsia="zh-CN"/>
        </w:rPr>
      </w:pPr>
      <w:r>
        <w:rPr>
          <w:rFonts w:hint="eastAsia" w:ascii="楷体_GB2312" w:hAnsi="楷体_GB2312" w:eastAsia="楷体_GB2312" w:cs="楷体_GB2312"/>
          <w:color w:val="333333"/>
          <w:sz w:val="32"/>
          <w:szCs w:val="32"/>
          <w:shd w:val="clear" w:color="auto" w:fill="FFFFFF"/>
        </w:rPr>
        <w:t>（</w:t>
      </w:r>
      <w:r>
        <w:rPr>
          <w:rFonts w:hint="eastAsia" w:ascii="楷体_GB2312" w:hAnsi="楷体_GB2312" w:eastAsia="楷体_GB2312" w:cs="楷体_GB2312"/>
          <w:color w:val="333333"/>
          <w:sz w:val="32"/>
          <w:szCs w:val="32"/>
          <w:shd w:val="clear" w:color="auto" w:fill="FFFFFF"/>
          <w:lang w:eastAsia="zh-CN"/>
        </w:rPr>
        <w:t>二</w:t>
      </w:r>
      <w:r>
        <w:rPr>
          <w:rFonts w:hint="eastAsia" w:ascii="楷体_GB2312" w:hAnsi="楷体_GB2312" w:eastAsia="楷体_GB2312" w:cs="楷体_GB2312"/>
          <w:color w:val="333333"/>
          <w:sz w:val="32"/>
          <w:szCs w:val="32"/>
          <w:shd w:val="clear" w:color="auto" w:fill="FFFFFF"/>
        </w:rPr>
        <w:t>）聚焦“</w:t>
      </w:r>
      <w:r>
        <w:rPr>
          <w:rFonts w:hint="eastAsia" w:ascii="楷体_GB2312" w:hAnsi="楷体_GB2312" w:eastAsia="楷体_GB2312" w:cs="楷体_GB2312"/>
          <w:color w:val="333333"/>
          <w:sz w:val="32"/>
          <w:szCs w:val="32"/>
          <w:shd w:val="clear" w:color="auto" w:fill="FFFFFF"/>
          <w:lang w:eastAsia="zh-CN"/>
        </w:rPr>
        <w:t>机构改革</w:t>
      </w:r>
      <w:r>
        <w:rPr>
          <w:rFonts w:hint="eastAsia" w:ascii="楷体_GB2312" w:hAnsi="楷体_GB2312" w:eastAsia="楷体_GB2312" w:cs="楷体_GB2312"/>
          <w:color w:val="333333"/>
          <w:sz w:val="32"/>
          <w:szCs w:val="32"/>
          <w:shd w:val="clear" w:color="auto" w:fill="FFFFFF"/>
        </w:rPr>
        <w:t>”，</w:t>
      </w:r>
      <w:r>
        <w:rPr>
          <w:rFonts w:hint="eastAsia" w:ascii="楷体_GB2312" w:hAnsi="楷体_GB2312" w:eastAsia="楷体_GB2312" w:cs="楷体_GB2312"/>
          <w:color w:val="333333"/>
          <w:sz w:val="32"/>
          <w:szCs w:val="32"/>
          <w:shd w:val="clear" w:color="auto" w:fill="FFFFFF"/>
          <w:lang w:eastAsia="zh-CN"/>
        </w:rPr>
        <w:t>全面提升水务监管效能</w:t>
      </w:r>
    </w:p>
    <w:p w14:paraId="4DBC3910">
      <w:pPr>
        <w:pStyle w:val="5"/>
        <w:keepNext w:val="0"/>
        <w:keepLines w:val="0"/>
        <w:pageBreakBefore w:val="0"/>
        <w:widowControl/>
        <w:shd w:val="clear" w:color="000000"/>
        <w:kinsoku/>
        <w:wordWrap/>
        <w:overflowPunct/>
        <w:topLinePunct w:val="0"/>
        <w:autoSpaceDE/>
        <w:autoSpaceDN/>
        <w:bidi w:val="0"/>
        <w:adjustRightInd/>
        <w:snapToGrid/>
        <w:spacing w:beforeAutospacing="0" w:afterAutospacing="0" w:line="560" w:lineRule="exact"/>
        <w:ind w:firstLine="640" w:firstLineChars="200"/>
        <w:jc w:val="both"/>
        <w:textAlignment w:val="baseline"/>
        <w:rPr>
          <w:rFonts w:hint="eastAsia" w:ascii="楷体_GB2312" w:hAnsi="楷体_GB2312" w:eastAsia="楷体_GB2312" w:cs="楷体_GB2312"/>
          <w:sz w:val="32"/>
          <w:szCs w:val="32"/>
          <w:lang w:eastAsia="zh-CN"/>
        </w:rPr>
      </w:pPr>
      <w:r>
        <w:rPr>
          <w:rFonts w:hint="eastAsia" w:ascii="仿宋_GB2312" w:hAnsi="仿宋_GB2312" w:eastAsia="仿宋_GB2312" w:cs="仿宋_GB2312"/>
          <w:sz w:val="32"/>
          <w:szCs w:val="32"/>
          <w:lang w:eastAsia="zh-CN"/>
        </w:rPr>
        <w:t>为贯彻党中央落实机构改革精神，于</w:t>
      </w:r>
      <w:r>
        <w:rPr>
          <w:rFonts w:hint="eastAsia" w:ascii="仿宋_GB2312" w:hAnsi="仿宋_GB2312" w:eastAsia="仿宋_GB2312" w:cs="仿宋_GB2312"/>
          <w:sz w:val="32"/>
          <w:szCs w:val="32"/>
          <w:lang w:val="en-US" w:eastAsia="zh-CN"/>
        </w:rPr>
        <w:t>2024年4月11日将区水务综合执法队人员及职责划转至区城管执法局。</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压实水行政执法主体责任。</w:t>
      </w:r>
      <w:r>
        <w:rPr>
          <w:rFonts w:hint="eastAsia" w:ascii="仿宋_GB2312" w:hAnsi="仿宋_GB2312" w:eastAsia="仿宋_GB2312" w:cs="仿宋_GB2312"/>
          <w:b w:val="0"/>
          <w:bCs w:val="0"/>
          <w:sz w:val="32"/>
          <w:szCs w:val="32"/>
          <w:lang w:val="en-US" w:eastAsia="zh-CN"/>
        </w:rPr>
        <w:t>充分认清机构改革工作的重要意义、肩负的重要责任使命，准确理解和把握机构改革的任务要求，加强研究谋划。</w:t>
      </w:r>
      <w:r>
        <w:rPr>
          <w:rFonts w:hint="eastAsia" w:ascii="仿宋_GB2312" w:hAnsi="仿宋_GB2312" w:eastAsia="仿宋_GB2312" w:cs="仿宋_GB2312"/>
          <w:sz w:val="32"/>
          <w:szCs w:val="32"/>
          <w:lang w:val="en-US" w:eastAsia="zh-CN"/>
        </w:rPr>
        <w:t>机构改革后，对水务部门依法履行行业监管职责进行重新梳理，</w:t>
      </w:r>
      <w:r>
        <w:rPr>
          <w:rFonts w:hint="eastAsia" w:ascii="仿宋_GB2312" w:hAnsi="仿宋_GB2312" w:eastAsia="仿宋_GB2312" w:cs="仿宋_GB2312"/>
          <w:b w:val="0"/>
          <w:bCs w:val="0"/>
          <w:color w:val="1E1E1E"/>
          <w:kern w:val="0"/>
          <w:sz w:val="32"/>
          <w:szCs w:val="32"/>
          <w:lang w:eastAsia="zh-CN"/>
        </w:rPr>
        <w:t>权力清单事项由原来的506项变为51项，</w:t>
      </w:r>
      <w:r>
        <w:rPr>
          <w:rFonts w:hint="eastAsia" w:ascii="仿宋_GB2312" w:hAnsi="仿宋_GB2312" w:eastAsia="仿宋_GB2312" w:cs="仿宋_GB2312"/>
          <w:sz w:val="32"/>
          <w:szCs w:val="32"/>
        </w:rPr>
        <w:t>为加快构建权责明确、公平公正、公开透明、简约高效的水务领域行业监管体系，</w:t>
      </w:r>
      <w:r>
        <w:rPr>
          <w:rFonts w:hint="eastAsia" w:ascii="仿宋_GB2312" w:hAnsi="仿宋_GB2312" w:eastAsia="仿宋_GB2312" w:cs="仿宋_GB2312"/>
          <w:sz w:val="32"/>
          <w:szCs w:val="32"/>
          <w:lang w:eastAsia="zh-CN"/>
        </w:rPr>
        <w:t>制定了《门头沟区水务局加强水务领域行业监管工作方案》，</w:t>
      </w:r>
      <w:r>
        <w:rPr>
          <w:rFonts w:hint="eastAsia" w:ascii="仿宋_GB2312" w:hAnsi="仿宋_GB2312" w:eastAsia="仿宋_GB2312" w:cs="仿宋_GB2312"/>
          <w:sz w:val="32"/>
          <w:szCs w:val="32"/>
        </w:rPr>
        <w:t>编制完成</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《北京市门头沟区2024版水行政权力清单》，不断提高监管效能，增强我局依法行政理念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健全水行政执法协作机制。从联合检查、信息互通、案件移送、工作会商等多角度发力，统筹制定联合检查计划，统筹使用检查力量，形成监督检查工作合力。在此基础上，建立了《门头沟区水务局行政处罚案件线索管理办法》，日常监管中发现违法行为，及时、规范的向城管执法部门移送案件线索。实行“一季度一会商、常态化联络”制度，每季度组织一次综合会商，通报行业监管和执法检查情况，研究需要协调解决的重大问题等，加强日常沟通协调，保障水务行业管理与综合执法工作有机融合、顺利衔接。</w:t>
      </w:r>
    </w:p>
    <w:p w14:paraId="0A6614FE">
      <w:pPr>
        <w:pStyle w:val="5"/>
        <w:keepNext w:val="0"/>
        <w:keepLines w:val="0"/>
        <w:pageBreakBefore w:val="0"/>
        <w:widowControl/>
        <w:numPr>
          <w:ilvl w:val="0"/>
          <w:numId w:val="0"/>
        </w:numPr>
        <w:shd w:val="clear" w:color="000000"/>
        <w:kinsoku/>
        <w:wordWrap/>
        <w:overflowPunct/>
        <w:topLinePunct w:val="0"/>
        <w:autoSpaceDE/>
        <w:autoSpaceDN/>
        <w:bidi w:val="0"/>
        <w:adjustRightInd/>
        <w:snapToGrid/>
        <w:spacing w:beforeAutospacing="0" w:afterAutospacing="0" w:line="560" w:lineRule="exact"/>
        <w:ind w:firstLine="640" w:firstLineChars="200"/>
        <w:jc w:val="both"/>
        <w:textAlignment w:val="baseline"/>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（三）聚焦“灾害防治”，筑牢水旱灾害防御屏障</w:t>
      </w:r>
    </w:p>
    <w:p w14:paraId="122ECB68">
      <w:pPr>
        <w:keepNext w:val="0"/>
        <w:keepLines w:val="0"/>
        <w:pageBreakBefore w:val="0"/>
        <w:shd w:val="clea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i w:val="0"/>
          <w:caps w:val="0"/>
          <w:color w:val="404040"/>
          <w:spacing w:val="0"/>
          <w:sz w:val="32"/>
          <w:szCs w:val="32"/>
          <w:shd w:val="clear" w:fill="FFFFFF"/>
          <w:lang w:val="en-US" w:eastAsia="zh-CN"/>
        </w:rPr>
      </w:pPr>
      <w:r>
        <w:rPr>
          <w:rFonts w:hint="eastAsia" w:ascii="仿宋_GB2312" w:hAnsi="仿宋_GB2312" w:eastAsia="仿宋_GB2312" w:cs="仿宋_GB2312"/>
          <w:b/>
          <w:bCs w:val="0"/>
          <w:sz w:val="32"/>
          <w:szCs w:val="32"/>
          <w:lang w:eastAsia="zh-CN"/>
        </w:rPr>
        <w:t>一是</w:t>
      </w:r>
      <w:r>
        <w:rPr>
          <w:rFonts w:hint="eastAsia" w:ascii="仿宋_GB2312" w:hAnsi="仿宋_GB2312" w:eastAsia="仿宋_GB2312" w:cs="仿宋_GB2312"/>
          <w:b w:val="0"/>
          <w:bCs/>
          <w:sz w:val="32"/>
          <w:szCs w:val="32"/>
        </w:rPr>
        <w:t>精准推进“抢险救灾、应急保障、温暖过冬、安心过节、平稳度汛”平稳转段，灾后3天恢复城区供水、灾后7天恢复全区供水、灾后3个月符合条件的村已100%完成供排水永久管网入地；</w:t>
      </w:r>
      <w:r>
        <w:rPr>
          <w:rFonts w:hint="eastAsia" w:ascii="仿宋_GB2312" w:hAnsi="仿宋_GB2312" w:eastAsia="仿宋_GB2312" w:cs="仿宋_GB2312"/>
          <w:b/>
          <w:bCs w:val="0"/>
          <w:sz w:val="32"/>
          <w:szCs w:val="32"/>
          <w:lang w:eastAsia="zh-CN"/>
        </w:rPr>
        <w:t>二是</w:t>
      </w:r>
      <w:r>
        <w:rPr>
          <w:rFonts w:hint="eastAsia" w:ascii="仿宋_GB2312" w:hAnsi="仿宋_GB2312" w:eastAsia="仿宋_GB2312" w:cs="仿宋_GB2312"/>
          <w:b w:val="0"/>
          <w:bCs/>
          <w:sz w:val="32"/>
          <w:szCs w:val="32"/>
        </w:rPr>
        <w:t>紧抓“国家万亿国债政策红利”，</w:t>
      </w:r>
      <w:r>
        <w:rPr>
          <w:rFonts w:hint="eastAsia" w:ascii="仿宋_GB2312" w:hAnsi="仿宋_GB2312" w:eastAsia="仿宋_GB2312" w:cs="仿宋_GB2312"/>
          <w:b w:val="0"/>
          <w:bCs/>
          <w:kern w:val="0"/>
          <w:sz w:val="32"/>
          <w:szCs w:val="32"/>
        </w:rPr>
        <w:t>71个“一年基本恢复”项目于今年汛前提前半月全部完工，河道行洪能力、供排水保障水平得到有效恢复，并在一定程度上有所提升；18个“三年功能提升”项目已全部开工。</w:t>
      </w:r>
      <w:r>
        <w:rPr>
          <w:rFonts w:hint="eastAsia" w:ascii="仿宋_GB2312" w:hAnsi="仿宋_GB2312" w:eastAsia="仿宋_GB2312" w:cs="仿宋_GB2312"/>
          <w:b w:val="0"/>
          <w:bCs/>
          <w:sz w:val="32"/>
          <w:szCs w:val="32"/>
        </w:rPr>
        <w:t>按照“不死人、不伤人”首要目标，创新“五步联调联动”工作法，全力抓好“灾后第一年”防汛备汛工作。</w:t>
      </w:r>
      <w:r>
        <w:rPr>
          <w:rFonts w:hint="eastAsia" w:ascii="仿宋_GB2312" w:hAnsi="仿宋_GB2312" w:eastAsia="仿宋_GB2312" w:cs="仿宋_GB2312"/>
          <w:bCs/>
          <w:kern w:val="2"/>
          <w:sz w:val="32"/>
          <w:szCs w:val="32"/>
          <w:lang w:val="en-US" w:eastAsia="zh-CN" w:bidi="ar"/>
        </w:rPr>
        <w:t>完成国债资金灾后恢复重建项目“多规合一”平台回复意见50余件，助力我区灾后重建项目早落地、早开工、早见效</w:t>
      </w:r>
      <w:r>
        <w:rPr>
          <w:rFonts w:hint="eastAsia" w:ascii="仿宋_GB2312" w:hAnsi="仿宋_GB2312" w:eastAsia="仿宋_GB2312" w:cs="仿宋_GB2312"/>
          <w:i w:val="0"/>
          <w:caps w:val="0"/>
          <w:color w:val="404040"/>
          <w:spacing w:val="0"/>
          <w:sz w:val="32"/>
          <w:szCs w:val="32"/>
          <w:shd w:val="clear" w:fill="FFFFFF"/>
          <w:lang w:val="en-US" w:eastAsia="zh-CN"/>
        </w:rPr>
        <w:t>。</w:t>
      </w:r>
    </w:p>
    <w:p w14:paraId="63C1137C">
      <w:pPr>
        <w:pStyle w:val="5"/>
        <w:keepNext w:val="0"/>
        <w:keepLines w:val="0"/>
        <w:pageBreakBefore w:val="0"/>
        <w:widowControl/>
        <w:numPr>
          <w:ilvl w:val="0"/>
          <w:numId w:val="0"/>
        </w:numPr>
        <w:shd w:val="clear" w:color="000000"/>
        <w:kinsoku/>
        <w:wordWrap/>
        <w:overflowPunct/>
        <w:topLinePunct w:val="0"/>
        <w:autoSpaceDE/>
        <w:autoSpaceDN/>
        <w:bidi w:val="0"/>
        <w:adjustRightInd/>
        <w:snapToGrid/>
        <w:spacing w:beforeAutospacing="0" w:afterAutospacing="0" w:line="560" w:lineRule="exact"/>
        <w:ind w:firstLine="640" w:firstLineChars="200"/>
        <w:jc w:val="both"/>
        <w:textAlignment w:val="baseline"/>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（四）聚焦“营商环境”，切实把“法治是最好的营商环境”落到实处</w:t>
      </w:r>
    </w:p>
    <w:p w14:paraId="10384061">
      <w:pPr>
        <w:pStyle w:val="5"/>
        <w:keepNext w:val="0"/>
        <w:keepLines w:val="0"/>
        <w:pageBreakBefore w:val="0"/>
        <w:widowControl/>
        <w:shd w:val="clear" w:color="auto"/>
        <w:kinsoku/>
        <w:wordWrap/>
        <w:overflowPunct/>
        <w:topLinePunct w:val="0"/>
        <w:autoSpaceDE/>
        <w:autoSpaceDN/>
        <w:bidi w:val="0"/>
        <w:adjustRightInd/>
        <w:snapToGrid/>
        <w:spacing w:beforeAutospacing="0" w:afterAutospacing="0" w:line="560" w:lineRule="exact"/>
        <w:ind w:firstLine="643" w:firstLineChars="200"/>
        <w:jc w:val="both"/>
        <w:textAlignment w:val="baseline"/>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lang w:val="en-US" w:eastAsia="zh-CN"/>
        </w:rPr>
        <w:t>一是</w:t>
      </w:r>
      <w:r>
        <w:rPr>
          <w:rFonts w:hint="eastAsia" w:ascii="仿宋_GB2312" w:hAnsi="仿宋_GB2312" w:eastAsia="仿宋_GB2312" w:cs="仿宋_GB2312"/>
          <w:color w:val="000000"/>
          <w:sz w:val="32"/>
          <w:szCs w:val="32"/>
          <w:lang w:val="en-US" w:eastAsia="zh-CN"/>
        </w:rPr>
        <w:t>放得活、管得住，以法治优化营商环境。</w:t>
      </w:r>
      <w:r>
        <w:rPr>
          <w:rFonts w:hint="eastAsia" w:ascii="仿宋_GB2312" w:hAnsi="仿宋_GB2312" w:eastAsia="仿宋_GB2312" w:cs="仿宋_GB2312"/>
          <w:color w:val="auto"/>
          <w:kern w:val="2"/>
          <w:sz w:val="32"/>
          <w:szCs w:val="32"/>
          <w:lang w:val="en-US" w:eastAsia="zh-CN" w:bidi="ar-SA"/>
        </w:rPr>
        <w:t>在严格遵照法律规定前提下，实现流程优化再造。简易低风险建设项目，不需办理涉水审批手续，供排水接入享受“零上门、零审批、零投资”的“三零服务”。临时用水指标审批、对城镇排水与污水处理设施建设工程竣工验收报告及相关资料进行备案等10个审批事项由承诺件调整为即办件，办理时限由原来的10个工作日和5个工作日等压缩至0.5个工作日。</w:t>
      </w:r>
      <w:r>
        <w:rPr>
          <w:rFonts w:hint="eastAsia" w:ascii="仿宋_GB2312" w:hAnsi="仿宋_GB2312" w:eastAsia="仿宋_GB2312" w:cs="仿宋_GB2312"/>
          <w:color w:val="000000"/>
          <w:sz w:val="32"/>
          <w:szCs w:val="32"/>
          <w:lang w:val="en-US" w:eastAsia="zh-CN"/>
        </w:rPr>
        <w:t>年内办理各类政务服务事项172件，办理提速率、承诺提速率、服务对象满意率实现三个100%，为企业在我区专心创业、放心投资、安心经营打造更好的发展基础。</w:t>
      </w:r>
      <w:r>
        <w:rPr>
          <w:rFonts w:hint="eastAsia" w:ascii="仿宋_GB2312" w:hAnsi="仿宋_GB2312" w:eastAsia="仿宋_GB2312" w:cs="仿宋_GB2312"/>
          <w:b/>
          <w:bCs/>
          <w:color w:val="000000"/>
          <w:sz w:val="32"/>
          <w:szCs w:val="32"/>
          <w:lang w:val="en-US" w:eastAsia="zh-CN"/>
        </w:rPr>
        <w:t>二是</w:t>
      </w:r>
      <w:r>
        <w:rPr>
          <w:rFonts w:hint="eastAsia" w:ascii="仿宋_GB2312" w:hAnsi="仿宋_GB2312" w:eastAsia="仿宋_GB2312" w:cs="仿宋_GB2312"/>
          <w:color w:val="000000"/>
          <w:sz w:val="32"/>
          <w:szCs w:val="32"/>
          <w:lang w:val="en-US" w:eastAsia="zh-CN"/>
        </w:rPr>
        <w:t>严惩戒、善激励，以法治推动社会诚信建设。</w:t>
      </w:r>
      <w:r>
        <w:rPr>
          <w:rFonts w:hint="eastAsia" w:ascii="仿宋_GB2312" w:hAnsi="仿宋_GB2312" w:eastAsia="仿宋_GB2312" w:cs="仿宋_GB2312"/>
          <w:bCs/>
          <w:kern w:val="2"/>
          <w:sz w:val="32"/>
          <w:szCs w:val="32"/>
          <w:lang w:val="en-US" w:eastAsia="zh-CN" w:bidi="ar"/>
        </w:rPr>
        <w:t>建立以“双随机、一公开”、一码检查、非现场监管为基本手段、以重点监管为补充、信用监管为基础的监管体系，指导审批科室严格执行《北京水务领域轻微违法行为免罚清单》</w:t>
      </w:r>
      <w:r>
        <w:rPr>
          <w:rFonts w:hint="eastAsia" w:ascii="仿宋_GB2312" w:hAnsi="仿宋_GB2312" w:eastAsia="仿宋_GB2312" w:cs="仿宋_GB2312"/>
          <w:kern w:val="2"/>
          <w:sz w:val="32"/>
          <w:szCs w:val="32"/>
          <w:lang w:val="en-US" w:eastAsia="zh-CN" w:bidi="ar"/>
        </w:rPr>
        <w:t>《门头沟区水务局加强行政审批事中事后监管实施方案》等有关规定，形成“政府不添乱，企业不违规”的良性循环</w:t>
      </w:r>
      <w:r>
        <w:rPr>
          <w:rFonts w:hint="eastAsia" w:ascii="仿宋_GB2312" w:hAnsi="仿宋_GB2312" w:eastAsia="仿宋_GB2312" w:cs="仿宋_GB2312"/>
          <w:bCs/>
          <w:kern w:val="2"/>
          <w:sz w:val="32"/>
          <w:szCs w:val="32"/>
          <w:lang w:val="en-US" w:eastAsia="zh-CN" w:bidi="ar"/>
        </w:rPr>
        <w:t>，实水务监管更规范、更透明，避免扎堆检查、重复检查。</w:t>
      </w:r>
      <w:r>
        <w:rPr>
          <w:rFonts w:hint="eastAsia" w:ascii="仿宋_GB2312" w:hAnsi="仿宋_GB2312" w:eastAsia="仿宋_GB2312" w:cs="仿宋_GB2312"/>
          <w:b/>
          <w:bCs w:val="0"/>
          <w:kern w:val="2"/>
          <w:sz w:val="32"/>
          <w:szCs w:val="32"/>
          <w:lang w:val="en-US" w:eastAsia="zh-CN" w:bidi="ar"/>
        </w:rPr>
        <w:t>三是</w:t>
      </w:r>
      <w:r>
        <w:rPr>
          <w:rFonts w:hint="eastAsia" w:ascii="仿宋_GB2312" w:hAnsi="仿宋_GB2312" w:eastAsia="仿宋_GB2312" w:cs="仿宋_GB2312"/>
          <w:b w:val="0"/>
          <w:bCs/>
          <w:kern w:val="2"/>
          <w:sz w:val="32"/>
          <w:szCs w:val="32"/>
          <w:lang w:val="en-US" w:eastAsia="zh-CN" w:bidi="ar"/>
        </w:rPr>
        <w:t>融外宣、重内宣，以法治保障高水平对外开放。</w:t>
      </w:r>
      <w:r>
        <w:rPr>
          <w:rFonts w:hint="eastAsia" w:ascii="仿宋_GB2312" w:hAnsi="仿宋_GB2312" w:eastAsia="仿宋_GB2312" w:cs="仿宋_GB2312"/>
          <w:bCs/>
          <w:kern w:val="2"/>
          <w:sz w:val="32"/>
          <w:szCs w:val="32"/>
          <w:lang w:val="en-US" w:eastAsia="zh-CN" w:bidi="ar"/>
        </w:rPr>
        <w:t>通过门头沟融媒、“门头沟水务”微信公众号等资源，开展普法课堂、沉浸式体验涉水审批流程、“世界水日”“中国水周”和国家宪法日宣传等活动，实施法治宣传进机关、进社区、进企业、进工地、进乡村“五进”活动，</w:t>
      </w:r>
      <w:r>
        <w:rPr>
          <w:rFonts w:hint="eastAsia" w:ascii="仿宋_GB2312" w:hAnsi="仿宋_GB2312" w:eastAsia="仿宋_GB2312" w:cs="仿宋_GB2312"/>
          <w:color w:val="1E1E1E"/>
          <w:kern w:val="0"/>
          <w:sz w:val="32"/>
          <w:szCs w:val="32"/>
        </w:rPr>
        <w:t>活动现场共发放宣传资料1000余份，接受现场咨询50余人次，进一步加深了群众对政务公开工作认识，保障了人民群众的知情权、参与权和监督权，增强了群众对政府工作理解和信任，取得了良好的社会效果。</w:t>
      </w:r>
    </w:p>
    <w:p w14:paraId="4129A6C7">
      <w:pPr>
        <w:pStyle w:val="4"/>
        <w:keepNext w:val="0"/>
        <w:keepLines w:val="0"/>
        <w:pageBreakBefore w:val="0"/>
        <w:widowControl w:val="0"/>
        <w:kinsoku/>
        <w:wordWrap/>
        <w:overflowPunct/>
        <w:topLinePunct w:val="0"/>
        <w:autoSpaceDE/>
        <w:autoSpaceDN/>
        <w:bidi w:val="0"/>
        <w:adjustRightInd/>
        <w:snapToGrid/>
        <w:spacing w:after="0" w:line="560" w:lineRule="exact"/>
        <w:ind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二、2024年度推进法治政府建设存在的不足和原因</w:t>
      </w:r>
    </w:p>
    <w:p w14:paraId="2F94E4D2">
      <w:pPr>
        <w:pStyle w:val="5"/>
        <w:keepNext w:val="0"/>
        <w:keepLines w:val="0"/>
        <w:pageBreakBefore w:val="0"/>
        <w:widowControl/>
        <w:shd w:val="clear" w:color="auto"/>
        <w:kinsoku/>
        <w:wordWrap/>
        <w:overflowPunct/>
        <w:topLinePunct w:val="0"/>
        <w:autoSpaceDE/>
        <w:autoSpaceDN/>
        <w:bidi w:val="0"/>
        <w:adjustRightInd/>
        <w:snapToGrid/>
        <w:spacing w:beforeAutospacing="0" w:afterAutospacing="0" w:line="56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1E1E1E"/>
          <w:kern w:val="0"/>
          <w:sz w:val="32"/>
          <w:szCs w:val="32"/>
        </w:rPr>
        <w:t>2024年，</w:t>
      </w:r>
      <w:r>
        <w:rPr>
          <w:rFonts w:hint="eastAsia" w:ascii="仿宋_GB2312" w:hAnsi="仿宋_GB2312" w:eastAsia="仿宋_GB2312" w:cs="仿宋_GB2312"/>
          <w:color w:val="1E1E1E"/>
          <w:kern w:val="0"/>
          <w:sz w:val="32"/>
          <w:szCs w:val="32"/>
          <w:lang w:eastAsia="zh-CN"/>
        </w:rPr>
        <w:t>我局</w:t>
      </w:r>
      <w:r>
        <w:rPr>
          <w:rFonts w:hint="eastAsia" w:ascii="仿宋_GB2312" w:hAnsi="仿宋_GB2312" w:eastAsia="仿宋_GB2312" w:cs="仿宋_GB2312"/>
          <w:color w:val="1E1E1E"/>
          <w:kern w:val="0"/>
          <w:sz w:val="32"/>
          <w:szCs w:val="32"/>
        </w:rPr>
        <w:t>法治政府建设虽然取得了一些成绩，但仍存在不足</w:t>
      </w:r>
      <w:r>
        <w:rPr>
          <w:rFonts w:hint="eastAsia" w:ascii="仿宋_GB2312" w:hAnsi="仿宋_GB2312" w:eastAsia="仿宋_GB2312" w:cs="仿宋_GB2312"/>
          <w:color w:val="1E1E1E"/>
          <w:kern w:val="0"/>
          <w:sz w:val="32"/>
          <w:szCs w:val="32"/>
          <w:lang w:eastAsia="zh-CN"/>
        </w:rPr>
        <w:t>。</w:t>
      </w:r>
      <w:r>
        <w:rPr>
          <w:rFonts w:hint="eastAsia" w:ascii="仿宋_GB2312" w:hAnsi="仿宋_GB2312" w:eastAsia="仿宋_GB2312" w:cs="仿宋_GB2312"/>
          <w:b/>
          <w:bCs/>
          <w:color w:val="1E1E1E"/>
          <w:kern w:val="0"/>
          <w:sz w:val="32"/>
          <w:szCs w:val="32"/>
          <w:lang w:eastAsia="zh-CN"/>
        </w:rPr>
        <w:t>一是</w:t>
      </w:r>
      <w:r>
        <w:rPr>
          <w:rFonts w:hint="eastAsia" w:ascii="仿宋_GB2312" w:hAnsi="仿宋_GB2312" w:eastAsia="仿宋_GB2312" w:cs="仿宋_GB2312"/>
          <w:color w:val="1E1E1E"/>
          <w:kern w:val="0"/>
          <w:sz w:val="32"/>
          <w:szCs w:val="32"/>
          <w:lang w:eastAsia="zh-CN"/>
        </w:rPr>
        <w:t>法治思想仍需加强。</w:t>
      </w:r>
      <w:r>
        <w:rPr>
          <w:rFonts w:hint="eastAsia" w:ascii="仿宋_GB2312" w:hAnsi="仿宋_GB2312" w:eastAsia="仿宋_GB2312" w:cs="仿宋_GB2312"/>
          <w:color w:val="1E1E1E"/>
          <w:kern w:val="0"/>
          <w:sz w:val="32"/>
          <w:szCs w:val="32"/>
        </w:rPr>
        <w:t>学法用法普法的自觉性还不够，运用法治思维和法治方式解决问题的能力须进一步加强</w:t>
      </w:r>
      <w:r>
        <w:rPr>
          <w:rFonts w:hint="eastAsia" w:ascii="仿宋_GB2312" w:hAnsi="仿宋_GB2312" w:eastAsia="仿宋_GB2312" w:cs="仿宋_GB2312"/>
          <w:color w:val="1E1E1E"/>
          <w:kern w:val="0"/>
          <w:sz w:val="32"/>
          <w:szCs w:val="32"/>
          <w:lang w:eastAsia="zh-CN"/>
        </w:rPr>
        <w:t>，</w:t>
      </w:r>
      <w:r>
        <w:rPr>
          <w:rFonts w:hint="eastAsia" w:ascii="仿宋_GB2312" w:hAnsi="仿宋_GB2312" w:eastAsia="仿宋_GB2312" w:cs="仿宋_GB2312"/>
          <w:color w:val="1E1E1E"/>
          <w:kern w:val="0"/>
          <w:sz w:val="32"/>
          <w:szCs w:val="32"/>
        </w:rPr>
        <w:t>运用法治思维和法治方式深化改革、推动发展、化解矛盾、维护稳定的能力有待提高。</w:t>
      </w:r>
      <w:r>
        <w:rPr>
          <w:rFonts w:hint="eastAsia" w:ascii="仿宋_GB2312" w:hAnsi="仿宋_GB2312" w:eastAsia="仿宋_GB2312" w:cs="仿宋_GB2312"/>
          <w:b/>
          <w:bCs/>
          <w:color w:val="1E1E1E"/>
          <w:kern w:val="0"/>
          <w:sz w:val="32"/>
          <w:szCs w:val="32"/>
          <w:lang w:eastAsia="zh-CN"/>
        </w:rPr>
        <w:t>二是</w:t>
      </w:r>
      <w:r>
        <w:rPr>
          <w:rFonts w:hint="eastAsia" w:ascii="仿宋_GB2312" w:hAnsi="仿宋_GB2312" w:eastAsia="仿宋_GB2312" w:cs="仿宋_GB2312"/>
          <w:color w:val="1E1E1E"/>
          <w:kern w:val="0"/>
          <w:sz w:val="32"/>
          <w:szCs w:val="32"/>
          <w:lang w:eastAsia="zh-CN"/>
        </w:rPr>
        <w:t>开展普法宣传教育活动形式需要进一步创新。</w:t>
      </w:r>
      <w:r>
        <w:rPr>
          <w:rFonts w:hint="eastAsia" w:ascii="仿宋_GB2312" w:hAnsi="仿宋_GB2312" w:eastAsia="仿宋_GB2312" w:cs="仿宋_GB2312"/>
          <w:color w:val="1E1E1E"/>
          <w:kern w:val="0"/>
          <w:sz w:val="32"/>
          <w:szCs w:val="32"/>
        </w:rPr>
        <w:t>现有普法宣传活动为进街道进企业进单位摆摊或讲座、发放宣传材料、悬挂横幅、接受群众咨询等，需要进一步创新普法宣传教育活动形式，进一步拓展普法工作的深度和广度。</w:t>
      </w:r>
      <w:r>
        <w:rPr>
          <w:rFonts w:hint="eastAsia" w:ascii="仿宋_GB2312" w:hAnsi="仿宋_GB2312" w:eastAsia="仿宋_GB2312" w:cs="仿宋_GB2312"/>
          <w:b/>
          <w:bCs/>
          <w:color w:val="1E1E1E"/>
          <w:kern w:val="0"/>
          <w:sz w:val="32"/>
          <w:szCs w:val="32"/>
          <w:lang w:eastAsia="zh-CN"/>
        </w:rPr>
        <w:t>三是</w:t>
      </w:r>
      <w:r>
        <w:rPr>
          <w:rFonts w:hint="eastAsia" w:ascii="仿宋_GB2312" w:hAnsi="仿宋_GB2312" w:eastAsia="仿宋_GB2312" w:cs="仿宋_GB2312"/>
          <w:color w:val="1E1E1E"/>
          <w:kern w:val="0"/>
          <w:sz w:val="32"/>
          <w:szCs w:val="32"/>
          <w:lang w:eastAsia="zh-CN"/>
        </w:rPr>
        <w:t>主动监管、有效监管的意识仍待提升。通过日常检查主动发现问题的能力有待进一步提高，行业监管仍有短板弱项，科技手段赋能精准高效监管还需持续改进。</w:t>
      </w:r>
    </w:p>
    <w:p w14:paraId="4A3E8067">
      <w:pPr>
        <w:pStyle w:val="4"/>
        <w:keepNext w:val="0"/>
        <w:keepLines w:val="0"/>
        <w:pageBreakBefore w:val="0"/>
        <w:widowControl w:val="0"/>
        <w:kinsoku/>
        <w:wordWrap/>
        <w:overflowPunct/>
        <w:topLinePunct w:val="0"/>
        <w:autoSpaceDE/>
        <w:autoSpaceDN/>
        <w:bidi w:val="0"/>
        <w:adjustRightInd/>
        <w:snapToGrid/>
        <w:spacing w:after="0" w:line="560" w:lineRule="exact"/>
        <w:ind w:firstLine="640"/>
        <w:textAlignment w:val="auto"/>
        <w:rPr>
          <w:rFonts w:hint="eastAsia" w:ascii="黑体" w:hAnsi="黑体" w:eastAsia="黑体" w:cs="黑体"/>
          <w:kern w:val="0"/>
          <w:sz w:val="32"/>
          <w:szCs w:val="32"/>
          <w:shd w:val="clear" w:color="auto" w:fill="FFFFFF"/>
        </w:rPr>
      </w:pPr>
      <w:r>
        <w:rPr>
          <w:rFonts w:hint="eastAsia" w:ascii="黑体" w:hAnsi="黑体" w:eastAsia="黑体" w:cs="黑体"/>
          <w:sz w:val="32"/>
          <w:szCs w:val="32"/>
          <w:lang w:val="en-US" w:eastAsia="zh-CN"/>
        </w:rPr>
        <w:t>三、2024年度党政主要负责人履行推进法治建设第一责任人职责，加强法治政府建设的有关情况</w:t>
      </w:r>
    </w:p>
    <w:p w14:paraId="02CA8DD5">
      <w:pPr>
        <w:pStyle w:val="5"/>
        <w:keepNext w:val="0"/>
        <w:keepLines w:val="0"/>
        <w:pageBreakBefore w:val="0"/>
        <w:tabs>
          <w:tab w:val="left" w:pos="850"/>
        </w:tabs>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bCs/>
          <w:sz w:val="32"/>
          <w:szCs w:val="32"/>
        </w:rPr>
        <w:t>强化责任落实</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党政主要负责人作为推进法治建设的第一责任人，切实履行了法治政府建设的领导责任，将法治建设纳入年度工作计划，确保法治政府建设与经济社会发展同步推进。成立了法治政府建设领导小组，定期召开专题会议，研究部署法治政府建设工作，确保各项任务落到实处。</w:t>
      </w:r>
    </w:p>
    <w:p w14:paraId="1D68C445">
      <w:pPr>
        <w:pStyle w:val="5"/>
        <w:keepNext w:val="0"/>
        <w:keepLines w:val="0"/>
        <w:pageBreakBefore w:val="0"/>
        <w:tabs>
          <w:tab w:val="left" w:pos="850"/>
        </w:tabs>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eastAsia="zh-CN"/>
        </w:rPr>
        <w:t>是</w:t>
      </w:r>
      <w:r>
        <w:rPr>
          <w:rFonts w:hint="eastAsia" w:ascii="仿宋_GB2312" w:hAnsi="仿宋_GB2312" w:eastAsia="仿宋_GB2312" w:cs="仿宋_GB2312"/>
          <w:b/>
          <w:bCs/>
          <w:sz w:val="32"/>
          <w:szCs w:val="32"/>
        </w:rPr>
        <w:t>完善制度建设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坚持以河长制为抓手，围绕年度总河长令任务集中攻坚、跟踪问效、一线督办，实现全市范围内河长制“四个率先”，累计巡河1.9</w:t>
      </w:r>
      <w:r>
        <w:rPr>
          <w:rFonts w:hint="eastAsia" w:ascii="仿宋_GB2312" w:hAnsi="仿宋_GB2312" w:eastAsia="仿宋_GB2312" w:cs="仿宋_GB2312"/>
          <w:sz w:val="32"/>
          <w:szCs w:val="32"/>
        </w:rPr>
        <w:t>万人次，巡河里程4.8</w:t>
      </w:r>
      <w:r>
        <w:rPr>
          <w:rFonts w:hint="eastAsia" w:ascii="仿宋_GB2312" w:hAnsi="仿宋_GB2312" w:eastAsia="仿宋_GB2312" w:cs="仿宋_GB2312"/>
          <w:sz w:val="32"/>
          <w:szCs w:val="32"/>
        </w:rPr>
        <w:t>万公里，累计发现并监督完成乱占、乱堆等1</w:t>
      </w:r>
      <w:r>
        <w:rPr>
          <w:rFonts w:hint="eastAsia" w:ascii="仿宋_GB2312" w:hAnsi="仿宋_GB2312" w:eastAsia="仿宋_GB2312" w:cs="仿宋_GB2312"/>
          <w:sz w:val="32"/>
          <w:szCs w:val="32"/>
          <w:lang w:val="en-US" w:eastAsia="zh-CN"/>
        </w:rPr>
        <w:t>905</w:t>
      </w:r>
      <w:r>
        <w:rPr>
          <w:rFonts w:hint="eastAsia" w:ascii="仿宋_GB2312" w:hAnsi="仿宋_GB2312" w:eastAsia="仿宋_GB2312" w:cs="仿宋_GB2312"/>
          <w:sz w:val="32"/>
          <w:szCs w:val="32"/>
        </w:rPr>
        <w:t>项“四乱”问题的整改，水环境治理举措持续发力。严格落实重大行政决策合法性审查制度，确保决策程序合法、内容合规。各级政府普遍建立了法律顾问制度，重大决策前充分听取法律顾问意见。</w:t>
      </w:r>
    </w:p>
    <w:p w14:paraId="1BA599EA">
      <w:pPr>
        <w:pStyle w:val="5"/>
        <w:keepNext w:val="0"/>
        <w:keepLines w:val="0"/>
        <w:pageBreakBefore w:val="0"/>
        <w:tabs>
          <w:tab w:val="left" w:pos="850"/>
        </w:tabs>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w:t>
      </w:r>
      <w:r>
        <w:rPr>
          <w:rFonts w:hint="eastAsia" w:ascii="仿宋_GB2312" w:hAnsi="仿宋_GB2312" w:eastAsia="仿宋_GB2312" w:cs="仿宋_GB2312"/>
          <w:b/>
          <w:bCs/>
          <w:sz w:val="32"/>
          <w:szCs w:val="32"/>
          <w:lang w:eastAsia="zh-CN"/>
        </w:rPr>
        <w:t>是</w:t>
      </w:r>
      <w:r>
        <w:rPr>
          <w:rFonts w:hint="eastAsia" w:ascii="仿宋_GB2312" w:hAnsi="仿宋_GB2312" w:eastAsia="仿宋_GB2312" w:cs="仿宋_GB2312"/>
          <w:b/>
          <w:bCs/>
          <w:sz w:val="32"/>
          <w:szCs w:val="32"/>
        </w:rPr>
        <w:t>推进依法行政</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深化“放管服”改革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继续推进简政放权，优化营商环境，减少行政审批事项，提升政务服务效率。通过“互联网+政务服务”平台，推动政务服务事项网上办理，提升群众办事便利度。</w:t>
      </w:r>
    </w:p>
    <w:p w14:paraId="36055FB3">
      <w:pPr>
        <w:pStyle w:val="4"/>
        <w:keepNext w:val="0"/>
        <w:keepLines w:val="0"/>
        <w:pageBreakBefore w:val="0"/>
        <w:widowControl w:val="0"/>
        <w:kinsoku/>
        <w:wordWrap/>
        <w:overflowPunct/>
        <w:topLinePunct w:val="0"/>
        <w:autoSpaceDE/>
        <w:autoSpaceDN/>
        <w:bidi w:val="0"/>
        <w:adjustRightInd/>
        <w:snapToGrid/>
        <w:spacing w:after="0" w:line="560"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四、2025年度推进法治政府建设的主要安排</w:t>
      </w:r>
    </w:p>
    <w:p w14:paraId="05DAA37E">
      <w:pPr>
        <w:pStyle w:val="5"/>
        <w:keepNext w:val="0"/>
        <w:keepLines w:val="0"/>
        <w:pageBreakBefore w:val="0"/>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一是聚焦重点，高水平筑牢“安全堤坝”。</w:t>
      </w:r>
      <w:r>
        <w:rPr>
          <w:rFonts w:hint="eastAsia" w:ascii="仿宋_GB2312" w:hAnsi="仿宋_GB2312" w:eastAsia="仿宋_GB2312" w:cs="仿宋_GB2312"/>
          <w:b w:val="0"/>
          <w:bCs w:val="0"/>
          <w:sz w:val="32"/>
          <w:szCs w:val="32"/>
        </w:rPr>
        <w:t>在流域统筹上率先示范，加快构筑流域防洪工程体系。按照“上蓄、中疏、下排、有效治洪”的原则，健全完善“西排东</w:t>
      </w:r>
      <w:r>
        <w:rPr>
          <w:rFonts w:hint="eastAsia" w:ascii="仿宋_GB2312" w:hAnsi="仿宋_GB2312" w:eastAsia="仿宋_GB2312" w:cs="仿宋_GB2312"/>
          <w:b w:val="0"/>
          <w:bCs w:val="0"/>
          <w:sz w:val="32"/>
          <w:szCs w:val="32"/>
          <w:lang w:eastAsia="zh-CN"/>
        </w:rPr>
        <w:t>挡</w:t>
      </w:r>
      <w:r>
        <w:rPr>
          <w:rFonts w:hint="eastAsia" w:ascii="仿宋_GB2312" w:hAnsi="仿宋_GB2312" w:eastAsia="仿宋_GB2312" w:cs="仿宋_GB2312"/>
          <w:b w:val="0"/>
          <w:bCs w:val="0"/>
          <w:sz w:val="32"/>
          <w:szCs w:val="32"/>
        </w:rPr>
        <w:t>、环山截流、疏蓄联调”防洪工程体系。在雨水情监测预报上试点先行，向“天空地水工”一体化迈进。</w:t>
      </w:r>
      <w:r>
        <w:rPr>
          <w:rFonts w:hint="eastAsia" w:ascii="仿宋_GB2312" w:hAnsi="仿宋_GB2312" w:eastAsia="仿宋_GB2312" w:cs="仿宋_GB2312"/>
          <w:b w:val="0"/>
          <w:bCs/>
          <w:sz w:val="32"/>
          <w:szCs w:val="32"/>
        </w:rPr>
        <w:t>在洪涝灾害防御工作体系上探索引领，全面提升抵御洪灾综合防范能力。</w:t>
      </w:r>
    </w:p>
    <w:p w14:paraId="70DFCFA7">
      <w:pPr>
        <w:pStyle w:val="5"/>
        <w:keepNext w:val="0"/>
        <w:keepLines w:val="0"/>
        <w:pageBreakBefore w:val="0"/>
        <w:widowControl/>
        <w:shd w:val="clear" w:color="auto"/>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二是增强普法，多元化提升“</w:t>
      </w:r>
      <w:r>
        <w:rPr>
          <w:rFonts w:hint="eastAsia" w:ascii="仿宋_GB2312" w:hAnsi="仿宋_GB2312" w:eastAsia="仿宋_GB2312" w:cs="仿宋_GB2312"/>
          <w:b/>
          <w:bCs/>
          <w:color w:val="auto"/>
          <w:sz w:val="32"/>
          <w:szCs w:val="32"/>
          <w:lang w:val="en-US" w:eastAsia="zh-CN"/>
        </w:rPr>
        <w:t>法治意识</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val="0"/>
          <w:bCs w:val="0"/>
          <w:sz w:val="32"/>
          <w:szCs w:val="32"/>
          <w:lang w:val="en-US" w:eastAsia="zh-CN"/>
        </w:rPr>
        <w:t>加大法治宣传教育力度，增强普法工作的针对性和实效性，创新普法形式，实现由大水漫灌向精准滴灌转变。大力开展法治文化阵地建设。积极开展“法律明白人”培育工作以及公民法治素养提升行动，引导人民群众做社会主义法治的忠实崇尚者、自觉遵守者、坚定捍卫者，努力使法治观念在全社会蔚然成风。</w:t>
      </w:r>
      <w:r>
        <w:rPr>
          <w:rFonts w:hint="eastAsia" w:ascii="仿宋_GB2312" w:hAnsi="仿宋_GB2312" w:eastAsia="仿宋_GB2312" w:cs="仿宋_GB2312"/>
          <w:b w:val="0"/>
          <w:bCs w:val="0"/>
          <w:color w:val="000000"/>
          <w:kern w:val="2"/>
          <w:sz w:val="32"/>
          <w:szCs w:val="32"/>
          <w:lang w:val="en-US" w:eastAsia="zh-CN" w:bidi="ar"/>
        </w:rPr>
        <w:t>以水务法治建设的新成效，服务保障我区灾后恢复重建与绿色高质量转型发展，不断提升依法治水管水能力。</w:t>
      </w:r>
    </w:p>
    <w:p w14:paraId="4DD1C278">
      <w:pPr>
        <w:pStyle w:val="5"/>
        <w:keepNext w:val="0"/>
        <w:keepLines w:val="0"/>
        <w:pageBreakBefore w:val="0"/>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eastAsia" w:ascii="黑体" w:hAnsi="黑体" w:eastAsia="黑体" w:cs="黑体"/>
          <w:kern w:val="0"/>
          <w:sz w:val="32"/>
          <w:szCs w:val="32"/>
          <w:shd w:val="clear" w:color="auto" w:fill="FFFFFF"/>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kern w:val="2"/>
          <w:sz w:val="32"/>
          <w:szCs w:val="32"/>
          <w:lang w:val="en-US" w:eastAsia="zh-CN" w:bidi="ar-SA"/>
        </w:rPr>
        <w:t>是强化党建，高站位把稳“前进之舵”。</w:t>
      </w:r>
      <w:r>
        <w:rPr>
          <w:rFonts w:hint="eastAsia" w:ascii="仿宋_GB2312" w:hAnsi="仿宋_GB2312" w:eastAsia="仿宋_GB2312" w:cs="仿宋_GB2312"/>
          <w:b w:val="0"/>
          <w:bCs w:val="0"/>
          <w:sz w:val="32"/>
          <w:szCs w:val="32"/>
        </w:rPr>
        <w:t>坚持</w:t>
      </w:r>
      <w:r>
        <w:rPr>
          <w:rFonts w:hint="eastAsia" w:ascii="仿宋_GB2312" w:hAnsi="仿宋_GB2312" w:eastAsia="仿宋_GB2312" w:cs="仿宋_GB2312"/>
          <w:b w:val="0"/>
          <w:bCs w:val="0"/>
          <w:sz w:val="32"/>
          <w:szCs w:val="32"/>
          <w:lang w:val="en-US" w:eastAsia="zh-CN"/>
        </w:rPr>
        <w:t>全面</w:t>
      </w:r>
      <w:r>
        <w:rPr>
          <w:rFonts w:hint="eastAsia" w:ascii="仿宋_GB2312" w:hAnsi="仿宋_GB2312" w:eastAsia="仿宋_GB2312" w:cs="仿宋_GB2312"/>
          <w:b w:val="0"/>
          <w:bCs w:val="0"/>
          <w:sz w:val="32"/>
          <w:szCs w:val="32"/>
        </w:rPr>
        <w:t>从严治党，聚力攻坚管党治党责任。</w:t>
      </w:r>
      <w:r>
        <w:rPr>
          <w:rFonts w:hint="eastAsia" w:ascii="仿宋_GB2312" w:hAnsi="仿宋_GB2312" w:eastAsia="仿宋_GB2312" w:cs="仿宋_GB2312"/>
          <w:b w:val="0"/>
          <w:bCs w:val="0"/>
          <w:sz w:val="32"/>
          <w:szCs w:val="32"/>
          <w:lang w:val="en-US" w:eastAsia="zh-CN"/>
        </w:rPr>
        <w:t>健全</w:t>
      </w:r>
      <w:r>
        <w:rPr>
          <w:rFonts w:hint="eastAsia" w:ascii="仿宋_GB2312" w:hAnsi="仿宋_GB2312" w:eastAsia="仿宋_GB2312" w:cs="仿宋_GB2312"/>
          <w:b w:val="0"/>
          <w:bCs w:val="0"/>
          <w:sz w:val="32"/>
          <w:szCs w:val="32"/>
        </w:rPr>
        <w:t>“第一议题”制度，</w:t>
      </w:r>
      <w:r>
        <w:rPr>
          <w:rFonts w:hint="eastAsia" w:ascii="仿宋_GB2312" w:hAnsi="仿宋_GB2312" w:eastAsia="仿宋_GB2312" w:cs="仿宋_GB2312"/>
          <w:b w:val="0"/>
          <w:bCs w:val="0"/>
          <w:sz w:val="32"/>
          <w:szCs w:val="32"/>
          <w:lang w:eastAsia="zh-CN"/>
        </w:rPr>
        <w:t>深化“四强”党支部创建，</w:t>
      </w:r>
      <w:r>
        <w:rPr>
          <w:rFonts w:hint="eastAsia" w:ascii="仿宋_GB2312" w:hAnsi="仿宋_GB2312" w:eastAsia="仿宋_GB2312" w:cs="仿宋_GB2312"/>
          <w:sz w:val="32"/>
          <w:szCs w:val="32"/>
          <w:lang w:eastAsia="zh-CN"/>
        </w:rPr>
        <w:t>落实意识形态工作责任，</w:t>
      </w:r>
      <w:r>
        <w:rPr>
          <w:rFonts w:hint="eastAsia" w:ascii="仿宋_GB2312" w:hAnsi="仿宋_GB2312" w:eastAsia="仿宋_GB2312" w:cs="仿宋_GB2312"/>
          <w:b w:val="0"/>
          <w:bCs w:val="0"/>
          <w:sz w:val="32"/>
          <w:szCs w:val="32"/>
          <w:lang w:eastAsia="zh-CN"/>
        </w:rPr>
        <w:t>制定水务领域</w:t>
      </w:r>
      <w:r>
        <w:rPr>
          <w:rFonts w:hint="eastAsia" w:ascii="仿宋_GB2312" w:hAnsi="仿宋_GB2312" w:eastAsia="仿宋_GB2312" w:cs="仿宋_GB2312"/>
          <w:b w:val="0"/>
          <w:bCs w:val="0"/>
          <w:sz w:val="32"/>
          <w:szCs w:val="32"/>
          <w:lang w:val="en-US" w:eastAsia="zh-CN"/>
        </w:rPr>
        <w:t>七方面33项</w:t>
      </w:r>
      <w:r>
        <w:rPr>
          <w:rFonts w:hint="eastAsia" w:ascii="仿宋_GB2312" w:hAnsi="仿宋_GB2312" w:eastAsia="仿宋_GB2312" w:cs="仿宋_GB2312"/>
          <w:b w:val="0"/>
          <w:bCs w:val="0"/>
          <w:sz w:val="32"/>
          <w:szCs w:val="32"/>
          <w:lang w:eastAsia="zh-CN"/>
        </w:rPr>
        <w:t>深化改革实施方案，推动水利重点领域和关键环节改革举措加快落地，</w:t>
      </w:r>
      <w:r>
        <w:rPr>
          <w:rFonts w:hint="eastAsia" w:ascii="仿宋_GB2312" w:hAnsi="仿宋_GB2312" w:eastAsia="仿宋_GB2312" w:cs="仿宋_GB2312"/>
          <w:b w:val="0"/>
          <w:bCs w:val="0"/>
          <w:sz w:val="32"/>
          <w:szCs w:val="32"/>
          <w:lang w:val="en-US" w:eastAsia="zh-CN"/>
        </w:rPr>
        <w:t>分批压茬推进乡镇（街道）履职事项清单建立工作，</w:t>
      </w:r>
      <w:r>
        <w:rPr>
          <w:rFonts w:hint="eastAsia" w:ascii="仿宋_GB2312" w:hAnsi="仿宋_GB2312" w:eastAsia="仿宋_GB2312" w:cs="仿宋_GB2312"/>
          <w:sz w:val="32"/>
          <w:szCs w:val="32"/>
          <w:lang w:eastAsia="zh-CN"/>
        </w:rPr>
        <w:t>以高质量党建引领保障水利高质量发展。</w:t>
      </w:r>
    </w:p>
    <w:p w14:paraId="66C3B27E">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kern w:val="0"/>
          <w:sz w:val="32"/>
          <w:szCs w:val="32"/>
          <w:shd w:val="clear" w:color="auto" w:fill="FFFFFF"/>
        </w:rPr>
        <w:t>五、其他需要报告的情况</w:t>
      </w:r>
    </w:p>
    <w:p w14:paraId="3DCEB27A">
      <w:pPr>
        <w:pStyle w:val="5"/>
        <w:keepNext w:val="0"/>
        <w:keepLines w:val="0"/>
        <w:pageBreakBefore w:val="0"/>
        <w:widowControl/>
        <w:tabs>
          <w:tab w:val="left" w:pos="850"/>
        </w:tabs>
        <w:kinsoku/>
        <w:wordWrap/>
        <w:overflowPunct/>
        <w:topLinePunct w:val="0"/>
        <w:autoSpaceDE/>
        <w:autoSpaceDN/>
        <w:bidi w:val="0"/>
        <w:adjustRightInd/>
        <w:snapToGrid/>
        <w:spacing w:beforeAutospacing="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无其他需要报告的情况。</w:t>
      </w:r>
    </w:p>
    <w:p w14:paraId="0200C1A5">
      <w:pPr>
        <w:pStyle w:val="2"/>
        <w:ind w:firstLine="640" w:firstLineChars="200"/>
        <w:rPr>
          <w:rFonts w:hint="eastAsia" w:ascii="仿宋_GB2312" w:hAnsi="仿宋_GB2312" w:eastAsia="仿宋_GB2312" w:cs="仿宋_GB2312"/>
          <w:kern w:val="0"/>
          <w:sz w:val="32"/>
          <w:szCs w:val="32"/>
          <w:shd w:val="clear" w:color="auto" w:fill="FFFFFF"/>
        </w:rPr>
      </w:pPr>
    </w:p>
    <w:p w14:paraId="57D852A1">
      <w:pPr>
        <w:pStyle w:val="3"/>
        <w:rPr>
          <w:rFonts w:hint="eastAsia" w:ascii="方正小标宋简体" w:hAnsi="方正小标宋简体" w:eastAsia="方正小标宋简体" w:cs="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71144"/>
    <w:rsid w:val="47C71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Normal Indent"/>
    <w:basedOn w:val="1"/>
    <w:qFormat/>
    <w:uiPriority w:val="99"/>
    <w:pPr>
      <w:ind w:firstLine="420" w:firstLineChars="200"/>
    </w:pPr>
  </w:style>
  <w:style w:type="paragraph" w:styleId="4">
    <w:name w:val="Body Text"/>
    <w:basedOn w:val="1"/>
    <w:next w:val="1"/>
    <w:uiPriority w:val="0"/>
    <w:pPr>
      <w:spacing w:after="120"/>
    </w:pPr>
  </w:style>
  <w:style w:type="paragraph" w:styleId="5">
    <w:name w:val="Normal (Web)"/>
    <w:basedOn w:val="1"/>
    <w:qFormat/>
    <w:uiPriority w:val="99"/>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2025-02-05T01:41:00Z</dcterms:created>
  <dc:creator>比比</dc:creator>
  <cp:lastModifiedBy>比比</cp:lastModifiedBy>
  <dcterms:modified xsi:type="dcterms:W3CDTF">2025-02-05T02:40:16Z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B19E799726EC494D8FA2AF94D277EC7A_11</vt:lpwstr>
  </property>
  <property fmtid="{D5CDD505-2E9C-101B-9397-08002B2CF9AE}" pid="4" name="KSOTemplateDocerSaveRecord">
    <vt:lpwstr>eyJoZGlkIjoiZmQyZDhjYmRiYTIxY2JlYjk3ZGUyM2E0MDZmMGRmZjIiLCJ1c2VySWQiOiIzOTk4NDAzOTUifQ==</vt:lpwstr>
  </property>
</Properties>
</file>