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val="0"/>
        <w:snapToGrid w:val="0"/>
        <w:spacing w:line="560" w:lineRule="exact"/>
        <w:ind w:right="0"/>
        <w:jc w:val="center"/>
        <w:textAlignment w:val="auto"/>
        <w:outlineLvl w:val="9"/>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北京市</w:t>
      </w:r>
      <w:r>
        <w:rPr>
          <w:rFonts w:hint="eastAsia" w:ascii="方正小标宋简体" w:hAnsi="方正小标宋简体" w:eastAsia="方正小标宋简体" w:cs="方正小标宋简体"/>
          <w:b w:val="0"/>
          <w:bCs w:val="0"/>
          <w:sz w:val="44"/>
          <w:szCs w:val="44"/>
          <w:lang w:eastAsia="zh-CN"/>
        </w:rPr>
        <w:t>门头沟区市场监督管理局</w:t>
      </w:r>
      <w:r>
        <w:rPr>
          <w:rFonts w:hint="eastAsia" w:ascii="方正小标宋简体" w:hAnsi="方正小标宋简体" w:eastAsia="方正小标宋简体" w:cs="方正小标宋简体"/>
          <w:b w:val="0"/>
          <w:bCs w:val="0"/>
          <w:sz w:val="44"/>
          <w:szCs w:val="44"/>
          <w:lang w:val="en-US" w:eastAsia="zh-CN"/>
        </w:rPr>
        <w:t>2021年度</w:t>
      </w:r>
    </w:p>
    <w:p>
      <w:pPr>
        <w:widowControl w:val="0"/>
        <w:wordWrap/>
        <w:adjustRightInd w:val="0"/>
        <w:snapToGrid w:val="0"/>
        <w:spacing w:line="560" w:lineRule="exact"/>
        <w:ind w:right="0"/>
        <w:jc w:val="center"/>
        <w:textAlignment w:val="auto"/>
        <w:outlineLvl w:val="9"/>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法治政府建设情况报告</w:t>
      </w:r>
    </w:p>
    <w:p>
      <w:pPr>
        <w:widowControl w:val="0"/>
        <w:wordWrap/>
        <w:adjustRightInd w:val="0"/>
        <w:snapToGrid w:val="0"/>
        <w:spacing w:line="560" w:lineRule="exact"/>
        <w:ind w:right="0"/>
        <w:jc w:val="both"/>
        <w:textAlignment w:val="auto"/>
        <w:outlineLvl w:val="9"/>
        <w:rPr>
          <w:rFonts w:hint="eastAsia" w:ascii="仿宋_GB2312" w:hAnsi="仿宋_GB2312" w:eastAsia="仿宋_GB2312" w:cs="仿宋_GB2312"/>
          <w:b/>
          <w:bCs/>
          <w:sz w:val="32"/>
          <w:szCs w:val="32"/>
          <w:lang w:eastAsia="zh-CN"/>
        </w:rPr>
      </w:pPr>
    </w:p>
    <w:p>
      <w:pPr>
        <w:widowControl w:val="0"/>
        <w:wordWrap/>
        <w:adjustRightInd w:val="0"/>
        <w:snapToGrid w:val="0"/>
        <w:spacing w:line="56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202</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年是深入推进法治政府建设承上启下的关键之年，</w:t>
      </w:r>
      <w:r>
        <w:rPr>
          <w:rFonts w:hint="eastAsia" w:ascii="仿宋_GB2312" w:hAnsi="仿宋_GB2312" w:eastAsia="仿宋_GB2312" w:cs="仿宋_GB2312"/>
          <w:sz w:val="32"/>
          <w:szCs w:val="32"/>
          <w:lang w:val="en-US" w:eastAsia="zh-CN"/>
        </w:rPr>
        <w:t>门头沟</w:t>
      </w:r>
      <w:r>
        <w:rPr>
          <w:rFonts w:hint="eastAsia" w:ascii="仿宋_GB2312" w:hAnsi="仿宋_GB2312" w:eastAsia="仿宋_GB2312" w:cs="仿宋_GB2312"/>
          <w:sz w:val="32"/>
          <w:szCs w:val="32"/>
          <w:lang w:eastAsia="zh-CN"/>
        </w:rPr>
        <w:t>区市场监管局在区委、区政府的领导下，坚持</w:t>
      </w:r>
      <w:r>
        <w:rPr>
          <w:rFonts w:hint="eastAsia" w:ascii="仿宋_GB2312" w:hAnsi="仿宋_GB2312" w:eastAsia="仿宋_GB2312" w:cs="仿宋_GB2312"/>
          <w:sz w:val="32"/>
          <w:szCs w:val="32"/>
          <w:lang w:val="en-US" w:eastAsia="zh-CN"/>
        </w:rPr>
        <w:t>以</w:t>
      </w:r>
      <w:r>
        <w:rPr>
          <w:rFonts w:hint="eastAsia" w:ascii="仿宋_GB2312" w:hAnsi="仿宋_GB2312" w:eastAsia="仿宋_GB2312" w:cs="仿宋_GB2312"/>
          <w:sz w:val="32"/>
          <w:szCs w:val="32"/>
          <w:lang w:eastAsia="zh-CN"/>
        </w:rPr>
        <w:t>习近平新时代中国特色社会主义思想为指导，深入贯彻落实党的十九大和十九届二中、三中、四中、五中、六中全会精神，</w:t>
      </w:r>
      <w:r>
        <w:rPr>
          <w:rFonts w:hint="eastAsia" w:ascii="仿宋_GB2312" w:hAnsi="仿宋_GB2312" w:eastAsia="仿宋_GB2312" w:cs="仿宋_GB2312"/>
          <w:b w:val="0"/>
          <w:bCs w:val="0"/>
          <w:sz w:val="32"/>
          <w:szCs w:val="32"/>
          <w:lang w:eastAsia="zh-CN"/>
        </w:rPr>
        <w:t>严格落实《法治政府建设与责任落实督查工作规定》，紧密结合门头沟区实际，扎实推进法治政府建设各项工作，为全力开创现代化生态新区建设绿色发展新局面提供坚强有力的法治保障。</w:t>
      </w:r>
    </w:p>
    <w:p>
      <w:pPr>
        <w:widowControl w:val="0"/>
        <w:numPr>
          <w:ilvl w:val="-1"/>
          <w:numId w:val="0"/>
        </w:numPr>
        <w:wordWrap/>
        <w:adjustRightInd w:val="0"/>
        <w:snapToGrid w:val="0"/>
        <w:spacing w:line="560" w:lineRule="exact"/>
        <w:ind w:left="0" w:leftChars="0" w:right="0" w:firstLine="640" w:firstLineChars="200"/>
        <w:jc w:val="both"/>
        <w:textAlignment w:val="auto"/>
        <w:outlineLvl w:val="9"/>
        <w:rPr>
          <w:rFonts w:hint="eastAsia" w:ascii="黑体" w:hAnsi="黑体" w:eastAsia="黑体" w:cs="黑体"/>
          <w:b/>
          <w:bCs/>
          <w:sz w:val="32"/>
          <w:szCs w:val="32"/>
          <w:lang w:eastAsia="zh-CN"/>
        </w:rPr>
      </w:pP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lang w:eastAsia="zh-CN"/>
        </w:rPr>
        <w:t>主要举措和成效</w:t>
      </w:r>
    </w:p>
    <w:p>
      <w:pPr>
        <w:widowControl w:val="0"/>
        <w:numPr>
          <w:ilvl w:val="0"/>
          <w:numId w:val="0"/>
        </w:numPr>
        <w:wordWrap/>
        <w:adjustRightInd w:val="0"/>
        <w:snapToGrid w:val="0"/>
        <w:spacing w:line="560" w:lineRule="exact"/>
        <w:ind w:leftChars="200" w:right="0"/>
        <w:jc w:val="both"/>
        <w:textAlignment w:val="auto"/>
        <w:outlineLvl w:val="9"/>
        <w:rPr>
          <w:rFonts w:hint="eastAsia" w:ascii="楷体_GB2312" w:hAnsi="楷体_GB2312" w:eastAsia="楷体_GB2312" w:cs="楷体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楷体_GB2312" w:hAnsi="楷体_GB2312" w:eastAsia="楷体_GB2312" w:cs="楷体_GB2312"/>
          <w:b w:val="0"/>
          <w:bCs w:val="0"/>
          <w:sz w:val="32"/>
          <w:szCs w:val="32"/>
          <w:lang w:val="en-US" w:eastAsia="zh-CN"/>
        </w:rPr>
        <w:t>（一）全力做好常态化疫情防控工作</w:t>
      </w:r>
    </w:p>
    <w:p>
      <w:pPr>
        <w:widowControl w:val="0"/>
        <w:wordWrap/>
        <w:adjustRightInd w:val="0"/>
        <w:snapToGrid w:val="0"/>
        <w:spacing w:line="56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抓实抓细常态化疫情防控措施。坚持“人”“物”同防，持续开展对19类“兜底”主体的疫情防控检查，依托职能部门，对重点业态、重点场所、重点人群持续开展了重点环节防疫工作执法检查，并指导市场主体严格落实消杀、清洁、通风和人员防护等疫情防疫措施。引导农贸市场、超市、餐饮等市场主体营造干净、卫生、整洁的生产经营环境，强化进口冷链食品监管。同时，从严从快查处囤积居奇、哄抬价格、侵权假冒等违法行为，使常态化疫情防控工作真正落到了实处。</w:t>
      </w:r>
    </w:p>
    <w:p>
      <w:pPr>
        <w:widowControl w:val="0"/>
        <w:numPr>
          <w:ilvl w:val="0"/>
          <w:numId w:val="0"/>
        </w:numPr>
        <w:wordWrap/>
        <w:adjustRightInd w:val="0"/>
        <w:snapToGrid w:val="0"/>
        <w:spacing w:line="560" w:lineRule="exact"/>
        <w:ind w:leftChars="200" w:right="0"/>
        <w:jc w:val="both"/>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（二）推进门头沟区事中事后监管法治化进程</w:t>
      </w:r>
    </w:p>
    <w:p>
      <w:pPr>
        <w:widowControl w:val="0"/>
        <w:wordWrap/>
        <w:adjustRightInd w:val="0"/>
        <w:snapToGrid w:val="0"/>
        <w:spacing w:line="56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牵头起草《北京市门头沟区加强和规范事中事后监管实施方案》，为解决对市场主体监管过程中监管体系不完善、监管不到位等问题，进一步深化政府职能转变，持续深化“放管服”改革，推进事中事后监管法治化、制度化、规范化、精准化，门头沟区市场监督管理牵头起草了《北京市门头沟区加强和规范事中事后监管实施方案》。该方案明确了全区各部门的监管责任，厘清了监管事权，旨在构建权责明确、公平公正、公开透明、简约高效的事中事后监管体系，推动实现监管既“无事不扰”又“无处不在”，使市场既充满活力又规范有序。《实施方案》确定了要建立区级联席会议制度，通过召集成员单位召开联席会议，加强对各项任务的指导、督促和检查，研究确定事中事后监管争议事项，推动解决重大问题。目前，《北京市门头沟区加强和规范事中事后监管实施方案》已以区政府名义发文实施，下一步将充分发挥联席会议制度的作用，严格按照任务分工，建立健全组织领导和统筹协调机制，抓好责任落实。</w:t>
      </w:r>
    </w:p>
    <w:p>
      <w:pPr>
        <w:widowControl w:val="0"/>
        <w:wordWrap/>
        <w:adjustRightInd w:val="0"/>
        <w:snapToGrid w:val="0"/>
        <w:spacing w:line="560" w:lineRule="exact"/>
        <w:ind w:left="0" w:leftChars="0" w:right="0" w:firstLine="640" w:firstLineChars="200"/>
        <w:jc w:val="both"/>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（三）深化落实行政检查单制度，进一步规范行政检查行为</w:t>
      </w:r>
    </w:p>
    <w:p>
      <w:pPr>
        <w:widowControl w:val="0"/>
        <w:wordWrap/>
        <w:adjustRightInd w:val="0"/>
        <w:snapToGrid w:val="0"/>
        <w:spacing w:line="56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全面推行行政检查单制度，进一步加强和规范监管执法行为。完善行政检查标准，做到行政检查内容透明、标准明确，今年共完善109项区级执法检查事项检查标准，并上传到北京市行政执法信息服务平台。进一步规范“涉企”检查单模板，梳理109项“涉企”行政检查项，完成“涉企”全面检查单模板制作并予公示。截止到12月25日，我局执法检查总量18116次，A岗人员87人，人均执法量220.08件，A岗人员参与率94.21%，实施过的违法行为职权数1808，违法行为纳入检查率96.48%。</w:t>
      </w:r>
    </w:p>
    <w:p>
      <w:pPr>
        <w:widowControl w:val="0"/>
        <w:wordWrap/>
        <w:adjustRightInd w:val="0"/>
        <w:snapToGrid w:val="0"/>
        <w:spacing w:line="560" w:lineRule="exact"/>
        <w:ind w:left="0" w:leftChars="0" w:right="0" w:firstLine="640"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sz w:val="32"/>
          <w:szCs w:val="32"/>
          <w:lang w:val="en-US" w:eastAsia="zh-CN"/>
        </w:rPr>
        <w:t>（四）加强门头沟区食品药品信用机制管理</w:t>
      </w:r>
    </w:p>
    <w:p>
      <w:pPr>
        <w:widowControl w:val="0"/>
        <w:wordWrap/>
        <w:adjustRightInd w:val="0"/>
        <w:snapToGrid w:val="0"/>
        <w:spacing w:line="56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加强对食品药品生产经营主体的信用管理，完善部门之间的联动监管机制，提高市场主体监管的有效性和针对性。我局与门头沟区人民法院共同建立食品安全犯罪人员登记禁止和限制联动机制，通过机制的建立已将8名食品安全犯罪人员纳入市场主体登记审批管理系统黑名单库，并对其在企业中任职和在食品领域投资进行锁定，上述犯罪人员将终身不得从事食品生产经营管理工作。</w:t>
      </w:r>
    </w:p>
    <w:p>
      <w:pPr>
        <w:widowControl w:val="0"/>
        <w:wordWrap/>
        <w:adjustRightInd w:val="0"/>
        <w:snapToGrid w:val="0"/>
        <w:spacing w:line="560" w:lineRule="exact"/>
        <w:ind w:left="0" w:leftChars="0" w:right="0" w:firstLine="640"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楷体_GB2312" w:hAnsi="楷体_GB2312" w:eastAsia="楷体_GB2312" w:cs="楷体_GB2312"/>
          <w:b w:val="0"/>
          <w:bCs w:val="0"/>
          <w:sz w:val="32"/>
          <w:szCs w:val="32"/>
          <w:lang w:val="en-US" w:eastAsia="zh-CN"/>
        </w:rPr>
        <w:t>（五）完善依法行政制度体系，推动各项制度落到实处</w:t>
      </w:r>
    </w:p>
    <w:p>
      <w:pPr>
        <w:widowControl w:val="0"/>
        <w:wordWrap/>
        <w:adjustRightInd w:val="0"/>
        <w:snapToGrid w:val="0"/>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lang w:val="en-US" w:eastAsia="zh-CN"/>
        </w:rPr>
        <w:t>落实区委区政府关于三项制度工作要求，出台我局行政执法公示制度、执法全过程记录制度、重大执法决定法制审核制度。统一我局行政执法标准、程序，明确重大事项法制审核目录，做好执法事项公示工作。确立重大案件集体会商会审制度，对重大执法决定进行审议，</w:t>
      </w:r>
      <w:r>
        <w:rPr>
          <w:rFonts w:hint="eastAsia" w:ascii="仿宋_GB2312" w:hAnsi="仿宋_GB2312" w:eastAsia="仿宋_GB2312" w:cs="仿宋_GB2312"/>
          <w:b w:val="0"/>
          <w:bCs w:val="0"/>
          <w:color w:val="auto"/>
          <w:sz w:val="32"/>
          <w:szCs w:val="32"/>
          <w:highlight w:val="none"/>
          <w:lang w:val="en-US" w:eastAsia="zh-CN"/>
        </w:rPr>
        <w:t>2021年共召开重大案件集体讨论会17次，集中审议案件42件次。</w:t>
      </w:r>
      <w:r>
        <w:rPr>
          <w:rFonts w:hint="eastAsia" w:ascii="仿宋_GB2312" w:hAnsi="仿宋_GB2312" w:eastAsia="仿宋_GB2312" w:cs="仿宋_GB2312"/>
          <w:b w:val="0"/>
          <w:bCs w:val="0"/>
          <w:sz w:val="32"/>
          <w:szCs w:val="32"/>
          <w:lang w:val="en-US" w:eastAsia="zh-CN"/>
        </w:rPr>
        <w:t>完善行政执法监督机制，强化案件评查事后监督指导作用。开展案件评查2次，共评查行政处罚案卷</w:t>
      </w:r>
      <w:r>
        <w:rPr>
          <w:rFonts w:hint="eastAsia" w:ascii="仿宋_GB2312" w:hAnsi="仿宋_GB2312" w:eastAsia="仿宋_GB2312" w:cs="仿宋_GB2312"/>
          <w:b w:val="0"/>
          <w:bCs w:val="0"/>
          <w:sz w:val="32"/>
          <w:szCs w:val="32"/>
          <w:highlight w:val="none"/>
          <w:lang w:val="en-US" w:eastAsia="zh-CN"/>
        </w:rPr>
        <w:t>70件。</w:t>
      </w:r>
    </w:p>
    <w:p>
      <w:pPr>
        <w:widowControl w:val="0"/>
        <w:wordWrap/>
        <w:adjustRightInd w:val="0"/>
        <w:snapToGrid w:val="0"/>
        <w:spacing w:line="560" w:lineRule="exact"/>
        <w:ind w:firstLine="640" w:firstLineChars="200"/>
        <w:textAlignment w:val="auto"/>
        <w:rPr>
          <w:rFonts w:hint="eastAsia" w:ascii="仿宋_GB2312" w:hAnsi="仿宋_GB2312" w:eastAsia="仿宋_GB2312" w:cs="仿宋_GB2312"/>
          <w:b w:val="0"/>
          <w:bCs w:val="0"/>
          <w:sz w:val="32"/>
          <w:szCs w:val="32"/>
          <w:highlight w:val="none"/>
          <w:lang w:val="zh-CN" w:eastAsia="zh-CN"/>
        </w:rPr>
      </w:pPr>
      <w:r>
        <w:rPr>
          <w:rFonts w:hint="eastAsia" w:ascii="仿宋_GB2312" w:hAnsi="仿宋_GB2312" w:eastAsia="仿宋_GB2312" w:cs="仿宋_GB2312"/>
          <w:b w:val="0"/>
          <w:bCs w:val="0"/>
          <w:sz w:val="32"/>
          <w:szCs w:val="32"/>
          <w:highlight w:val="none"/>
          <w:lang w:val="en-US" w:eastAsia="zh-CN"/>
        </w:rPr>
        <w:t>今年新收行政复议11件，行政诉讼12件，上期结转4件，共办理行政复议、诉讼27件，积极执行生效行政复议决定和法院生效裁判，坚持复议、诉讼逐案</w:t>
      </w:r>
      <w:r>
        <w:rPr>
          <w:rFonts w:hint="eastAsia" w:ascii="仿宋_GB2312" w:hAnsi="仿宋_GB2312" w:eastAsia="仿宋_GB2312" w:cs="仿宋_GB2312"/>
          <w:b w:val="0"/>
          <w:bCs w:val="0"/>
          <w:color w:val="111111"/>
          <w:spacing w:val="-6"/>
          <w:kern w:val="0"/>
          <w:sz w:val="32"/>
          <w:szCs w:val="32"/>
          <w:highlight w:val="none"/>
        </w:rPr>
        <w:t>分析，加强败诉案件类型分析和督导。</w:t>
      </w:r>
      <w:r>
        <w:rPr>
          <w:rFonts w:hint="eastAsia" w:ascii="仿宋_GB2312" w:hAnsi="仿宋_GB2312" w:eastAsia="仿宋_GB2312" w:cs="仿宋_GB2312"/>
          <w:b w:val="0"/>
          <w:bCs w:val="0"/>
          <w:sz w:val="32"/>
          <w:szCs w:val="32"/>
          <w:highlight w:val="none"/>
          <w:lang w:val="en-US" w:eastAsia="zh-CN"/>
        </w:rPr>
        <w:t>研究行政执法行为监督与行政执法过错行为责任追究办法，加强</w:t>
      </w:r>
      <w:r>
        <w:rPr>
          <w:rFonts w:hint="eastAsia" w:ascii="仿宋_GB2312" w:hAnsi="仿宋_GB2312" w:eastAsia="仿宋_GB2312" w:cs="仿宋_GB2312"/>
          <w:b w:val="0"/>
          <w:bCs w:val="0"/>
          <w:sz w:val="32"/>
          <w:szCs w:val="32"/>
          <w:highlight w:val="none"/>
          <w:lang w:val="zh-CN" w:eastAsia="zh-CN"/>
        </w:rPr>
        <w:t>执法监督建设。</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bCs/>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（六）深化法治宣传教育工作、落实“谁执法谁普法”责任</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认真贯彻落实普法规划，加强重点人群普法，定期进行业务培训，定期参加“市场监管学习大讲堂”。全面落实局长办公会会前学法机制，2021年共组织会前学法10次。严格贯彻行政机关负责人出庭应诉规定，出庭应诉1次，组织全员开展新修订的行政处罚法培训讲座，组织参加全国市场监管知识竞赛，参加北京市“两品一械”监管知识竞赛暨监管能力大比武活动并获得全市二等奖及最佳组织奖。</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落实“谁执法谁普法”普法责任制，将说理式普法融入执法各环节。积极开展“3·15”国际消费者权益日</w:t>
      </w:r>
      <w:bookmarkStart w:id="0" w:name="_GoBack"/>
      <w:bookmarkEnd w:id="0"/>
      <w:r>
        <w:rPr>
          <w:rFonts w:hint="eastAsia" w:ascii="仿宋_GB2312" w:hAnsi="仿宋_GB2312" w:eastAsia="仿宋_GB2312" w:cs="仿宋_GB2312"/>
          <w:b w:val="0"/>
          <w:bCs w:val="0"/>
          <w:color w:val="111111"/>
          <w:spacing w:val="-6"/>
          <w:kern w:val="0"/>
          <w:sz w:val="32"/>
          <w:szCs w:val="32"/>
          <w:highlight w:val="none"/>
          <w:lang w:val="en-US" w:eastAsia="zh-CN"/>
        </w:rPr>
        <w:t>、食品安全宣传周、宪法日暨宪法宣传周等主题法治宣传实践活动，持续深入开展“法律十进”活动，利用微博、微信等新媒体提高宣传覆盖面和影响力。</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我局普法成果突出，荣获北京市七五普法先进集体，并被推荐为2016—2020年全国普法工作先进单位。</w:t>
      </w:r>
    </w:p>
    <w:p>
      <w:pPr>
        <w:pStyle w:val="4"/>
        <w:widowControl/>
        <w:numPr>
          <w:ilvl w:val="-1"/>
          <w:numId w:val="0"/>
        </w:numPr>
        <w:wordWrap/>
        <w:adjustRightInd w:val="0"/>
        <w:snapToGrid w:val="0"/>
        <w:spacing w:before="0" w:beforeAutospacing="0" w:after="0" w:afterAutospacing="0" w:line="560" w:lineRule="exact"/>
        <w:ind w:left="0" w:leftChars="0" w:right="0" w:firstLine="640" w:firstLineChars="200"/>
        <w:jc w:val="left"/>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二、推进法治政府建设存在的不足和原因</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 xml:space="preserve"> 今年以来我局法治政府建设取得了一定成绩，但仍存在不足，主要表现和原因分析如下。</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bCs/>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（一）统一的执法理念有待进一步强化，执法规范化建设有待继续提升</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市场监管领域涉及法律法规众多，职权事项庞大，跨越多个不同领域，各业务区域执法理念和执法标准还有差别，仍需要继续在执法理念、裁量标准、执法文书的规范使用、案件审核标准等方面加强制度建设，继续打牢规范执法的制度基础。</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bCs/>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（二）执法能力水平仍有不足</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在当前综合执法趋势下，执法领域涉法律多，法律更新频次密集，对执法干部的业务能力和综合素质要求进一步提升。尤其是各街道所、综合执法大队组建成立后，迫切需要加强各类培训和指导，统一执法理念和程序，尽快促进知识更新、业务融合，保障我局干部综合执法能力满足市场监管的实际需求。</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bCs/>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（三）当前考核指标的设立缺乏科学性，多头考核增加了基层执法人员工作压力</w:t>
      </w:r>
    </w:p>
    <w:p>
      <w:pPr>
        <w:pStyle w:val="2"/>
        <w:adjustRightInd w:val="0"/>
        <w:snapToGrid w:val="0"/>
        <w:spacing w:line="560" w:lineRule="exact"/>
        <w:ind w:firstLine="616" w:firstLineChars="200"/>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color w:val="111111"/>
          <w:spacing w:val="-6"/>
          <w:kern w:val="0"/>
          <w:sz w:val="32"/>
          <w:szCs w:val="32"/>
          <w:highlight w:val="none"/>
          <w:lang w:val="en-US" w:eastAsia="zh-CN"/>
        </w:rPr>
        <w:t>目前人均检查量的指标量化考核且逐年提升一定程度上背离于当前以双随机抽查为主的监管理念，间接增加了基层执法人员干部压力，导致执法工作量和执法效果不匹配。当前行政执法检查分为三条体系，分别依托于市药监、市场监管以及司法体系三套系统，违法行为纳入检查率的覆盖要依托于三套系统的衔接完善以及市级部门对检查单、检查模块创建的完善，事实上自2020年该项指标出台以来，基层执法部门在该项工作的落实执行中处于被动地位，无法利用现有行政检查手段发挥该项指标的实际效果，检查率覆盖执行流于形式。</w:t>
      </w:r>
    </w:p>
    <w:p>
      <w:pPr>
        <w:pStyle w:val="4"/>
        <w:widowControl/>
        <w:numPr>
          <w:ilvl w:val="0"/>
          <w:numId w:val="0"/>
        </w:numPr>
        <w:wordWrap/>
        <w:adjustRightInd w:val="0"/>
        <w:snapToGrid w:val="0"/>
        <w:spacing w:before="0" w:beforeAutospacing="0" w:after="0" w:afterAutospacing="0" w:line="560" w:lineRule="exact"/>
        <w:ind w:left="0" w:leftChars="0" w:right="0" w:firstLine="640" w:firstLineChars="200"/>
        <w:jc w:val="left"/>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lang w:eastAsia="zh-CN"/>
        </w:rPr>
        <w:t>党政主要负责人履行推进法治建设第一责任人职责</w:t>
      </w:r>
    </w:p>
    <w:p>
      <w:pPr>
        <w:widowControl w:val="0"/>
        <w:wordWrap/>
        <w:adjustRightInd w:val="0"/>
        <w:snapToGrid w:val="0"/>
        <w:spacing w:line="56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门头沟市场局认真贯彻落实市、区法治政府建设精神，高度重视法治政府建设工作，党政主要负责人认真领会《党政主要负责人履行推进法治建设第一责任人职责规定》要求，局党组多次组织学习讨论《2021-2025法治政府建设实施纲要》和习近平全面依法治国思想，同时结合市场监管部门工作实际进行了具体部署安排，统筹推进全面依法治国理念在市场监管领域的实践和探索。</w:t>
      </w:r>
    </w:p>
    <w:p>
      <w:pPr>
        <w:widowControl w:val="0"/>
        <w:wordWrap/>
        <w:adjustRightInd w:val="0"/>
        <w:snapToGrid w:val="0"/>
        <w:spacing w:line="560" w:lineRule="exact"/>
        <w:ind w:left="0" w:leftChars="0" w:right="0" w:firstLine="640" w:firstLineChars="200"/>
        <w:jc w:val="both"/>
        <w:textAlignment w:val="auto"/>
        <w:outlineLvl w:val="9"/>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党政主要负责人将法治建设摆在全局工作的重要位置，对法治建设中的重要工作亲自部署、重大问题亲自过问、重点环节亲自协调、重要任务亲自督办，始终坚持“法治建设为龙头、一把手负总责”的法治建设原则，贯穿全局各项工作，法治政府建设各项工作有序推进，市场监管各项工作逐步纳入法治化轨道。</w:t>
      </w:r>
    </w:p>
    <w:p>
      <w:pPr>
        <w:widowControl w:val="0"/>
        <w:wordWrap/>
        <w:adjustRightInd w:val="0"/>
        <w:snapToGrid w:val="0"/>
        <w:spacing w:line="560" w:lineRule="exact"/>
        <w:ind w:firstLine="640"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kern w:val="2"/>
          <w:sz w:val="32"/>
          <w:szCs w:val="32"/>
          <w:lang w:val="en-US" w:eastAsia="zh-CN" w:bidi="ar-SA"/>
        </w:rPr>
        <w:t>我局局长张立新与门头沟区人民法院党组成员闫洪升、刑庭庭长杨畅就完善登记限制工作，建立长效机制开展座谈。</w:t>
      </w:r>
    </w:p>
    <w:p>
      <w:pPr>
        <w:widowControl w:val="0"/>
        <w:numPr>
          <w:ilvl w:val="0"/>
          <w:numId w:val="0"/>
        </w:numPr>
        <w:wordWrap/>
        <w:adjustRightInd w:val="0"/>
        <w:snapToGrid w:val="0"/>
        <w:spacing w:line="560" w:lineRule="exact"/>
        <w:ind w:right="0" w:firstLine="640" w:firstLineChars="200"/>
        <w:jc w:val="both"/>
        <w:textAlignment w:val="auto"/>
        <w:outlineLvl w:val="9"/>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四、2022年推进法治政府建设的主要安排</w:t>
      </w:r>
    </w:p>
    <w:p>
      <w:pPr>
        <w:widowControl w:val="0"/>
        <w:wordWrap/>
        <w:adjustRightInd w:val="0"/>
        <w:snapToGrid w:val="0"/>
        <w:spacing w:line="560" w:lineRule="exact"/>
        <w:ind w:firstLine="616" w:firstLineChars="200"/>
        <w:textAlignment w:val="auto"/>
        <w:rPr>
          <w:rFonts w:hint="eastAsia" w:ascii="楷体_GB2312" w:hAnsi="楷体_GB2312" w:eastAsia="楷体_GB2312" w:cs="楷体_GB2312"/>
          <w:b w:val="0"/>
          <w:bCs w:val="0"/>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（一）落实事权划分文件完善制定工作，推进市场监管综合执法体系建设</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目前我局科、所、队三级执法组织体系已经全部落实到位，如何理顺科室、街道（地区）所、综合执法大队事权划分，推进三级执法体系职能协同、激发干部干事热情，推进我局综合执法能力提升，是下一步工作的重点。</w:t>
      </w:r>
    </w:p>
    <w:p>
      <w:pPr>
        <w:widowControl w:val="0"/>
        <w:wordWrap/>
        <w:adjustRightInd w:val="0"/>
        <w:snapToGrid w:val="0"/>
        <w:spacing w:line="560" w:lineRule="exact"/>
        <w:ind w:firstLine="616" w:firstLineChars="200"/>
        <w:textAlignment w:val="auto"/>
        <w:rPr>
          <w:rFonts w:hint="eastAsia" w:ascii="楷体_GB2312" w:hAnsi="楷体_GB2312" w:eastAsia="楷体_GB2312" w:cs="楷体_GB2312"/>
          <w:b w:val="0"/>
          <w:bCs w:val="0"/>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（二）持续完善执法监督考评机制，倒逼执法效能提升</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全面解读、梳理、分解考核各项指标，将区委区政府考核文件与我局执法工作实际相结合，在重点考核要素设置上，加强与考核单位、上级主管部门的沟通联络，尽快制定2022年度法制考核方案和工作意见，明确工作重点和进度，细化对三项制度等重点事项落实情况的考核要求，统一规范执法程序，加强对程序规范、审核意见落实、裁量权运用、罚没物品监销、处罚执行、行刑衔接等全过程监督，以岗位责任制倒逼执法效能提升，以绩效考核推进全局依法行政水平和能力的提高。</w:t>
      </w:r>
    </w:p>
    <w:p>
      <w:pPr>
        <w:widowControl w:val="0"/>
        <w:wordWrap/>
        <w:adjustRightInd w:val="0"/>
        <w:snapToGrid w:val="0"/>
        <w:spacing w:line="560" w:lineRule="exact"/>
        <w:ind w:firstLine="616" w:firstLineChars="200"/>
        <w:textAlignment w:val="auto"/>
        <w:rPr>
          <w:rFonts w:hint="eastAsia" w:ascii="楷体_GB2312" w:hAnsi="楷体_GB2312" w:eastAsia="楷体_GB2312" w:cs="楷体_GB2312"/>
          <w:b w:val="0"/>
          <w:bCs w:val="0"/>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（三）加强法制队伍建设，推进依法行政能力水平提升</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创新制度措施，把既懂法律专业知识又熟悉市场监管业务的人才充实到法制员队伍，激发集体干事热情，用好用足公职律师、法制员、外聘律师团队力量。</w:t>
      </w:r>
    </w:p>
    <w:p>
      <w:pPr>
        <w:widowControl w:val="0"/>
        <w:wordWrap/>
        <w:adjustRightInd w:val="0"/>
        <w:snapToGrid w:val="0"/>
        <w:spacing w:line="560" w:lineRule="exact"/>
        <w:ind w:firstLine="616" w:firstLineChars="200"/>
        <w:textAlignment w:val="auto"/>
        <w:rPr>
          <w:rFonts w:hint="eastAsia" w:ascii="楷体_GB2312" w:hAnsi="楷体_GB2312" w:eastAsia="楷体_GB2312" w:cs="楷体_GB2312"/>
          <w:b w:val="0"/>
          <w:bCs w:val="0"/>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（四）加强法制业务指导和培训，推进执法规范化建设</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结合当前行政复议诉讼环节、不作为投诉举报案件中高发问题，健全执法案例指导制度，通过业务讲堂、法制指导、典型案例等形式，增强执法人员程序规范意识。加强案卷评查结果运用力度，在文书规范、执法统一、证据完善等环节切实发挥指导作用。加强法制培训频次、完善培训形式，组织开展跟班学习、案例分析、诉讼听证旁听、案卷评查等形式，促进干部熟悉掌握行政执法法律法规，提升业务水平。</w:t>
      </w:r>
    </w:p>
    <w:p>
      <w:pPr>
        <w:widowControl w:val="0"/>
        <w:wordWrap/>
        <w:adjustRightInd w:val="0"/>
        <w:snapToGrid w:val="0"/>
        <w:spacing w:line="560" w:lineRule="exact"/>
        <w:ind w:firstLine="616" w:firstLineChars="200"/>
        <w:textAlignment w:val="auto"/>
        <w:rPr>
          <w:rFonts w:hint="eastAsia" w:ascii="楷体_GB2312" w:hAnsi="楷体_GB2312" w:eastAsia="楷体_GB2312" w:cs="楷体_GB2312"/>
          <w:b w:val="0"/>
          <w:bCs w:val="0"/>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（五）做好法治宣传教育工作，营造法治营商环境氛围</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结合市局、区政府对普法要求，做好八五普法开篇谋划工作。制定2022年度普法计划和工作要点，明确工作目标、任务和各部门职责，确保普法工作有序开展。建立法制部门牵头、各相关科室和市场所积极协同配合的法制宣传队伍，聚焦类金融风险、防范非法集资、预付卡消费、食品安全等高发性、热点性问题，深入社区、企业开展普法宣传活动普法宣传工作，切实满足社会对政府公共法律服务需求。继续贯彻领导干部学法用法制度，落实局长办公会会前学法和局机关负责人出庭应诉制度，贯彻执行干部培训制度和年度法治培训计划。</w:t>
      </w:r>
    </w:p>
    <w:p>
      <w:pPr>
        <w:widowControl w:val="0"/>
        <w:wordWrap/>
        <w:adjustRightInd w:val="0"/>
        <w:snapToGrid w:val="0"/>
        <w:spacing w:line="560" w:lineRule="exact"/>
        <w:ind w:firstLine="616" w:firstLineChars="200"/>
        <w:textAlignment w:val="auto"/>
        <w:rPr>
          <w:rFonts w:hint="eastAsia" w:ascii="楷体_GB2312" w:hAnsi="楷体_GB2312" w:eastAsia="楷体_GB2312" w:cs="楷体_GB2312"/>
          <w:b w:val="0"/>
          <w:bCs w:val="0"/>
          <w:color w:val="111111"/>
          <w:spacing w:val="-6"/>
          <w:kern w:val="0"/>
          <w:sz w:val="32"/>
          <w:szCs w:val="32"/>
          <w:highlight w:val="none"/>
          <w:lang w:val="en-US" w:eastAsia="zh-CN"/>
        </w:rPr>
      </w:pPr>
      <w:r>
        <w:rPr>
          <w:rFonts w:hint="eastAsia" w:ascii="楷体_GB2312" w:hAnsi="楷体_GB2312" w:eastAsia="楷体_GB2312" w:cs="楷体_GB2312"/>
          <w:b w:val="0"/>
          <w:bCs w:val="0"/>
          <w:color w:val="111111"/>
          <w:spacing w:val="-6"/>
          <w:kern w:val="0"/>
          <w:sz w:val="32"/>
          <w:szCs w:val="32"/>
          <w:highlight w:val="none"/>
          <w:lang w:val="en-US" w:eastAsia="zh-CN"/>
        </w:rPr>
        <w:t>（六）做好执法证换发、新版制服换发等基础服务保障工作</w:t>
      </w:r>
    </w:p>
    <w:p>
      <w:pPr>
        <w:widowControl w:val="0"/>
        <w:wordWrap/>
        <w:adjustRightInd w:val="0"/>
        <w:snapToGrid w:val="0"/>
        <w:spacing w:line="560" w:lineRule="exact"/>
        <w:ind w:firstLine="616" w:firstLineChars="200"/>
        <w:textAlignment w:val="auto"/>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依据国务院关于统一换发行政执法工作服装的通知及《综合行政执法制式服装和标志管理办法》规定，经前期综合行政执法制式服装和标志人员信息统计等基础工作，在市局履行完全市范围集体采购招投标环节后，我局将组织全部执法人员开展新制服量体裁衣工作，尽快完成机构整合后新版执法证申领换发以及制服统一工作，实现全员“换装”，补齐“合”并后的最后一块“短板”，增强广大干部集体凝聚力，树立市场监管队伍“新”形象。</w:t>
      </w:r>
    </w:p>
    <w:p>
      <w:pPr>
        <w:pStyle w:val="2"/>
        <w:adjustRightInd w:val="0"/>
        <w:snapToGrid w:val="0"/>
        <w:spacing w:line="560" w:lineRule="exact"/>
        <w:ind w:firstLine="616" w:firstLineChars="200"/>
        <w:rPr>
          <w:rFonts w:hint="eastAsia" w:ascii="黑体" w:hAnsi="黑体" w:eastAsia="黑体" w:cs="黑体"/>
          <w:b w:val="0"/>
          <w:bCs w:val="0"/>
          <w:color w:val="111111"/>
          <w:spacing w:val="-6"/>
          <w:kern w:val="0"/>
          <w:sz w:val="32"/>
          <w:szCs w:val="32"/>
          <w:highlight w:val="none"/>
          <w:lang w:val="en-US" w:eastAsia="zh-CN"/>
        </w:rPr>
      </w:pPr>
      <w:r>
        <w:rPr>
          <w:rFonts w:hint="eastAsia" w:ascii="黑体" w:hAnsi="黑体" w:eastAsia="黑体" w:cs="黑体"/>
          <w:b w:val="0"/>
          <w:bCs w:val="0"/>
          <w:color w:val="111111"/>
          <w:spacing w:val="-6"/>
          <w:kern w:val="0"/>
          <w:sz w:val="32"/>
          <w:szCs w:val="32"/>
          <w:highlight w:val="none"/>
          <w:lang w:val="en-US" w:eastAsia="zh-CN"/>
        </w:rPr>
        <w:t>五、其他需要报告的情况</w:t>
      </w:r>
    </w:p>
    <w:p>
      <w:pPr>
        <w:pStyle w:val="2"/>
        <w:adjustRightInd w:val="0"/>
        <w:snapToGrid w:val="0"/>
        <w:spacing w:line="560" w:lineRule="exact"/>
        <w:ind w:firstLine="592"/>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无其他需要报告的内容。</w:t>
      </w:r>
    </w:p>
    <w:p>
      <w:pPr>
        <w:pStyle w:val="2"/>
        <w:adjustRightInd w:val="0"/>
        <w:snapToGrid w:val="0"/>
        <w:spacing w:line="560" w:lineRule="exact"/>
        <w:ind w:firstLine="592"/>
        <w:rPr>
          <w:rFonts w:hint="eastAsia" w:ascii="仿宋_GB2312" w:hAnsi="仿宋_GB2312" w:eastAsia="仿宋_GB2312" w:cs="仿宋_GB2312"/>
          <w:b w:val="0"/>
          <w:bCs w:val="0"/>
          <w:color w:val="111111"/>
          <w:spacing w:val="-6"/>
          <w:kern w:val="0"/>
          <w:sz w:val="32"/>
          <w:szCs w:val="32"/>
          <w:highlight w:val="none"/>
          <w:lang w:val="en-US" w:eastAsia="zh-CN"/>
        </w:rPr>
      </w:pPr>
    </w:p>
    <w:p>
      <w:pPr>
        <w:pStyle w:val="3"/>
        <w:keepNext w:val="0"/>
        <w:keepLines w:val="0"/>
        <w:pageBreakBefore w:val="0"/>
        <w:widowControl w:val="0"/>
        <w:kinsoku/>
        <w:wordWrap/>
        <w:overflowPunct/>
        <w:topLinePunct w:val="0"/>
        <w:autoSpaceDE/>
        <w:autoSpaceDN/>
        <w:bidi w:val="0"/>
        <w:adjustRightInd w:val="0"/>
        <w:snapToGrid w:val="0"/>
        <w:spacing w:line="560" w:lineRule="exact"/>
        <w:jc w:val="right"/>
        <w:textAlignment w:val="auto"/>
        <w:rPr>
          <w:rFonts w:hint="default"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 xml:space="preserve"> 门头沟区市场监督管理局</w:t>
      </w:r>
    </w:p>
    <w:p>
      <w:pPr>
        <w:pStyle w:val="2"/>
        <w:adjustRightInd w:val="0"/>
        <w:snapToGrid w:val="0"/>
        <w:spacing w:line="560" w:lineRule="exact"/>
        <w:rPr>
          <w:rFonts w:hint="eastAsia" w:ascii="仿宋_GB2312" w:hAnsi="仿宋_GB2312" w:eastAsia="仿宋_GB2312" w:cs="仿宋_GB2312"/>
          <w:b w:val="0"/>
          <w:bCs w:val="0"/>
          <w:color w:val="111111"/>
          <w:spacing w:val="-6"/>
          <w:kern w:val="0"/>
          <w:sz w:val="32"/>
          <w:szCs w:val="32"/>
          <w:highlight w:val="none"/>
          <w:lang w:val="en-US" w:eastAsia="zh-CN"/>
        </w:rPr>
      </w:pPr>
      <w:r>
        <w:rPr>
          <w:rFonts w:hint="eastAsia" w:ascii="仿宋_GB2312" w:hAnsi="仿宋_GB2312" w:eastAsia="仿宋_GB2312" w:cs="仿宋_GB2312"/>
          <w:b w:val="0"/>
          <w:bCs w:val="0"/>
          <w:color w:val="111111"/>
          <w:spacing w:val="-6"/>
          <w:kern w:val="0"/>
          <w:sz w:val="32"/>
          <w:szCs w:val="32"/>
          <w:highlight w:val="none"/>
          <w:lang w:val="en-US" w:eastAsia="zh-CN"/>
        </w:rPr>
        <w:t xml:space="preserve">                                     2022年2月27日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043E6D"/>
    <w:rsid w:val="372E05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customStyle="1" w:styleId="2">
    <w:name w:val="BodyText"/>
    <w:basedOn w:val="1"/>
    <w:qFormat/>
    <w:uiPriority w:val="0"/>
    <w:rPr>
      <w:rFonts w:ascii="Times New Roman" w:hAnsi="Times New Roman" w:eastAsia="楷体_GB2312" w:cs="Times New Roman"/>
      <w:sz w:val="32"/>
    </w:rPr>
  </w:style>
  <w:style w:type="paragraph" w:styleId="3">
    <w:name w:val="Body Text"/>
    <w:basedOn w:val="1"/>
    <w:qFormat/>
    <w:uiPriority w:val="0"/>
    <w:pPr>
      <w:spacing w:after="140" w:line="276" w:lineRule="auto"/>
    </w:pPr>
  </w:style>
  <w:style w:type="paragraph" w:styleId="4">
    <w:name w:val="Normal (Web)"/>
    <w:basedOn w:val="1"/>
    <w:qFormat/>
    <w:uiPriority w:val="0"/>
    <w:pPr>
      <w:spacing w:before="100" w:beforeAutospacing="1" w:after="10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2024-12-16T07:44:26Z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