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560E" w:rsidRDefault="0024560E" w:rsidP="0024560E">
      <w:pPr>
        <w:pStyle w:val="a4"/>
        <w:spacing w:after="0" w:line="640" w:lineRule="exact"/>
        <w:jc w:val="center"/>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color w:val="000000"/>
          <w:sz w:val="44"/>
          <w:szCs w:val="44"/>
        </w:rPr>
        <w:t>北京市门头沟区国防动员办公室</w:t>
      </w:r>
    </w:p>
    <w:p w:rsidR="0024560E" w:rsidRDefault="0024560E" w:rsidP="0024560E">
      <w:pPr>
        <w:pStyle w:val="a4"/>
        <w:spacing w:after="0" w:line="640" w:lineRule="exact"/>
        <w:jc w:val="center"/>
        <w:rPr>
          <w:rFonts w:ascii="Arial" w:hAnsi="Arial" w:cs="Arial" w:hint="eastAsia"/>
        </w:rPr>
      </w:pPr>
      <w:r>
        <w:rPr>
          <w:rFonts w:ascii="方正小标宋简体" w:eastAsia="方正小标宋简体" w:hAnsi="方正小标宋简体" w:cs="方正小标宋简体" w:hint="eastAsia"/>
          <w:color w:val="000000"/>
          <w:sz w:val="44"/>
          <w:szCs w:val="44"/>
        </w:rPr>
        <w:t>20</w:t>
      </w:r>
      <w:r>
        <w:rPr>
          <w:rFonts w:ascii="方正小标宋简体" w:eastAsia="方正小标宋简体" w:hAnsi="方正小标宋简体" w:cs="方正小标宋简体" w:hint="eastAsia"/>
          <w:sz w:val="44"/>
          <w:szCs w:val="44"/>
        </w:rPr>
        <w:t>25年法治政府建设情况报告</w:t>
      </w:r>
    </w:p>
    <w:p w:rsidR="0024560E" w:rsidRDefault="0024560E" w:rsidP="0024560E">
      <w:pPr>
        <w:pStyle w:val="a4"/>
        <w:spacing w:after="0" w:line="560" w:lineRule="exact"/>
        <w:rPr>
          <w:rFonts w:ascii="仿宋_GB2312" w:hAnsi="仿宋_GB2312" w:cs="仿宋_GB2312" w:hint="eastAsia"/>
        </w:rPr>
      </w:pPr>
    </w:p>
    <w:p w:rsidR="0024560E" w:rsidRDefault="0024560E" w:rsidP="0024560E">
      <w:pPr>
        <w:pStyle w:val="a4"/>
        <w:spacing w:after="0" w:line="560" w:lineRule="exact"/>
        <w:ind w:firstLine="640"/>
        <w:rPr>
          <w:rFonts w:ascii="仿宋_GB2312" w:hAnsi="仿宋_GB2312" w:cs="仿宋_GB2312" w:hint="eastAsia"/>
        </w:rPr>
      </w:pPr>
      <w:r>
        <w:rPr>
          <w:rFonts w:ascii="仿宋_GB2312" w:hAnsi="仿宋_GB2312" w:cs="仿宋_GB2312" w:hint="eastAsia"/>
        </w:rPr>
        <w:t>区国动办坚持以习近平新时代中国特色社会主义思想为指导，全面贯彻落实党的二十大和二十届历次全会精神，紧紧围绕区委、区政府中心工作，聚焦国防动员和人民防空职责使命，扎实推进区国动办法治政府建设工作，现将有关情况报告如下。</w:t>
      </w:r>
    </w:p>
    <w:p w:rsidR="0024560E" w:rsidRDefault="0024560E" w:rsidP="0024560E">
      <w:pPr>
        <w:pStyle w:val="a4"/>
        <w:spacing w:after="0" w:line="560" w:lineRule="exact"/>
        <w:ind w:firstLine="640"/>
        <w:rPr>
          <w:rFonts w:ascii="黑体" w:eastAsia="黑体" w:hAnsi="黑体" w:cs="黑体" w:hint="eastAsia"/>
        </w:rPr>
      </w:pPr>
      <w:r>
        <w:rPr>
          <w:rFonts w:ascii="黑体" w:eastAsia="黑体" w:hAnsi="黑体" w:cs="黑体" w:hint="eastAsia"/>
        </w:rPr>
        <w:t>一、2025年度推进法治政府建设的主要举措和成效</w:t>
      </w:r>
    </w:p>
    <w:p w:rsidR="0024560E" w:rsidRDefault="0024560E" w:rsidP="0024560E">
      <w:pPr>
        <w:pStyle w:val="a7"/>
        <w:shd w:val="clear" w:color="auto" w:fill="FFFFFF"/>
        <w:spacing w:before="0" w:after="0" w:afterAutospacing="0" w:line="560" w:lineRule="exact"/>
        <w:ind w:firstLineChars="200" w:firstLine="632"/>
        <w:rPr>
          <w:rFonts w:ascii="楷体" w:eastAsia="楷体" w:hAnsi="楷体" w:cs="楷体" w:hint="eastAsia"/>
          <w:color w:val="auto"/>
          <w:kern w:val="2"/>
          <w:sz w:val="32"/>
          <w:szCs w:val="32"/>
          <w:shd w:val="clear" w:color="auto" w:fill="FFFFFF"/>
        </w:rPr>
      </w:pPr>
      <w:r>
        <w:rPr>
          <w:rFonts w:ascii="楷体" w:eastAsia="楷体" w:hAnsi="楷体" w:cs="楷体" w:hint="eastAsia"/>
          <w:color w:val="auto"/>
          <w:kern w:val="2"/>
          <w:sz w:val="32"/>
          <w:szCs w:val="32"/>
          <w:shd w:val="clear" w:color="auto" w:fill="FFFFFF"/>
        </w:rPr>
        <w:t>（一）优化文件管理，履行法审程序</w:t>
      </w:r>
    </w:p>
    <w:p w:rsidR="0024560E" w:rsidRDefault="0024560E" w:rsidP="0024560E">
      <w:pPr>
        <w:pStyle w:val="a7"/>
        <w:shd w:val="clear" w:color="auto" w:fill="FFFFFF"/>
        <w:spacing w:before="0" w:after="0" w:afterAutospacing="0" w:line="560" w:lineRule="exact"/>
        <w:ind w:firstLineChars="200" w:firstLine="632"/>
        <w:rPr>
          <w:rFonts w:ascii="仿宋" w:eastAsia="仿宋" w:hAnsi="仿宋" w:cs="仿宋" w:hint="eastAsia"/>
          <w:color w:val="auto"/>
          <w:sz w:val="32"/>
          <w:szCs w:val="32"/>
          <w:shd w:val="clear" w:color="auto" w:fill="FFFFFF"/>
        </w:rPr>
      </w:pPr>
      <w:r>
        <w:rPr>
          <w:rFonts w:ascii="仿宋" w:eastAsia="仿宋" w:hAnsi="仿宋" w:cs="仿宋" w:hint="eastAsia"/>
          <w:color w:val="auto"/>
          <w:kern w:val="2"/>
          <w:sz w:val="32"/>
          <w:szCs w:val="32"/>
          <w:shd w:val="clear" w:color="auto" w:fill="FFFFFF"/>
        </w:rPr>
        <w:t>严格落实行政规范性文件制定与管理程序，配合区司法局完成2023年以来行政规范性文件备案审查，确认现行2份行政规范性文件均已通过合法性审核，均已履行备案程序。建立法律顾问服务使用台账，充分</w:t>
      </w:r>
      <w:r>
        <w:rPr>
          <w:rFonts w:ascii="仿宋" w:eastAsia="仿宋" w:hAnsi="仿宋" w:cs="仿宋" w:hint="eastAsia"/>
          <w:color w:val="auto"/>
          <w:sz w:val="32"/>
          <w:szCs w:val="32"/>
          <w:shd w:val="clear" w:color="auto" w:fill="FFFFFF"/>
        </w:rPr>
        <w:t>发挥法律顾问支撑作用，全年共听取法律顾问建议45次。</w:t>
      </w:r>
    </w:p>
    <w:p w:rsidR="0024560E" w:rsidRDefault="0024560E" w:rsidP="0024560E">
      <w:pPr>
        <w:pStyle w:val="a7"/>
        <w:shd w:val="clear" w:color="auto" w:fill="FFFFFF"/>
        <w:spacing w:before="0" w:after="0" w:afterAutospacing="0" w:line="560" w:lineRule="exact"/>
        <w:ind w:firstLineChars="200" w:firstLine="632"/>
        <w:rPr>
          <w:rFonts w:ascii="楷体" w:eastAsia="楷体" w:hAnsi="楷体" w:cs="楷体" w:hint="eastAsia"/>
          <w:color w:val="auto"/>
          <w:sz w:val="32"/>
          <w:szCs w:val="32"/>
          <w:shd w:val="clear" w:color="auto" w:fill="FFFFFF"/>
        </w:rPr>
      </w:pPr>
      <w:r>
        <w:rPr>
          <w:rFonts w:ascii="楷体" w:eastAsia="楷体" w:hAnsi="楷体" w:cs="楷体" w:hint="eastAsia"/>
          <w:color w:val="auto"/>
          <w:sz w:val="32"/>
          <w:szCs w:val="32"/>
          <w:shd w:val="clear" w:color="auto" w:fill="FFFFFF"/>
        </w:rPr>
        <w:t>（二）推进政务公开，回应群众诉求</w:t>
      </w:r>
    </w:p>
    <w:p w:rsidR="0024560E" w:rsidRDefault="0024560E" w:rsidP="0024560E">
      <w:pPr>
        <w:pStyle w:val="a7"/>
        <w:shd w:val="clear" w:color="auto" w:fill="FFFFFF"/>
        <w:spacing w:before="0" w:after="0" w:afterAutospacing="0" w:line="560" w:lineRule="exact"/>
        <w:ind w:firstLineChars="200" w:firstLine="632"/>
        <w:rPr>
          <w:rFonts w:ascii="仿宋_GB2312" w:hAnsi="仿宋_GB2312" w:cs="仿宋_GB2312" w:hint="eastAsia"/>
          <w:color w:val="auto"/>
          <w:kern w:val="2"/>
          <w:sz w:val="32"/>
          <w:szCs w:val="32"/>
        </w:rPr>
      </w:pPr>
      <w:r>
        <w:rPr>
          <w:rFonts w:ascii="仿宋_GB2312" w:hAnsi="仿宋_GB2312" w:cs="仿宋_GB2312" w:hint="eastAsia"/>
          <w:color w:val="auto"/>
          <w:kern w:val="2"/>
          <w:sz w:val="32"/>
          <w:szCs w:val="32"/>
        </w:rPr>
        <w:t>全面推进政务公开工作，主动公开年度法治政府建设情况报告、政府信息公开工作报告、行政执法年报、行政执法检查计划等内容，全年主动公开政府信息240条。规范依申请公开工作，在法定时限内告知补正材料、答复告知申请，切实维护群众合法权益，全年共完成依申请政府信息公开件6件。</w:t>
      </w:r>
    </w:p>
    <w:p w:rsidR="0024560E" w:rsidRDefault="0024560E" w:rsidP="0024560E">
      <w:pPr>
        <w:pStyle w:val="a7"/>
        <w:shd w:val="clear" w:color="auto" w:fill="FFFFFF"/>
        <w:spacing w:before="0" w:after="0" w:afterAutospacing="0" w:line="560" w:lineRule="exact"/>
        <w:ind w:leftChars="200" w:left="632" w:firstLine="0"/>
        <w:rPr>
          <w:rFonts w:ascii="楷体" w:eastAsia="楷体" w:hAnsi="楷体" w:cs="楷体" w:hint="eastAsia"/>
          <w:color w:val="auto"/>
          <w:sz w:val="32"/>
          <w:szCs w:val="32"/>
          <w:shd w:val="clear" w:color="auto" w:fill="FFFFFF"/>
        </w:rPr>
      </w:pPr>
      <w:r>
        <w:rPr>
          <w:rFonts w:ascii="楷体" w:eastAsia="楷体" w:hAnsi="楷体" w:cs="楷体" w:hint="eastAsia"/>
          <w:color w:val="auto"/>
          <w:sz w:val="32"/>
          <w:szCs w:val="32"/>
          <w:shd w:val="clear" w:color="auto" w:fill="FFFFFF"/>
        </w:rPr>
        <w:t>（三）严格执法责任，做到无事不扰</w:t>
      </w:r>
    </w:p>
    <w:p w:rsidR="0024560E" w:rsidRDefault="0024560E" w:rsidP="0024560E">
      <w:pPr>
        <w:pStyle w:val="a7"/>
        <w:shd w:val="clear" w:color="auto" w:fill="FFFFFF"/>
        <w:spacing w:before="0" w:after="0" w:afterAutospacing="0" w:line="560" w:lineRule="exact"/>
        <w:ind w:firstLineChars="200" w:firstLine="632"/>
        <w:rPr>
          <w:rFonts w:ascii="仿宋" w:eastAsia="仿宋" w:hAnsi="仿宋" w:cs="仿宋" w:hint="eastAsia"/>
          <w:color w:val="auto"/>
          <w:sz w:val="32"/>
          <w:szCs w:val="32"/>
          <w:shd w:val="clear" w:color="auto" w:fill="FFFFFF"/>
        </w:rPr>
      </w:pPr>
      <w:r>
        <w:rPr>
          <w:rFonts w:ascii="仿宋" w:eastAsia="仿宋" w:hAnsi="仿宋" w:cs="仿宋" w:hint="eastAsia"/>
          <w:color w:val="auto"/>
          <w:sz w:val="32"/>
          <w:szCs w:val="32"/>
          <w:shd w:val="clear" w:color="auto" w:fill="FFFFFF"/>
        </w:rPr>
        <w:lastRenderedPageBreak/>
        <w:t>加强行政执法人员管理与法治队伍建设，严格执行执法持证上岗与资格管理制度。严格落实综合监管一体化要求，结合信用分级分类情况，对“无事不扰”企业减少检查，提高非现场监管能力，全年非现场检查量占比76.92%。严格规范涉企检查，落实执法检查计划，全年共完成52次执法工作，任务执行量占比100%，扫码率100%，问题发现率36.53%。</w:t>
      </w:r>
    </w:p>
    <w:p w:rsidR="0024560E" w:rsidRDefault="0024560E" w:rsidP="0024560E">
      <w:pPr>
        <w:pStyle w:val="a7"/>
        <w:shd w:val="clear" w:color="auto" w:fill="FFFFFF"/>
        <w:spacing w:before="0" w:after="0" w:afterAutospacing="0" w:line="560" w:lineRule="exact"/>
        <w:ind w:firstLineChars="200" w:firstLine="632"/>
        <w:rPr>
          <w:rFonts w:ascii="楷体" w:eastAsia="楷体" w:hAnsi="楷体" w:cs="楷体" w:hint="eastAsia"/>
          <w:color w:val="auto"/>
          <w:sz w:val="32"/>
          <w:szCs w:val="32"/>
          <w:shd w:val="clear" w:color="auto" w:fill="FFFFFF"/>
        </w:rPr>
      </w:pPr>
      <w:r>
        <w:rPr>
          <w:rFonts w:ascii="楷体" w:eastAsia="楷体" w:hAnsi="楷体" w:cs="楷体" w:hint="eastAsia"/>
          <w:color w:val="auto"/>
          <w:sz w:val="32"/>
          <w:szCs w:val="32"/>
          <w:shd w:val="clear" w:color="auto" w:fill="FFFFFF"/>
        </w:rPr>
        <w:t>（四）强化培训学习，落实普法责任</w:t>
      </w:r>
    </w:p>
    <w:p w:rsidR="0024560E" w:rsidRDefault="0024560E" w:rsidP="0024560E">
      <w:pPr>
        <w:pStyle w:val="a7"/>
        <w:shd w:val="clear" w:color="auto" w:fill="FFFFFF"/>
        <w:spacing w:before="0" w:after="0" w:afterAutospacing="0" w:line="560" w:lineRule="exact"/>
        <w:ind w:firstLineChars="200" w:firstLine="632"/>
      </w:pPr>
      <w:r>
        <w:rPr>
          <w:rFonts w:ascii="仿宋" w:eastAsia="仿宋" w:hAnsi="仿宋" w:cs="仿宋" w:hint="eastAsia"/>
          <w:color w:val="auto"/>
          <w:sz w:val="32"/>
          <w:szCs w:val="32"/>
          <w:shd w:val="clear" w:color="auto" w:fill="FFFFFF"/>
        </w:rPr>
        <w:t>参与市、区两级行政执法工作培训8次，组织参加区级领导干部依法行政专题研讨班2期，5名执法人员均按时完成法治教育培训60学时。落实“谁执法谁普法”普法责任制，把握全民国防教育月、宪法宣传周等关键时间节点，充分依托区国防动员宣教体验馆，组织开展主题宣传教育活动34次。</w:t>
      </w:r>
    </w:p>
    <w:p w:rsidR="0024560E" w:rsidRDefault="0024560E" w:rsidP="0024560E">
      <w:pPr>
        <w:pStyle w:val="a4"/>
        <w:spacing w:after="0" w:line="560" w:lineRule="exact"/>
        <w:ind w:firstLine="640"/>
        <w:rPr>
          <w:rFonts w:ascii="黑体" w:eastAsia="黑体" w:hAnsi="黑体" w:cs="黑体" w:hint="eastAsia"/>
        </w:rPr>
      </w:pPr>
      <w:r>
        <w:rPr>
          <w:rFonts w:ascii="黑体" w:eastAsia="黑体" w:hAnsi="黑体" w:cs="黑体" w:hint="eastAsia"/>
        </w:rPr>
        <w:t>二、2025年度推进法治政府建设存在的不足和原因</w:t>
      </w:r>
    </w:p>
    <w:p w:rsidR="0024560E" w:rsidRDefault="0024560E" w:rsidP="0024560E">
      <w:pPr>
        <w:pStyle w:val="a7"/>
        <w:shd w:val="clear" w:color="auto" w:fill="FFFFFF"/>
        <w:spacing w:before="0" w:after="0" w:afterAutospacing="0" w:line="560" w:lineRule="exact"/>
        <w:ind w:firstLineChars="200" w:firstLine="632"/>
        <w:rPr>
          <w:rFonts w:ascii="仿宋" w:eastAsia="仿宋" w:hAnsi="仿宋" w:cs="仿宋" w:hint="eastAsia"/>
          <w:color w:val="auto"/>
          <w:sz w:val="32"/>
          <w:szCs w:val="32"/>
          <w:shd w:val="clear" w:color="070000" w:fill="FFFFFF"/>
        </w:rPr>
      </w:pPr>
      <w:r>
        <w:rPr>
          <w:rFonts w:ascii="仿宋" w:eastAsia="仿宋" w:hAnsi="仿宋" w:cs="仿宋" w:hint="eastAsia"/>
          <w:color w:val="auto"/>
          <w:sz w:val="32"/>
          <w:szCs w:val="32"/>
          <w:shd w:val="clear" w:color="070000" w:fill="FFFFFF"/>
        </w:rPr>
        <w:t>2025年，在区委区政府的正确领导下，在区委全面依法治区委员会办公室的指导下，区国动办推进法治政府建设工作取得了一定成效，但在实际工作中还存在一些不足。</w:t>
      </w:r>
    </w:p>
    <w:p w:rsidR="0024560E" w:rsidRDefault="0024560E" w:rsidP="0024560E">
      <w:pPr>
        <w:pStyle w:val="a4"/>
        <w:spacing w:after="0" w:line="560" w:lineRule="exact"/>
        <w:ind w:firstLine="640"/>
        <w:rPr>
          <w:rFonts w:ascii="仿宋_GB2312" w:hAnsi="仿宋_GB2312" w:cs="仿宋_GB2312" w:hint="eastAsia"/>
        </w:rPr>
      </w:pPr>
      <w:r>
        <w:rPr>
          <w:rFonts w:ascii="楷体_GB2312" w:eastAsia="楷体_GB2312" w:hAnsi="楷体_GB2312" w:cs="楷体_GB2312" w:hint="eastAsia"/>
        </w:rPr>
        <w:t>（一）学法计划制定安排有待优化</w:t>
      </w:r>
    </w:p>
    <w:p w:rsidR="0024560E" w:rsidRDefault="0024560E" w:rsidP="0024560E">
      <w:pPr>
        <w:pStyle w:val="a7"/>
        <w:shd w:val="clear" w:color="auto" w:fill="FFFFFF"/>
        <w:spacing w:before="0" w:after="0" w:afterAutospacing="0" w:line="560" w:lineRule="exact"/>
        <w:ind w:firstLineChars="200" w:firstLine="632"/>
        <w:rPr>
          <w:rFonts w:ascii="仿宋" w:eastAsia="仿宋" w:hAnsi="仿宋" w:cs="仿宋"/>
          <w:color w:val="auto"/>
          <w:sz w:val="32"/>
          <w:szCs w:val="32"/>
          <w:shd w:val="clear" w:color="070000" w:fill="FFFFFF"/>
        </w:rPr>
      </w:pPr>
      <w:r>
        <w:rPr>
          <w:rFonts w:ascii="仿宋" w:eastAsia="仿宋" w:hAnsi="仿宋" w:cs="仿宋" w:hint="eastAsia"/>
          <w:color w:val="auto"/>
          <w:sz w:val="32"/>
          <w:szCs w:val="32"/>
          <w:shd w:val="clear" w:color="070000" w:fill="FFFFFF"/>
        </w:rPr>
        <w:t>在合理安排学法时间、频次的基础上，需要继续拓展学法内容，除国防动员与人民防空领域相关法律法规外，需要加强行政执法、军事设施保护、网络安全等领域相关法律法规、规章制度的学习传达，确保相关负责人依法依规完成工作。</w:t>
      </w:r>
    </w:p>
    <w:p w:rsidR="0024560E" w:rsidRDefault="0024560E" w:rsidP="0024560E">
      <w:pPr>
        <w:pStyle w:val="a4"/>
        <w:spacing w:after="0" w:line="560" w:lineRule="exact"/>
        <w:ind w:firstLine="640"/>
        <w:rPr>
          <w:rFonts w:ascii="楷体_GB2312" w:eastAsia="楷体_GB2312" w:hAnsi="楷体_GB2312" w:cs="楷体_GB2312" w:hint="eastAsia"/>
        </w:rPr>
      </w:pPr>
      <w:r>
        <w:rPr>
          <w:rFonts w:ascii="楷体_GB2312" w:eastAsia="楷体_GB2312" w:hAnsi="楷体_GB2312" w:cs="楷体_GB2312" w:hint="eastAsia"/>
        </w:rPr>
        <w:t>（二）法律顾问服务边界有待厘清</w:t>
      </w:r>
    </w:p>
    <w:p w:rsidR="0024560E" w:rsidRDefault="0024560E" w:rsidP="0024560E">
      <w:pPr>
        <w:pStyle w:val="a7"/>
        <w:shd w:val="clear" w:color="auto" w:fill="FFFFFF"/>
        <w:spacing w:before="0" w:after="0" w:afterAutospacing="0" w:line="560" w:lineRule="exact"/>
        <w:ind w:firstLineChars="200" w:firstLine="632"/>
        <w:rPr>
          <w:rFonts w:ascii="仿宋" w:eastAsia="仿宋" w:hAnsi="仿宋" w:cs="仿宋" w:hint="eastAsia"/>
          <w:color w:val="FF0000"/>
          <w:sz w:val="32"/>
          <w:szCs w:val="32"/>
          <w:shd w:val="clear" w:color="070000" w:fill="FFFFFF"/>
        </w:rPr>
      </w:pPr>
      <w:r>
        <w:rPr>
          <w:rFonts w:ascii="仿宋" w:eastAsia="仿宋" w:hAnsi="仿宋" w:cs="仿宋" w:hint="eastAsia"/>
          <w:color w:val="auto"/>
          <w:sz w:val="32"/>
          <w:szCs w:val="32"/>
          <w:shd w:val="clear" w:color="070000" w:fill="FFFFFF"/>
        </w:rPr>
        <w:t>为提升工作效能，避免浪费律师资源，需要严格落实《门头沟区委、区政府法律顾问工作制度》，进一步把握法律顾问核心职责，厘清职责范围，确保法律顾问履职配合到位，</w:t>
      </w:r>
      <w:r>
        <w:rPr>
          <w:rFonts w:ascii="仿宋_GB2312" w:hAnsi="仿宋_GB2312" w:cs="仿宋_GB2312" w:hint="eastAsia"/>
          <w:sz w:val="32"/>
          <w:szCs w:val="32"/>
        </w:rPr>
        <w:t>法律服务资源使用效率提升</w:t>
      </w:r>
      <w:r>
        <w:rPr>
          <w:rFonts w:ascii="仿宋" w:eastAsia="仿宋" w:hAnsi="仿宋" w:cs="仿宋" w:hint="eastAsia"/>
          <w:color w:val="auto"/>
          <w:sz w:val="32"/>
          <w:szCs w:val="32"/>
          <w:shd w:val="clear" w:color="070000" w:fill="FFFFFF"/>
        </w:rPr>
        <w:t>。</w:t>
      </w:r>
    </w:p>
    <w:p w:rsidR="0024560E" w:rsidRDefault="0024560E" w:rsidP="0024560E">
      <w:pPr>
        <w:pStyle w:val="a4"/>
        <w:spacing w:after="0" w:line="560" w:lineRule="exact"/>
        <w:ind w:firstLine="640"/>
        <w:rPr>
          <w:rFonts w:ascii="楷体_GB2312" w:eastAsia="楷体_GB2312" w:hAnsi="楷体_GB2312" w:cs="楷体_GB2312" w:hint="eastAsia"/>
        </w:rPr>
      </w:pPr>
      <w:r>
        <w:rPr>
          <w:rFonts w:ascii="楷体_GB2312" w:eastAsia="楷体_GB2312" w:hAnsi="楷体_GB2312" w:cs="楷体_GB2312" w:hint="eastAsia"/>
        </w:rPr>
        <w:t>（三）综合监管具体要求有待落实</w:t>
      </w:r>
    </w:p>
    <w:p w:rsidR="0024560E" w:rsidRDefault="0024560E" w:rsidP="0024560E">
      <w:pPr>
        <w:pStyle w:val="a4"/>
        <w:spacing w:after="0" w:line="560" w:lineRule="exact"/>
        <w:ind w:firstLine="640"/>
        <w:rPr>
          <w:rFonts w:ascii="黑体" w:eastAsia="黑体" w:hAnsi="黑体" w:cs="黑体" w:hint="eastAsia"/>
        </w:rPr>
      </w:pPr>
      <w:r>
        <w:rPr>
          <w:rFonts w:ascii="仿宋" w:eastAsia="仿宋" w:hAnsi="仿宋" w:cs="仿宋" w:hint="eastAsia"/>
          <w:shd w:val="clear" w:color="auto" w:fill="FFFFFF"/>
        </w:rPr>
        <w:t>在2025年扫码检查工作过程中，出现了“对‘无事不扰’企业开展日常检查”与“检查任务量超标”两类情况，暴露出执法人员对扫码检查工作新要求重视程度不足，相关政策文件理解不深等问题。</w:t>
      </w:r>
    </w:p>
    <w:p w:rsidR="0024560E" w:rsidRDefault="0024560E" w:rsidP="0024560E">
      <w:pPr>
        <w:pStyle w:val="a4"/>
        <w:spacing w:after="0" w:line="560" w:lineRule="exact"/>
        <w:ind w:firstLine="640"/>
        <w:rPr>
          <w:rFonts w:ascii="黑体" w:eastAsia="黑体" w:hAnsi="黑体" w:cs="黑体" w:hint="eastAsia"/>
        </w:rPr>
      </w:pPr>
      <w:r>
        <w:rPr>
          <w:rFonts w:ascii="黑体" w:eastAsia="黑体" w:hAnsi="黑体" w:cs="黑体" w:hint="eastAsia"/>
        </w:rPr>
        <w:t>三、2025年度党政主要负责人履行推进法治建设第一责任人职责情况</w:t>
      </w:r>
    </w:p>
    <w:p w:rsidR="0024560E" w:rsidRDefault="0024560E" w:rsidP="0024560E">
      <w:pPr>
        <w:pStyle w:val="a7"/>
        <w:shd w:val="clear" w:color="auto" w:fill="FFFFFF"/>
        <w:spacing w:before="0" w:after="0" w:afterAutospacing="0" w:line="560" w:lineRule="exact"/>
        <w:ind w:firstLineChars="200" w:firstLine="632"/>
        <w:rPr>
          <w:rFonts w:ascii="楷体_GB2312" w:eastAsia="楷体_GB2312" w:hAnsi="楷体_GB2312" w:cs="楷体_GB2312" w:hint="eastAsia"/>
          <w:color w:val="auto"/>
          <w:kern w:val="2"/>
          <w:sz w:val="32"/>
          <w:szCs w:val="32"/>
        </w:rPr>
      </w:pPr>
      <w:r>
        <w:rPr>
          <w:rFonts w:ascii="楷体_GB2312" w:eastAsia="楷体_GB2312" w:hAnsi="楷体_GB2312" w:cs="楷体_GB2312" w:hint="eastAsia"/>
          <w:color w:val="auto"/>
          <w:kern w:val="2"/>
          <w:sz w:val="32"/>
          <w:szCs w:val="32"/>
        </w:rPr>
        <w:t>（一）强化工作部署，筑牢思想根基</w:t>
      </w:r>
    </w:p>
    <w:p w:rsidR="0024560E" w:rsidRDefault="0024560E" w:rsidP="0024560E">
      <w:pPr>
        <w:pStyle w:val="a7"/>
        <w:shd w:val="clear" w:color="auto" w:fill="FFFFFF"/>
        <w:spacing w:before="0" w:after="0" w:afterAutospacing="0" w:line="560" w:lineRule="exact"/>
        <w:ind w:firstLineChars="231" w:firstLine="730"/>
        <w:rPr>
          <w:rFonts w:ascii="仿宋_GB2312" w:hAnsi="仿宋_GB2312" w:cs="仿宋_GB2312" w:hint="eastAsia"/>
          <w:color w:val="auto"/>
          <w:kern w:val="2"/>
          <w:sz w:val="32"/>
          <w:szCs w:val="32"/>
        </w:rPr>
      </w:pPr>
      <w:r>
        <w:rPr>
          <w:rFonts w:ascii="仿宋_GB2312" w:hAnsi="仿宋_GB2312" w:cs="仿宋_GB2312" w:hint="eastAsia"/>
          <w:color w:val="auto"/>
          <w:kern w:val="2"/>
          <w:sz w:val="32"/>
          <w:szCs w:val="32"/>
        </w:rPr>
        <w:t>坚持将习近平法治思想作为党组理论学习中心组学习与行政办公会会前学习重要内容，组织会前学法6次、专题学习2次。主持召开依法行政工作领导小组会议，听取2024年法治政府建设情况报告，部署2025年法治建设工作，研究审议《2025年度依法行政工作要点》《2025年度执法检查计划》。</w:t>
      </w:r>
    </w:p>
    <w:p w:rsidR="0024560E" w:rsidRDefault="0024560E" w:rsidP="0024560E">
      <w:pPr>
        <w:pStyle w:val="a7"/>
        <w:shd w:val="clear" w:color="auto" w:fill="FFFFFF"/>
        <w:spacing w:before="0" w:after="0" w:afterAutospacing="0" w:line="560" w:lineRule="exact"/>
        <w:ind w:firstLineChars="200" w:firstLine="632"/>
        <w:rPr>
          <w:rFonts w:ascii="楷体_GB2312" w:eastAsia="楷体_GB2312" w:hAnsi="楷体_GB2312" w:cs="楷体_GB2312" w:hint="eastAsia"/>
          <w:color w:val="auto"/>
          <w:kern w:val="2"/>
          <w:sz w:val="32"/>
          <w:szCs w:val="32"/>
        </w:rPr>
      </w:pPr>
      <w:r>
        <w:rPr>
          <w:rFonts w:ascii="楷体_GB2312" w:eastAsia="楷体_GB2312" w:hAnsi="楷体_GB2312" w:cs="楷体_GB2312" w:hint="eastAsia"/>
          <w:color w:val="auto"/>
          <w:kern w:val="2"/>
          <w:sz w:val="32"/>
          <w:szCs w:val="32"/>
        </w:rPr>
        <w:t>（二）坚持法定程序，推进政务公开</w:t>
      </w:r>
    </w:p>
    <w:p w:rsidR="0024560E" w:rsidRDefault="0024560E" w:rsidP="0024560E">
      <w:pPr>
        <w:pStyle w:val="a7"/>
        <w:shd w:val="clear" w:color="auto" w:fill="FFFFFF"/>
        <w:spacing w:before="0" w:after="0" w:afterAutospacing="0" w:line="560" w:lineRule="exact"/>
        <w:ind w:firstLineChars="231" w:firstLine="730"/>
        <w:rPr>
          <w:rFonts w:ascii="仿宋_GB2312" w:hAnsi="仿宋_GB2312" w:cs="仿宋_GB2312"/>
          <w:color w:val="auto"/>
          <w:kern w:val="2"/>
          <w:sz w:val="32"/>
          <w:szCs w:val="32"/>
        </w:rPr>
      </w:pPr>
      <w:r>
        <w:rPr>
          <w:rFonts w:ascii="仿宋_GB2312" w:hAnsi="仿宋_GB2312" w:cs="仿宋_GB2312" w:hint="eastAsia"/>
          <w:color w:val="auto"/>
          <w:kern w:val="2"/>
          <w:sz w:val="32"/>
          <w:szCs w:val="32"/>
        </w:rPr>
        <w:t>严格执行重大行政决策法定程序，坚持“三重一大”集体决策和集体讨论制度。全面推进政务公开工作，主动公开年度法治政府建设情况报告、政府信息公开工作报告、行政执法年报等信息。规范依申请公开工作，切实维护群众合法权益，在法定时限内完成依申请政府信息公开工作。</w:t>
      </w:r>
    </w:p>
    <w:p w:rsidR="0024560E" w:rsidRDefault="0024560E" w:rsidP="0024560E">
      <w:pPr>
        <w:pStyle w:val="a7"/>
        <w:shd w:val="clear" w:color="auto" w:fill="FFFFFF"/>
        <w:spacing w:before="0" w:after="0" w:afterAutospacing="0" w:line="560" w:lineRule="exact"/>
        <w:ind w:firstLineChars="200" w:firstLine="632"/>
        <w:rPr>
          <w:rFonts w:ascii="楷体_GB2312" w:eastAsia="楷体_GB2312" w:hAnsi="楷体_GB2312" w:cs="楷体_GB2312" w:hint="eastAsia"/>
          <w:color w:val="auto"/>
          <w:kern w:val="2"/>
          <w:sz w:val="32"/>
          <w:szCs w:val="32"/>
        </w:rPr>
      </w:pPr>
      <w:r>
        <w:rPr>
          <w:rFonts w:ascii="楷体_GB2312" w:eastAsia="楷体_GB2312" w:hAnsi="楷体_GB2312" w:cs="楷体_GB2312" w:hint="eastAsia"/>
          <w:color w:val="auto"/>
          <w:kern w:val="2"/>
          <w:sz w:val="32"/>
          <w:szCs w:val="32"/>
        </w:rPr>
        <w:t>（三）主动接受监督，完善考察机制</w:t>
      </w:r>
    </w:p>
    <w:p w:rsidR="0024560E" w:rsidRDefault="0024560E" w:rsidP="0024560E">
      <w:pPr>
        <w:pStyle w:val="a7"/>
        <w:shd w:val="clear" w:color="auto" w:fill="FFFFFF"/>
        <w:spacing w:before="0" w:after="0" w:afterAutospacing="0" w:line="560" w:lineRule="exact"/>
        <w:ind w:firstLineChars="231" w:firstLine="730"/>
        <w:rPr>
          <w:rFonts w:ascii="仿宋_GB2312" w:hAnsi="仿宋_GB2312" w:cs="仿宋_GB2312" w:hint="eastAsia"/>
          <w:color w:val="auto"/>
          <w:kern w:val="2"/>
          <w:sz w:val="32"/>
          <w:szCs w:val="32"/>
        </w:rPr>
      </w:pPr>
      <w:r>
        <w:rPr>
          <w:rFonts w:ascii="仿宋_GB2312" w:hAnsi="仿宋_GB2312" w:cs="仿宋_GB2312" w:hint="eastAsia"/>
          <w:color w:val="auto"/>
          <w:kern w:val="2"/>
          <w:sz w:val="32"/>
          <w:szCs w:val="32"/>
        </w:rPr>
        <w:t>坚持领导干部重大事项报告和述职述廉制度，严格领导班子成员“一岗双责”责任清单，加强党风廉政建设责任制情况的监督检查。自觉接受党内监督、人大监督等，与重点岗位人员不定期进行约谈，对潜在问题及时提醒纠正。严格落实《党政领导干部选拔任用工作条例》《公务员职务与职级并行规定》要求，完善考察机制，将法治能力作为职级晋升的必要条件，将法治素养作为干部考察的重要考量。</w:t>
      </w:r>
    </w:p>
    <w:p w:rsidR="0024560E" w:rsidRDefault="0024560E" w:rsidP="0024560E">
      <w:pPr>
        <w:pStyle w:val="a4"/>
        <w:spacing w:after="0" w:line="560" w:lineRule="exact"/>
        <w:ind w:firstLine="640"/>
        <w:rPr>
          <w:rFonts w:ascii="仿宋_GB2312" w:hAnsi="仿宋_GB2312" w:cs="仿宋_GB2312" w:hint="eastAsia"/>
        </w:rPr>
      </w:pPr>
      <w:r>
        <w:rPr>
          <w:rFonts w:ascii="黑体" w:eastAsia="黑体" w:hAnsi="黑体" w:cs="黑体" w:hint="eastAsia"/>
        </w:rPr>
        <w:t>四、2026年度推进法治政府建设的主要安排</w:t>
      </w:r>
    </w:p>
    <w:p w:rsidR="0024560E" w:rsidRDefault="0024560E" w:rsidP="0024560E">
      <w:pPr>
        <w:pStyle w:val="a7"/>
        <w:shd w:val="clear" w:color="auto" w:fill="FFFFFF"/>
        <w:spacing w:before="0" w:after="0" w:afterAutospacing="0" w:line="560" w:lineRule="exact"/>
        <w:ind w:firstLine="420"/>
        <w:rPr>
          <w:rFonts w:ascii="楷体" w:eastAsia="楷体" w:hAnsi="楷体" w:cs="楷体" w:hint="eastAsia"/>
          <w:color w:val="auto"/>
          <w:sz w:val="32"/>
          <w:szCs w:val="32"/>
          <w:shd w:val="clear" w:color="070000" w:fill="FFFFFF"/>
        </w:rPr>
      </w:pPr>
      <w:r>
        <w:rPr>
          <w:rFonts w:ascii="楷体" w:eastAsia="楷体" w:hAnsi="楷体" w:cs="楷体" w:hint="eastAsia"/>
          <w:color w:val="auto"/>
          <w:sz w:val="32"/>
          <w:szCs w:val="32"/>
          <w:shd w:val="clear" w:color="070000" w:fill="FFFFFF"/>
        </w:rPr>
        <w:t>（一）统筹推进法治建设，筑牢思想根基</w:t>
      </w:r>
    </w:p>
    <w:p w:rsidR="0024560E" w:rsidRDefault="0024560E" w:rsidP="0024560E">
      <w:pPr>
        <w:pStyle w:val="a7"/>
        <w:shd w:val="clear" w:color="auto" w:fill="FFFFFF"/>
        <w:spacing w:before="0" w:after="0" w:afterAutospacing="0" w:line="560" w:lineRule="exact"/>
        <w:ind w:firstLineChars="200" w:firstLine="632"/>
        <w:rPr>
          <w:rFonts w:ascii="仿宋" w:eastAsia="仿宋" w:hAnsi="仿宋" w:cs="仿宋"/>
          <w:color w:val="auto"/>
          <w:sz w:val="32"/>
          <w:szCs w:val="32"/>
          <w:shd w:val="clear" w:color="070000" w:fill="FFFFFF"/>
        </w:rPr>
      </w:pPr>
      <w:r>
        <w:rPr>
          <w:rFonts w:ascii="仿宋" w:eastAsia="仿宋" w:hAnsi="仿宋" w:cs="仿宋" w:hint="eastAsia"/>
          <w:color w:val="auto"/>
          <w:sz w:val="32"/>
          <w:szCs w:val="32"/>
          <w:shd w:val="clear" w:color="070000" w:fill="FFFFFF"/>
        </w:rPr>
        <w:t>坚持党对法治建设工作的全面领导，持续推动党政主要责任人切实履行法治建设第一责任人职责，加强法治政府建设与国防动员各项工作的统筹谋划。坚持会前学法制度，完善学法计划，充实学法内容，学好用好《习近平法治思想学习纲要》。</w:t>
      </w:r>
    </w:p>
    <w:p w:rsidR="0024560E" w:rsidRDefault="0024560E" w:rsidP="0024560E">
      <w:pPr>
        <w:pStyle w:val="a7"/>
        <w:shd w:val="clear" w:color="auto" w:fill="FFFFFF"/>
        <w:spacing w:before="0" w:after="0" w:afterAutospacing="0" w:line="560" w:lineRule="exact"/>
        <w:ind w:firstLineChars="200" w:firstLine="632"/>
        <w:rPr>
          <w:rFonts w:ascii="楷体" w:eastAsia="楷体" w:hAnsi="楷体" w:cs="楷体" w:hint="eastAsia"/>
          <w:color w:val="auto"/>
          <w:kern w:val="2"/>
          <w:sz w:val="32"/>
          <w:szCs w:val="32"/>
          <w:shd w:val="clear" w:color="070000" w:fill="FFFFFF"/>
        </w:rPr>
      </w:pPr>
      <w:r>
        <w:rPr>
          <w:rFonts w:ascii="楷体" w:eastAsia="楷体" w:hAnsi="楷体" w:cs="楷体" w:hint="eastAsia"/>
          <w:color w:val="auto"/>
          <w:kern w:val="2"/>
          <w:sz w:val="32"/>
          <w:szCs w:val="32"/>
          <w:shd w:val="clear" w:color="070000" w:fill="FFFFFF"/>
        </w:rPr>
        <w:t>（二）正确发挥部门职能，履行权责清单</w:t>
      </w:r>
    </w:p>
    <w:p w:rsidR="0024560E" w:rsidRDefault="0024560E" w:rsidP="0024560E">
      <w:pPr>
        <w:pStyle w:val="a7"/>
        <w:shd w:val="clear" w:color="auto" w:fill="FFFFFF"/>
        <w:spacing w:before="0" w:after="0" w:afterAutospacing="0" w:line="560" w:lineRule="exact"/>
        <w:ind w:firstLineChars="200" w:firstLine="632"/>
        <w:rPr>
          <w:rFonts w:ascii="仿宋" w:eastAsia="仿宋" w:hAnsi="仿宋" w:cs="仿宋" w:hint="eastAsia"/>
          <w:color w:val="auto"/>
          <w:kern w:val="2"/>
          <w:sz w:val="32"/>
          <w:szCs w:val="32"/>
          <w:shd w:val="clear" w:color="070000" w:fill="FFFFFF"/>
        </w:rPr>
      </w:pPr>
      <w:r>
        <w:rPr>
          <w:rFonts w:ascii="仿宋" w:eastAsia="仿宋" w:hAnsi="仿宋" w:cs="仿宋" w:hint="eastAsia"/>
          <w:color w:val="auto"/>
          <w:kern w:val="2"/>
          <w:sz w:val="32"/>
          <w:szCs w:val="32"/>
          <w:shd w:val="clear" w:color="070000" w:fill="FFFFFF"/>
        </w:rPr>
        <w:t>明确国防动员体制改革后的部门职能，聚焦国防动员主责主业，细化职责权限，健全运行机制，推动科室、中心协调配合。根据“三定”规定和法律法规出台情况，动态调整权责清单，推动权责清单同“三定”规定和政务服务事项有机衔接。</w:t>
      </w:r>
    </w:p>
    <w:p w:rsidR="0024560E" w:rsidRDefault="0024560E" w:rsidP="0024560E">
      <w:pPr>
        <w:spacing w:line="560" w:lineRule="exact"/>
        <w:ind w:firstLine="640"/>
        <w:rPr>
          <w:rFonts w:ascii="楷体" w:eastAsia="楷体" w:hAnsi="楷体" w:cs="楷体" w:hint="eastAsia"/>
          <w:shd w:val="clear" w:color="070000" w:fill="FFFFFF"/>
        </w:rPr>
      </w:pPr>
      <w:r>
        <w:rPr>
          <w:rFonts w:ascii="楷体" w:eastAsia="楷体" w:hAnsi="楷体" w:cs="楷体" w:hint="eastAsia"/>
          <w:shd w:val="clear" w:color="070000" w:fill="FFFFFF"/>
        </w:rPr>
        <w:t>（三）持续规范工作流程，落实制度要求</w:t>
      </w:r>
    </w:p>
    <w:p w:rsidR="0024560E" w:rsidRDefault="0024560E" w:rsidP="0024560E">
      <w:pPr>
        <w:spacing w:line="560" w:lineRule="exact"/>
        <w:ind w:firstLineChars="200" w:firstLine="632"/>
        <w:rPr>
          <w:rFonts w:ascii="仿宋" w:eastAsia="仿宋" w:hAnsi="仿宋" w:cs="仿宋"/>
          <w:shd w:val="clear" w:color="070000" w:fill="FFFFFF"/>
        </w:rPr>
      </w:pPr>
      <w:r>
        <w:rPr>
          <w:rFonts w:ascii="仿宋" w:eastAsia="仿宋" w:hAnsi="仿宋" w:cs="仿宋" w:hint="eastAsia"/>
          <w:shd w:val="clear" w:color="070000" w:fill="FFFFFF"/>
        </w:rPr>
        <w:t>严格履行行政规范性文件制定与管理程序，加强备案审查与定期清理工作。认真落实《</w:t>
      </w:r>
      <w:r>
        <w:rPr>
          <w:rFonts w:ascii="仿宋" w:eastAsia="仿宋" w:hAnsi="仿宋" w:cs="仿宋" w:hint="eastAsia"/>
          <w:kern w:val="0"/>
          <w:shd w:val="clear" w:color="070000" w:fill="FFFFFF"/>
        </w:rPr>
        <w:t>法律顾问工作制度</w:t>
      </w:r>
      <w:r>
        <w:rPr>
          <w:rFonts w:ascii="仿宋" w:eastAsia="仿宋" w:hAnsi="仿宋" w:cs="仿宋" w:hint="eastAsia"/>
          <w:shd w:val="clear" w:color="070000" w:fill="FFFFFF"/>
        </w:rPr>
        <w:t>》，加强对重大行政决策的合法性审查，充分发挥法律顾问在法治政府建设工作中的积极作用。严格执行行政执法公示、全过程记录与重大行政执法决定法制审核三项制度，配合开展规范涉企行政执法专项行动，做到严格规范公正文明执法。</w:t>
      </w:r>
    </w:p>
    <w:p w:rsidR="0024560E" w:rsidRDefault="0024560E" w:rsidP="0024560E">
      <w:pPr>
        <w:pStyle w:val="a7"/>
        <w:spacing w:before="0" w:after="0" w:afterAutospacing="0" w:line="560" w:lineRule="exact"/>
        <w:ind w:firstLineChars="200" w:firstLine="632"/>
        <w:rPr>
          <w:rFonts w:ascii="楷体_GB2312" w:eastAsia="楷体_GB2312" w:hAnsi="楷体_GB2312" w:cs="楷体_GB2312" w:hint="eastAsia"/>
          <w:color w:val="auto"/>
          <w:sz w:val="32"/>
          <w:szCs w:val="32"/>
          <w:shd w:val="clear" w:color="auto" w:fill="FFFFFF"/>
        </w:rPr>
      </w:pPr>
      <w:r>
        <w:rPr>
          <w:rFonts w:ascii="楷体_GB2312" w:eastAsia="楷体_GB2312" w:hAnsi="楷体_GB2312" w:cs="楷体_GB2312" w:hint="eastAsia"/>
          <w:color w:val="auto"/>
          <w:sz w:val="32"/>
          <w:szCs w:val="32"/>
          <w:shd w:val="clear" w:color="auto" w:fill="FFFFFF"/>
        </w:rPr>
        <w:t>（四）优化法治化营商环境，提升办事效能</w:t>
      </w:r>
    </w:p>
    <w:p w:rsidR="0024560E" w:rsidRDefault="0024560E" w:rsidP="0024560E">
      <w:pPr>
        <w:pStyle w:val="a7"/>
        <w:spacing w:before="0" w:after="0" w:afterAutospacing="0" w:line="560" w:lineRule="exact"/>
        <w:ind w:firstLineChars="200" w:firstLine="632"/>
        <w:rPr>
          <w:rFonts w:ascii="楷体_GB2312" w:eastAsia="楷体_GB2312" w:hAnsi="楷体_GB2312" w:cs="楷体_GB2312" w:hint="eastAsia"/>
          <w:color w:val="auto"/>
          <w:sz w:val="32"/>
          <w:szCs w:val="32"/>
          <w:shd w:val="clear" w:color="auto" w:fill="FFFFFF"/>
        </w:rPr>
      </w:pPr>
      <w:r>
        <w:rPr>
          <w:rFonts w:ascii="仿宋_GB2312" w:hAnsi="仿宋_GB2312" w:cs="仿宋_GB2312" w:hint="eastAsia"/>
          <w:sz w:val="32"/>
          <w:szCs w:val="32"/>
        </w:rPr>
        <w:t>聚焦“高效办成一件事”、“综合监管一码查”等法治优化营商环境改革工作，持续关注政策法规更新变化，确保审批合法性、精准性。推进综合监管工作，在执法检查计划制定、“无事不扰”监管、“逢查必扫”、提升非现场执法检查效能与“综合查一次”等方面持续发力。</w:t>
      </w:r>
    </w:p>
    <w:p w:rsidR="0024560E" w:rsidRDefault="0024560E" w:rsidP="0024560E">
      <w:pPr>
        <w:pStyle w:val="a7"/>
        <w:spacing w:before="0" w:after="0" w:afterAutospacing="0" w:line="560" w:lineRule="exact"/>
        <w:ind w:firstLineChars="200" w:firstLine="632"/>
        <w:rPr>
          <w:rFonts w:ascii="楷体" w:eastAsia="楷体" w:hAnsi="楷体" w:cs="楷体" w:hint="eastAsia"/>
          <w:color w:val="auto"/>
          <w:sz w:val="32"/>
          <w:szCs w:val="32"/>
          <w:shd w:val="clear" w:color="auto" w:fill="FFFFFF"/>
        </w:rPr>
      </w:pPr>
      <w:r>
        <w:rPr>
          <w:rFonts w:ascii="楷体_GB2312" w:eastAsia="楷体_GB2312" w:hAnsi="楷体_GB2312" w:cs="楷体_GB2312" w:hint="eastAsia"/>
          <w:color w:val="auto"/>
          <w:sz w:val="32"/>
          <w:szCs w:val="32"/>
          <w:shd w:val="clear" w:color="auto" w:fill="FFFFFF"/>
        </w:rPr>
        <w:t>（五）</w:t>
      </w:r>
      <w:r>
        <w:rPr>
          <w:rFonts w:ascii="楷体" w:eastAsia="楷体" w:hAnsi="楷体" w:cs="楷体" w:hint="eastAsia"/>
          <w:color w:val="auto"/>
          <w:sz w:val="32"/>
          <w:szCs w:val="32"/>
          <w:shd w:val="clear" w:color="070000" w:fill="FFFFFF"/>
        </w:rPr>
        <w:t>着力扩大</w:t>
      </w:r>
      <w:r>
        <w:rPr>
          <w:rFonts w:ascii="楷体" w:eastAsia="楷体" w:hAnsi="楷体" w:cs="楷体" w:hint="eastAsia"/>
          <w:color w:val="auto"/>
          <w:sz w:val="32"/>
          <w:szCs w:val="32"/>
          <w:shd w:val="clear" w:color="auto" w:fill="FFFFFF"/>
        </w:rPr>
        <w:t>普法范围，落实普法责任</w:t>
      </w:r>
    </w:p>
    <w:p w:rsidR="0024560E" w:rsidRDefault="0024560E" w:rsidP="0024560E">
      <w:pPr>
        <w:pStyle w:val="a7"/>
        <w:spacing w:before="0" w:after="0" w:afterAutospacing="0" w:line="560" w:lineRule="exact"/>
        <w:ind w:firstLineChars="200" w:firstLine="632"/>
        <w:rPr>
          <w:rFonts w:ascii="黑体" w:eastAsia="黑体" w:hAnsi="黑体" w:cs="黑体" w:hint="eastAsia"/>
          <w:sz w:val="32"/>
          <w:szCs w:val="32"/>
        </w:rPr>
      </w:pPr>
      <w:r>
        <w:rPr>
          <w:rFonts w:ascii="仿宋" w:eastAsia="仿宋" w:hAnsi="仿宋" w:cs="仿宋" w:hint="eastAsia"/>
          <w:color w:val="auto"/>
          <w:sz w:val="32"/>
          <w:szCs w:val="32"/>
          <w:shd w:val="clear" w:color="070000" w:fill="FFFFFF"/>
        </w:rPr>
        <w:t>坚持利用党组理论学习中心组学习等形式定期开展习近平法治思想专题学习，强化领导干部等重点对象的普法工作。把握</w:t>
      </w:r>
      <w:r>
        <w:rPr>
          <w:rFonts w:ascii="仿宋" w:eastAsia="仿宋" w:hAnsi="仿宋" w:cs="仿宋" w:hint="eastAsia"/>
          <w:color w:val="auto"/>
          <w:sz w:val="32"/>
          <w:szCs w:val="32"/>
          <w:shd w:val="clear" w:color="auto" w:fill="FFFFFF"/>
        </w:rPr>
        <w:t>全民</w:t>
      </w:r>
      <w:r>
        <w:rPr>
          <w:rFonts w:ascii="仿宋" w:eastAsia="仿宋" w:hAnsi="仿宋" w:cs="仿宋" w:hint="eastAsia"/>
          <w:color w:val="auto"/>
          <w:sz w:val="32"/>
          <w:szCs w:val="32"/>
          <w:shd w:val="clear" w:color="070000" w:fill="FFFFFF"/>
        </w:rPr>
        <w:t>国家安全教育日、全民国防教育月、宪法宣传周等关键节点，结合线上、线下多种手段，总结成功经验与先进做法，广泛开展普法活动。</w:t>
      </w:r>
    </w:p>
    <w:p w:rsidR="0024560E" w:rsidRDefault="0024560E" w:rsidP="0024560E">
      <w:pPr>
        <w:pStyle w:val="a4"/>
        <w:spacing w:after="0" w:line="560" w:lineRule="exact"/>
        <w:ind w:firstLine="640"/>
        <w:rPr>
          <w:rFonts w:ascii="黑体" w:eastAsia="黑体" w:hAnsi="黑体" w:cs="黑体" w:hint="eastAsia"/>
        </w:rPr>
      </w:pPr>
      <w:r>
        <w:rPr>
          <w:rFonts w:ascii="黑体" w:eastAsia="黑体" w:hAnsi="黑体" w:cs="黑体" w:hint="eastAsia"/>
        </w:rPr>
        <w:t>五、其他需要报告的情况</w:t>
      </w:r>
    </w:p>
    <w:p w:rsidR="0024560E" w:rsidRDefault="0024560E" w:rsidP="0024560E">
      <w:pPr>
        <w:pStyle w:val="a4"/>
        <w:spacing w:after="0" w:line="560" w:lineRule="exact"/>
        <w:ind w:firstLine="640"/>
        <w:rPr>
          <w:rFonts w:ascii="仿宋_GB2312" w:hAnsi="仿宋_GB2312" w:cs="仿宋_GB2312" w:hint="eastAsia"/>
        </w:rPr>
      </w:pPr>
      <w:r>
        <w:rPr>
          <w:rFonts w:ascii="仿宋_GB2312" w:hAnsi="仿宋_GB2312" w:cs="仿宋_GB2312" w:hint="eastAsia"/>
        </w:rPr>
        <w:t>无。</w:t>
      </w:r>
    </w:p>
    <w:p w:rsidR="0024560E" w:rsidRDefault="0024560E" w:rsidP="0024560E">
      <w:pPr>
        <w:spacing w:line="560" w:lineRule="exact"/>
      </w:pPr>
      <w:r>
        <w:rPr>
          <w:rFonts w:ascii="仿宋_GB2312" w:hAnsi="仿宋_GB2312" w:cs="仿宋_GB2312" w:hint="eastAsia"/>
        </w:rPr>
        <w:t xml:space="preserve">    特此报告。</w:t>
      </w:r>
    </w:p>
    <w:p w:rsidR="004F3B8A" w:rsidRDefault="0024560E">
      <w:bookmarkStart w:id="0" w:name="_GoBack"/>
      <w:bookmarkEnd w:id="0"/>
    </w:p>
    <w:sectPr w:rsidR="004F3B8A">
      <w:headerReference w:type="even" r:id="rId5"/>
      <w:headerReference w:type="default" r:id="rId6"/>
      <w:footerReference w:type="even" r:id="rId7"/>
      <w:footerReference w:type="default" r:id="rId8"/>
      <w:pgSz w:w="11907" w:h="16840"/>
      <w:pgMar w:top="2098" w:right="1474" w:bottom="1984" w:left="1587" w:header="851" w:footer="1746" w:gutter="0"/>
      <w:cols w:space="72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24560E">
    <w:pPr>
      <w:pStyle w:val="a5"/>
      <w:framePr w:w="8838" w:wrap="around" w:vAnchor="text" w:hAnchor="page" w:x="1589" w:y="1"/>
      <w:ind w:firstLineChars="68" w:firstLine="190"/>
      <w:rPr>
        <w:rStyle w:val="a8"/>
        <w:rFonts w:ascii="宋体" w:eastAsia="宋体" w:hAnsi="宋体" w:hint="eastAsia"/>
        <w:sz w:val="28"/>
        <w:szCs w:val="28"/>
      </w:rPr>
    </w:pPr>
    <w:r>
      <w:rPr>
        <w:rStyle w:val="a8"/>
        <w:rFonts w:ascii="宋体" w:eastAsia="宋体" w:hAnsi="宋体" w:hint="eastAsia"/>
        <w:sz w:val="28"/>
        <w:szCs w:val="28"/>
      </w:rPr>
      <w:t>—</w:t>
    </w:r>
    <w:r>
      <w:rPr>
        <w:rStyle w:val="a8"/>
        <w:rFonts w:ascii="宋体" w:eastAsia="宋体" w:hAnsi="宋体" w:hint="eastAsia"/>
        <w:sz w:val="28"/>
        <w:szCs w:val="28"/>
      </w:rPr>
      <w:t xml:space="preserve"> </w:t>
    </w:r>
    <w:r>
      <w:rPr>
        <w:rFonts w:ascii="宋体" w:eastAsia="宋体" w:hAnsi="宋体"/>
        <w:sz w:val="28"/>
        <w:szCs w:val="28"/>
      </w:rPr>
      <w:fldChar w:fldCharType="begin"/>
    </w:r>
    <w:r>
      <w:rPr>
        <w:rStyle w:val="a8"/>
        <w:rFonts w:ascii="宋体" w:eastAsia="宋体" w:hAnsi="宋体"/>
        <w:sz w:val="28"/>
        <w:szCs w:val="28"/>
      </w:rPr>
      <w:instrText xml:space="preserve">PAGE  </w:instrText>
    </w:r>
    <w:r>
      <w:rPr>
        <w:rFonts w:ascii="宋体" w:eastAsia="宋体" w:hAnsi="宋体"/>
        <w:sz w:val="28"/>
        <w:szCs w:val="28"/>
      </w:rPr>
      <w:fldChar w:fldCharType="separate"/>
    </w:r>
    <w:r>
      <w:rPr>
        <w:rStyle w:val="a8"/>
        <w:rFonts w:ascii="宋体" w:eastAsia="宋体" w:hAnsi="宋体"/>
        <w:sz w:val="28"/>
        <w:szCs w:val="28"/>
      </w:rPr>
      <w:t>2</w:t>
    </w:r>
    <w:r>
      <w:rPr>
        <w:rFonts w:ascii="宋体" w:eastAsia="宋体" w:hAnsi="宋体"/>
        <w:sz w:val="28"/>
        <w:szCs w:val="28"/>
      </w:rPr>
      <w:fldChar w:fldCharType="end"/>
    </w:r>
    <w:r>
      <w:rPr>
        <w:rStyle w:val="a8"/>
        <w:rFonts w:ascii="宋体" w:eastAsia="宋体" w:hAnsi="宋体" w:hint="eastAsia"/>
        <w:sz w:val="28"/>
        <w:szCs w:val="28"/>
      </w:rPr>
      <w:t xml:space="preserve"> </w:t>
    </w:r>
    <w:r>
      <w:rPr>
        <w:rStyle w:val="a8"/>
        <w:rFonts w:ascii="宋体" w:eastAsia="宋体" w:hAnsi="宋体" w:hint="eastAsia"/>
        <w:sz w:val="28"/>
        <w:szCs w:val="28"/>
      </w:rPr>
      <w:t>—</w:t>
    </w:r>
  </w:p>
  <w:p w:rsidR="00000000" w:rsidRDefault="0024560E">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24560E">
    <w:pPr>
      <w:pStyle w:val="a5"/>
      <w:ind w:right="36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-3810</wp:posOffset>
              </wp:positionV>
              <wp:extent cx="978535" cy="230505"/>
              <wp:effectExtent l="0" t="0" r="0" b="381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24560E">
                          <w:pPr>
                            <w:pStyle w:val="a5"/>
                            <w:ind w:firstLineChars="200" w:firstLine="560"/>
                            <w:rPr>
                              <w:rStyle w:val="a8"/>
                              <w:rFonts w:ascii="宋体" w:eastAsia="宋体" w:hAnsi="宋体" w:hint="eastAsia"/>
                              <w:sz w:val="28"/>
                              <w:szCs w:val="28"/>
                            </w:rPr>
                          </w:pPr>
                          <w:r>
                            <w:rPr>
                              <w:rStyle w:val="a8"/>
                              <w:rFonts w:ascii="宋体" w:eastAsia="宋体" w:hAnsi="宋体" w:hint="eastAsia"/>
                              <w:sz w:val="28"/>
                              <w:szCs w:val="28"/>
                            </w:rPr>
                            <w:t>—</w:t>
                          </w:r>
                          <w:r>
                            <w:rPr>
                              <w:rStyle w:val="a8"/>
                              <w:rFonts w:ascii="宋体" w:eastAsia="宋体" w:hAnsi="宋体" w:hint="eastAsia"/>
                              <w:sz w:val="28"/>
                              <w:szCs w:val="28"/>
                            </w:rPr>
                            <w:t xml:space="preserve"> </w:t>
                          </w:r>
                          <w:r>
                            <w:rPr>
                              <w:rFonts w:ascii="宋体" w:eastAsia="宋体" w:hAnsi="宋体"/>
                              <w:sz w:val="28"/>
                              <w:szCs w:val="28"/>
                            </w:rPr>
                            <w:fldChar w:fldCharType="begin"/>
                          </w:r>
                          <w:r>
                            <w:rPr>
                              <w:rStyle w:val="a8"/>
                              <w:rFonts w:ascii="宋体" w:eastAsia="宋体" w:hAnsi="宋体"/>
                              <w:sz w:val="28"/>
                              <w:szCs w:val="28"/>
                            </w:rPr>
                            <w:instrText xml:space="preserve">PAGE  </w:instrText>
                          </w:r>
                          <w:r>
                            <w:rPr>
                              <w:rFonts w:ascii="宋体" w:eastAsia="宋体" w:hAnsi="宋体"/>
                              <w:sz w:val="28"/>
                              <w:szCs w:val="28"/>
                            </w:rPr>
                            <w:fldChar w:fldCharType="separate"/>
                          </w:r>
                          <w:r>
                            <w:rPr>
                              <w:rStyle w:val="a8"/>
                              <w:rFonts w:ascii="宋体" w:eastAsia="宋体" w:hAnsi="宋体"/>
                              <w:noProof/>
                              <w:sz w:val="28"/>
                              <w:szCs w:val="28"/>
                            </w:rPr>
                            <w:t>1</w:t>
                          </w:r>
                          <w:r>
                            <w:rPr>
                              <w:rFonts w:ascii="宋体" w:eastAsia="宋体" w:hAnsi="宋体"/>
                              <w:sz w:val="28"/>
                              <w:szCs w:val="28"/>
                            </w:rPr>
                            <w:fldChar w:fldCharType="end"/>
                          </w:r>
                          <w:r>
                            <w:rPr>
                              <w:rStyle w:val="a8"/>
                              <w:rFonts w:ascii="宋体" w:eastAsia="宋体" w:hAnsi="宋体" w:hint="eastAsia"/>
                              <w:sz w:val="28"/>
                              <w:szCs w:val="28"/>
                            </w:rPr>
                            <w:t xml:space="preserve"> </w:t>
                          </w:r>
                          <w:r>
                            <w:rPr>
                              <w:rStyle w:val="a8"/>
                              <w:rFonts w:ascii="宋体" w:eastAsia="宋体" w:hAnsi="宋体" w:hint="eastAsia"/>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25.85pt;margin-top:-.3pt;width:77.05pt;height:18.1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" filled="f" stroked="f">
              <v:textbox style="mso-fit-shape-to-text:t" inset="0,0,0,0">
                <w:txbxContent>
                  <w:p w:rsidR="00000000" w:rsidRDefault="0024560E">
                    <w:pPr>
                      <w:pStyle w:val="a5"/>
                      <w:ind w:firstLineChars="200" w:firstLine="560"/>
                      <w:rPr>
                        <w:rStyle w:val="a8"/>
                        <w:rFonts w:ascii="宋体" w:eastAsia="宋体" w:hAnsi="宋体" w:hint="eastAsia"/>
                        <w:sz w:val="28"/>
                        <w:szCs w:val="28"/>
                      </w:rPr>
                    </w:pPr>
                    <w:r>
                      <w:rPr>
                        <w:rStyle w:val="a8"/>
                        <w:rFonts w:ascii="宋体" w:eastAsia="宋体" w:hAnsi="宋体" w:hint="eastAsia"/>
                        <w:sz w:val="28"/>
                        <w:szCs w:val="28"/>
                      </w:rPr>
                      <w:t>—</w:t>
                    </w:r>
                    <w:r>
                      <w:rPr>
                        <w:rStyle w:val="a8"/>
                        <w:rFonts w:ascii="宋体" w:eastAsia="宋体" w:hAnsi="宋体" w:hint="eastAsia"/>
                        <w:sz w:val="28"/>
                        <w:szCs w:val="28"/>
                      </w:rPr>
                      <w:t xml:space="preserve"> </w:t>
                    </w:r>
                    <w:r>
                      <w:rPr>
                        <w:rFonts w:ascii="宋体" w:eastAsia="宋体" w:hAnsi="宋体"/>
                        <w:sz w:val="28"/>
                        <w:szCs w:val="28"/>
                      </w:rPr>
                      <w:fldChar w:fldCharType="begin"/>
                    </w:r>
                    <w:r>
                      <w:rPr>
                        <w:rStyle w:val="a8"/>
                        <w:rFonts w:ascii="宋体" w:eastAsia="宋体" w:hAnsi="宋体"/>
                        <w:sz w:val="28"/>
                        <w:szCs w:val="28"/>
                      </w:rPr>
                      <w:instrText xml:space="preserve">PAGE  </w:instrText>
                    </w:r>
                    <w:r>
                      <w:rPr>
                        <w:rFonts w:ascii="宋体" w:eastAsia="宋体" w:hAnsi="宋体"/>
                        <w:sz w:val="28"/>
                        <w:szCs w:val="28"/>
                      </w:rPr>
                      <w:fldChar w:fldCharType="separate"/>
                    </w:r>
                    <w:r>
                      <w:rPr>
                        <w:rStyle w:val="a8"/>
                        <w:rFonts w:ascii="宋体" w:eastAsia="宋体" w:hAnsi="宋体"/>
                        <w:noProof/>
                        <w:sz w:val="28"/>
                        <w:szCs w:val="28"/>
                      </w:rPr>
                      <w:t>1</w:t>
                    </w:r>
                    <w:r>
                      <w:rPr>
                        <w:rFonts w:ascii="宋体" w:eastAsia="宋体" w:hAnsi="宋体"/>
                        <w:sz w:val="28"/>
                        <w:szCs w:val="28"/>
                      </w:rPr>
                      <w:fldChar w:fldCharType="end"/>
                    </w:r>
                    <w:r>
                      <w:rPr>
                        <w:rStyle w:val="a8"/>
                        <w:rFonts w:ascii="宋体" w:eastAsia="宋体" w:hAnsi="宋体" w:hint="eastAsia"/>
                        <w:sz w:val="28"/>
                        <w:szCs w:val="28"/>
                      </w:rPr>
                      <w:t xml:space="preserve"> </w:t>
                    </w:r>
                    <w:r>
                      <w:rPr>
                        <w:rStyle w:val="a8"/>
                        <w:rFonts w:ascii="宋体" w:eastAsia="宋体" w:hAnsi="宋体" w:hint="eastAsia"/>
                        <w:sz w:val="28"/>
                        <w:szCs w:val="28"/>
                      </w:rPr>
                      <w:t>—</w:t>
                    </w:r>
                  </w:p>
                </w:txbxContent>
              </v:textbox>
              <w10:wrap anchorx="margin"/>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24560E">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24560E">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560E"/>
    <w:rsid w:val="0024560E"/>
    <w:rsid w:val="006D56E8"/>
    <w:rsid w:val="00A13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4560E"/>
    <w:pPr>
      <w:widowControl w:val="0"/>
      <w:jc w:val="both"/>
    </w:pPr>
    <w:rPr>
      <w:rFonts w:ascii="Times New Roman" w:eastAsia="仿宋_GB2312" w:hAnsi="Times New Roman" w:cs="Times New Roman"/>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next w:val="a"/>
    <w:link w:val="Char"/>
    <w:qFormat/>
    <w:rsid w:val="0024560E"/>
    <w:pPr>
      <w:spacing w:after="120"/>
    </w:pPr>
  </w:style>
  <w:style w:type="character" w:customStyle="1" w:styleId="Char">
    <w:name w:val="正文文本 Char"/>
    <w:basedOn w:val="a1"/>
    <w:link w:val="a4"/>
    <w:rsid w:val="0024560E"/>
    <w:rPr>
      <w:rFonts w:ascii="Times New Roman" w:eastAsia="仿宋_GB2312" w:hAnsi="Times New Roman" w:cs="Times New Roman"/>
      <w:sz w:val="32"/>
      <w:szCs w:val="32"/>
    </w:rPr>
  </w:style>
  <w:style w:type="paragraph" w:styleId="a5">
    <w:name w:val="footer"/>
    <w:basedOn w:val="a"/>
    <w:link w:val="Char0"/>
    <w:uiPriority w:val="99"/>
    <w:unhideWhenUsed/>
    <w:qFormat/>
    <w:rsid w:val="0024560E"/>
    <w:pPr>
      <w:tabs>
        <w:tab w:val="center" w:pos="4153"/>
        <w:tab w:val="right" w:pos="8306"/>
      </w:tabs>
      <w:snapToGrid w:val="0"/>
      <w:jc w:val="left"/>
    </w:pPr>
    <w:rPr>
      <w:sz w:val="18"/>
      <w:szCs w:val="18"/>
    </w:rPr>
  </w:style>
  <w:style w:type="character" w:customStyle="1" w:styleId="Char0">
    <w:name w:val="页脚 Char"/>
    <w:basedOn w:val="a1"/>
    <w:link w:val="a5"/>
    <w:uiPriority w:val="99"/>
    <w:rsid w:val="0024560E"/>
    <w:rPr>
      <w:rFonts w:ascii="Times New Roman" w:eastAsia="仿宋_GB2312" w:hAnsi="Times New Roman" w:cs="Times New Roman"/>
      <w:sz w:val="18"/>
      <w:szCs w:val="18"/>
    </w:rPr>
  </w:style>
  <w:style w:type="paragraph" w:styleId="a6">
    <w:name w:val="header"/>
    <w:basedOn w:val="a"/>
    <w:link w:val="Char1"/>
    <w:uiPriority w:val="99"/>
    <w:unhideWhenUsed/>
    <w:qFormat/>
    <w:rsid w:val="0024560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6"/>
    <w:uiPriority w:val="99"/>
    <w:rsid w:val="0024560E"/>
    <w:rPr>
      <w:rFonts w:ascii="Times New Roman" w:eastAsia="仿宋_GB2312" w:hAnsi="Times New Roman" w:cs="Times New Roman"/>
      <w:sz w:val="18"/>
      <w:szCs w:val="18"/>
    </w:rPr>
  </w:style>
  <w:style w:type="paragraph" w:styleId="a7">
    <w:name w:val="Normal (Web)"/>
    <w:basedOn w:val="a"/>
    <w:qFormat/>
    <w:rsid w:val="0024560E"/>
    <w:pPr>
      <w:widowControl/>
      <w:spacing w:before="150" w:after="100" w:afterAutospacing="1"/>
      <w:ind w:firstLine="480"/>
    </w:pPr>
    <w:rPr>
      <w:rFonts w:ascii="宋体" w:hAnsi="宋体"/>
      <w:color w:val="000000"/>
      <w:kern w:val="0"/>
      <w:sz w:val="23"/>
      <w:szCs w:val="23"/>
    </w:rPr>
  </w:style>
  <w:style w:type="character" w:styleId="a8">
    <w:name w:val="page number"/>
    <w:basedOn w:val="a1"/>
    <w:qFormat/>
    <w:rsid w:val="0024560E"/>
  </w:style>
  <w:style w:type="paragraph" w:styleId="a0">
    <w:name w:val="Normal Indent"/>
    <w:basedOn w:val="a"/>
    <w:uiPriority w:val="99"/>
    <w:semiHidden/>
    <w:unhideWhenUsed/>
    <w:rsid w:val="0024560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4560E"/>
    <w:pPr>
      <w:widowControl w:val="0"/>
      <w:jc w:val="both"/>
    </w:pPr>
    <w:rPr>
      <w:rFonts w:ascii="Times New Roman" w:eastAsia="仿宋_GB2312" w:hAnsi="Times New Roman" w:cs="Times New Roman"/>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next w:val="a"/>
    <w:link w:val="Char"/>
    <w:qFormat/>
    <w:rsid w:val="0024560E"/>
    <w:pPr>
      <w:spacing w:after="120"/>
    </w:pPr>
  </w:style>
  <w:style w:type="character" w:customStyle="1" w:styleId="Char">
    <w:name w:val="正文文本 Char"/>
    <w:basedOn w:val="a1"/>
    <w:link w:val="a4"/>
    <w:rsid w:val="0024560E"/>
    <w:rPr>
      <w:rFonts w:ascii="Times New Roman" w:eastAsia="仿宋_GB2312" w:hAnsi="Times New Roman" w:cs="Times New Roman"/>
      <w:sz w:val="32"/>
      <w:szCs w:val="32"/>
    </w:rPr>
  </w:style>
  <w:style w:type="paragraph" w:styleId="a5">
    <w:name w:val="footer"/>
    <w:basedOn w:val="a"/>
    <w:link w:val="Char0"/>
    <w:uiPriority w:val="99"/>
    <w:unhideWhenUsed/>
    <w:qFormat/>
    <w:rsid w:val="0024560E"/>
    <w:pPr>
      <w:tabs>
        <w:tab w:val="center" w:pos="4153"/>
        <w:tab w:val="right" w:pos="8306"/>
      </w:tabs>
      <w:snapToGrid w:val="0"/>
      <w:jc w:val="left"/>
    </w:pPr>
    <w:rPr>
      <w:sz w:val="18"/>
      <w:szCs w:val="18"/>
    </w:rPr>
  </w:style>
  <w:style w:type="character" w:customStyle="1" w:styleId="Char0">
    <w:name w:val="页脚 Char"/>
    <w:basedOn w:val="a1"/>
    <w:link w:val="a5"/>
    <w:uiPriority w:val="99"/>
    <w:rsid w:val="0024560E"/>
    <w:rPr>
      <w:rFonts w:ascii="Times New Roman" w:eastAsia="仿宋_GB2312" w:hAnsi="Times New Roman" w:cs="Times New Roman"/>
      <w:sz w:val="18"/>
      <w:szCs w:val="18"/>
    </w:rPr>
  </w:style>
  <w:style w:type="paragraph" w:styleId="a6">
    <w:name w:val="header"/>
    <w:basedOn w:val="a"/>
    <w:link w:val="Char1"/>
    <w:uiPriority w:val="99"/>
    <w:unhideWhenUsed/>
    <w:qFormat/>
    <w:rsid w:val="0024560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6"/>
    <w:uiPriority w:val="99"/>
    <w:rsid w:val="0024560E"/>
    <w:rPr>
      <w:rFonts w:ascii="Times New Roman" w:eastAsia="仿宋_GB2312" w:hAnsi="Times New Roman" w:cs="Times New Roman"/>
      <w:sz w:val="18"/>
      <w:szCs w:val="18"/>
    </w:rPr>
  </w:style>
  <w:style w:type="paragraph" w:styleId="a7">
    <w:name w:val="Normal (Web)"/>
    <w:basedOn w:val="a"/>
    <w:qFormat/>
    <w:rsid w:val="0024560E"/>
    <w:pPr>
      <w:widowControl/>
      <w:spacing w:before="150" w:after="100" w:afterAutospacing="1"/>
      <w:ind w:firstLine="480"/>
    </w:pPr>
    <w:rPr>
      <w:rFonts w:ascii="宋体" w:hAnsi="宋体"/>
      <w:color w:val="000000"/>
      <w:kern w:val="0"/>
      <w:sz w:val="23"/>
      <w:szCs w:val="23"/>
    </w:rPr>
  </w:style>
  <w:style w:type="character" w:styleId="a8">
    <w:name w:val="page number"/>
    <w:basedOn w:val="a1"/>
    <w:qFormat/>
    <w:rsid w:val="0024560E"/>
  </w:style>
  <w:style w:type="paragraph" w:styleId="a0">
    <w:name w:val="Normal Indent"/>
    <w:basedOn w:val="a"/>
    <w:uiPriority w:val="99"/>
    <w:semiHidden/>
    <w:unhideWhenUsed/>
    <w:rsid w:val="0024560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373</Words>
  <Characters>2128</Characters>
  <Application>Microsoft Office Word</Application>
  <DocSecurity>0</DocSecurity>
  <Lines>17</Lines>
  <Paragraphs>4</Paragraphs>
  <ScaleCrop>false</ScaleCrop>
  <Company/>
  <LinksUpToDate>false</LinksUpToDate>
  <CharactersWithSpaces>2497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XYSD</dc:creator>
  <cp:lastModifiedBy>XYSD</cp:lastModifiedBy>
  <cp:revision>1</cp:revision>
  <dcterms:created xsi:type="dcterms:W3CDTF">2026-03-13T08:31:00Z</dcterms:created>
  <dcterms:modified xsi:type="dcterms:W3CDTF">2026-03-13T08:32:00Z</dcterms:modified>
</cp:coreProperties>
</file>