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highlight w:val="none"/>
          <w:lang w:val="en-US" w:eastAsia="zh-CN"/>
        </w:rPr>
        <w:t>北京市门头沟区国防动员办公室20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val="en-US" w:eastAsia="zh-CN"/>
        </w:rPr>
        <w:t>24年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jc w:val="center"/>
        <w:textAlignment w:val="auto"/>
        <w:rPr>
          <w:rFonts w:hint="eastAsia" w:ascii="Arial" w:hAnsi="Arial" w:eastAsia="仿宋_GB2312" w:cs="Arial"/>
          <w:sz w:val="32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val="en-US" w:eastAsia="zh-CN"/>
        </w:rPr>
        <w:t>法治政府建设情况报告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bookmarkStart w:id="0" w:name="_GoBack"/>
      <w:bookmarkEnd w:id="0"/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right="0" w:rightChars="0" w:firstLine="64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区国动办坚持以习近平新时代中国特色社会主义思想为指导，全面贯彻落实党的二十大和二十届二中、三中全会精神，紧紧围绕区委、区政府中心工作，聚焦国防动员和人民防空职能使命，切实把思想和行动统一到依法推进国防动员建设发展上来，扎实推进区国动办法治政府建设工作，现将有关情况报告如下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right="0" w:rightChars="0" w:firstLine="640"/>
        <w:jc w:val="both"/>
        <w:textAlignment w:val="auto"/>
        <w:outlineLvl w:val="9"/>
        <w:rPr>
          <w:rFonts w:hint="eastAsia" w:ascii="黑体" w:hAnsi="黑体" w:eastAsia="黑体" w:cs="黑体"/>
          <w:sz w:val="32"/>
          <w:szCs w:val="32"/>
          <w:highlight w:val="none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  <w:t>一、2024年度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推进法治政府建设的主要举措和成效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right="0" w:rightChars="0" w:firstLine="640"/>
        <w:jc w:val="both"/>
        <w:textAlignment w:val="auto"/>
        <w:outlineLvl w:val="9"/>
        <w:rPr>
          <w:rFonts w:hint="eastAsia" w:ascii="楷体_GB2312" w:hAnsi="楷体_GB2312" w:eastAsia="楷体_GB2312" w:cs="楷体_GB2312"/>
          <w:sz w:val="32"/>
          <w:szCs w:val="32"/>
          <w:highlight w:val="none"/>
          <w:lang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highlight w:val="none"/>
          <w:lang w:eastAsia="zh-CN"/>
        </w:rPr>
        <w:t>（一）严格执法标准，强化工作监督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 xml:space="preserve">    根据市国动办关于行政检查的相关要求，提升行政检查规范性，开展行政检查283处次，完成行政处罚2件。坚持领导干部述职述廉制度和重大事项报告制度,严格领导班子成员“一岗双责”责任清单,加强对分管范围内落实党风廉政建设责任制情况的监督检查，与重点部门负责人不定期进行约谈，对存在的苗头性、倾向性问题及时提醒和纠正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right="0" w:rightChars="0" w:firstLine="640"/>
        <w:jc w:val="both"/>
        <w:textAlignment w:val="auto"/>
        <w:outlineLvl w:val="9"/>
        <w:rPr>
          <w:rFonts w:hint="eastAsia" w:ascii="楷体_GB2312" w:hAnsi="楷体_GB2312" w:eastAsia="楷体_GB2312" w:cs="楷体_GB2312"/>
          <w:sz w:val="32"/>
          <w:szCs w:val="32"/>
          <w:highlight w:val="none"/>
          <w:lang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highlight w:val="none"/>
          <w:lang w:eastAsia="zh-CN"/>
        </w:rPr>
        <w:t>(二）提升执法效率，优化营商环境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right="0" w:rightChars="0" w:firstLine="640"/>
        <w:jc w:val="both"/>
        <w:textAlignment w:val="auto"/>
        <w:outlineLvl w:val="9"/>
        <w:rPr>
          <w:rFonts w:hint="eastAsia" w:ascii="仿宋" w:hAnsi="仿宋" w:eastAsia="仿宋" w:cs="仿宋"/>
          <w:color w:val="00000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color w:val="000000"/>
          <w:kern w:val="2"/>
          <w:sz w:val="32"/>
          <w:szCs w:val="32"/>
          <w:highlight w:val="none"/>
          <w:lang w:val="en-US" w:eastAsia="zh-CN" w:bidi="ar-SA"/>
        </w:rPr>
        <w:t>贯彻落实《优化营商环境条例》，压缩审批时限为当日即办，着力提升办事时效。扩大人防工程平时使用规模，承办人防工程平时使用许可89件，承办“多规合一”平台人防工程建设审批39件，开展人防工程验收备案10件。落实综合监管一体化监管要求，建立人防领域“无事不扰”企业清单，提高非现场监管比例，做到“执法不扰企，监管不缺位”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right="0" w:rightChars="0" w:firstLine="640"/>
        <w:jc w:val="both"/>
        <w:textAlignment w:val="auto"/>
        <w:outlineLvl w:val="9"/>
        <w:rPr>
          <w:rFonts w:hint="eastAsia" w:ascii="楷体_GB2312" w:hAnsi="楷体_GB2312" w:eastAsia="楷体_GB2312" w:cs="楷体_GB2312"/>
          <w:sz w:val="32"/>
          <w:szCs w:val="32"/>
          <w:highlight w:val="none"/>
          <w:lang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highlight w:val="none"/>
          <w:lang w:eastAsia="zh-CN"/>
        </w:rPr>
        <w:t>（三）优化办理流程，化解矛盾纠纷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right="0" w:rightChars="0" w:firstLine="640"/>
        <w:jc w:val="both"/>
        <w:textAlignment w:val="auto"/>
        <w:outlineLvl w:val="9"/>
        <w:rPr>
          <w:rFonts w:hint="eastAsia" w:ascii="仿宋" w:hAnsi="仿宋" w:eastAsia="仿宋" w:cs="仿宋"/>
          <w:color w:val="00000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color w:val="000000"/>
          <w:kern w:val="2"/>
          <w:sz w:val="32"/>
          <w:szCs w:val="32"/>
          <w:highlight w:val="none"/>
          <w:lang w:val="en-US" w:eastAsia="zh-CN" w:bidi="ar-SA"/>
        </w:rPr>
        <w:t>深入分析研究“12345”等途径反馈的焦点问题，针对人防工程使用等矛盾集中点，加强相关政策解读，积极解决问题，有效化解矛盾，确保按期办结。扎实推进“未诉先办”，推进主动治理，按照“人防七天工作法”，健全“日调度周分析月总结”制度。严格落实“诉访分离”工作，营造和谐稳定社会环境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right="0" w:rightChars="0" w:firstLine="640"/>
        <w:jc w:val="both"/>
        <w:textAlignment w:val="auto"/>
        <w:outlineLvl w:val="9"/>
        <w:rPr>
          <w:rFonts w:hint="eastAsia" w:ascii="楷体_GB2312" w:hAnsi="楷体_GB2312" w:eastAsia="楷体_GB2312" w:cs="楷体_GB2312"/>
          <w:sz w:val="32"/>
          <w:szCs w:val="32"/>
          <w:highlight w:val="none"/>
          <w:lang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highlight w:val="none"/>
          <w:lang w:eastAsia="zh-CN"/>
        </w:rPr>
        <w:t>（四）推进政务公开，及时发布信息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right="0" w:rightChars="0" w:firstLine="640"/>
        <w:jc w:val="both"/>
        <w:textAlignment w:val="auto"/>
        <w:outlineLvl w:val="9"/>
        <w:rPr>
          <w:rFonts w:hint="eastAsia" w:ascii="仿宋" w:hAnsi="仿宋" w:eastAsia="仿宋" w:cs="仿宋"/>
          <w:color w:val="00000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color w:val="000000"/>
          <w:kern w:val="2"/>
          <w:sz w:val="32"/>
          <w:szCs w:val="32"/>
          <w:highlight w:val="none"/>
          <w:lang w:val="en-US" w:eastAsia="zh-CN" w:bidi="ar-SA"/>
        </w:rPr>
        <w:t>严格落实《政府信息公开条例》规定，深化重点领域信息公开，主动向社会公开年度法治政府建设情况及行政许可、行政处罚结果等基本信息。加强政策解读宣传，同步公开制定、修改的规范性文件及其解读文件，正确引导社会预期，积极回应群众关切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right="0" w:rightChars="0" w:firstLine="640"/>
        <w:jc w:val="both"/>
        <w:textAlignment w:val="auto"/>
        <w:outlineLvl w:val="9"/>
        <w:rPr>
          <w:rFonts w:hint="eastAsia" w:ascii="楷体_GB2312" w:hAnsi="楷体_GB2312" w:eastAsia="楷体_GB2312" w:cs="楷体_GB2312"/>
          <w:sz w:val="32"/>
          <w:szCs w:val="32"/>
          <w:highlight w:val="none"/>
          <w:lang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highlight w:val="none"/>
          <w:lang w:eastAsia="zh-CN"/>
        </w:rPr>
        <w:t>（五）强化宣传教育，积极营造氛围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right="0" w:rightChars="0" w:firstLine="640"/>
        <w:jc w:val="both"/>
        <w:textAlignment w:val="auto"/>
        <w:outlineLvl w:val="9"/>
        <w:rPr>
          <w:rFonts w:hint="eastAsia" w:ascii="仿宋" w:hAnsi="仿宋" w:eastAsia="仿宋" w:cs="仿宋"/>
          <w:color w:val="00000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color w:val="000000"/>
          <w:kern w:val="2"/>
          <w:sz w:val="32"/>
          <w:szCs w:val="32"/>
          <w:highlight w:val="none"/>
          <w:lang w:val="en-US" w:eastAsia="zh-CN" w:bidi="ar-SA"/>
        </w:rPr>
        <w:t>落实党组理论学习中心组、领导班子会前学法制度，组织领导干部学习《习近平法治思想》《行政复议法》《国防动员法》等会前学法6次，举办领导干部法治宣传讲座2次，有效增强法治政府建设领悟力和执行力，不断提升运用法治思维和法治方式深化改革、推动工作的能力。落实“谁执法谁普法”责任制，先后组织《北京市人民防空条例》和宪法系列宣传活动，组织开展国防、人防法规宣传8次，“八五”普法取得新成效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right="0" w:rightChars="0" w:firstLine="640"/>
        <w:jc w:val="both"/>
        <w:textAlignment w:val="auto"/>
        <w:outlineLvl w:val="9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二、2024年度推进法治政府建设存在的不足和原因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right="0" w:rightChars="0" w:firstLine="640"/>
        <w:jc w:val="both"/>
        <w:textAlignment w:val="auto"/>
        <w:outlineLvl w:val="9"/>
        <w:rPr>
          <w:rFonts w:hint="eastAsia" w:ascii="仿宋" w:hAnsi="仿宋" w:eastAsia="仿宋" w:cs="仿宋"/>
          <w:color w:val="00000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color w:val="000000"/>
          <w:kern w:val="2"/>
          <w:sz w:val="32"/>
          <w:szCs w:val="32"/>
          <w:highlight w:val="none"/>
          <w:lang w:val="en-US" w:eastAsia="zh-CN" w:bidi="ar-SA"/>
        </w:rPr>
        <w:t>在区委区政府的正确领导下，在区委全面依法治区委员会办公室的指导下，区国动办党组法治建设工作取得了一定成效, 但在实际工作中还存在一些困难和不足。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right="0" w:rightChars="0" w:firstLine="640"/>
        <w:jc w:val="both"/>
        <w:textAlignment w:val="auto"/>
        <w:outlineLvl w:val="9"/>
        <w:rPr>
          <w:rFonts w:hint="eastAsia" w:ascii="仿宋" w:hAnsi="仿宋" w:eastAsia="仿宋" w:cs="仿宋"/>
          <w:color w:val="00000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color w:val="000000"/>
          <w:kern w:val="2"/>
          <w:sz w:val="32"/>
          <w:szCs w:val="32"/>
          <w:highlight w:val="none"/>
          <w:lang w:val="en-US" w:eastAsia="zh-CN" w:bidi="ar-SA"/>
        </w:rPr>
        <w:t>一是执法监管效能仍需提升。需要更为积极主动落实综合监管一体化要求，完善人防领域“无事不扰”企业清单，有序开展“一码检查”工作，严格推进非现场监管，强化信息手段支撑，助力优化法治化营商环境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right="0" w:rightChars="0" w:firstLine="640"/>
        <w:jc w:val="both"/>
        <w:textAlignment w:val="auto"/>
        <w:outlineLvl w:val="9"/>
        <w:rPr>
          <w:rFonts w:hint="eastAsia" w:ascii="仿宋" w:hAnsi="仿宋" w:eastAsia="仿宋" w:cs="仿宋"/>
          <w:color w:val="00000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color w:val="000000"/>
          <w:kern w:val="2"/>
          <w:sz w:val="32"/>
          <w:szCs w:val="32"/>
          <w:highlight w:val="none"/>
          <w:lang w:val="en-US" w:eastAsia="zh-CN" w:bidi="ar-SA"/>
        </w:rPr>
        <w:t>二是法宣辐射范围仍需扩大。“七进入”宣传活动已成功走入机关、校园、社区、企业、农村、军队与网络，但活动开展规模不大，宣教场馆等优质资源利用不足，普及受众范围有限，日后需要继续在扩展国防动员法治宣传影响力方面下功夫，创新法治宣传模式，扩大法治宣传声量，提升场馆利用效率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right="0" w:rightChars="0" w:firstLine="640"/>
        <w:jc w:val="both"/>
        <w:textAlignment w:val="auto"/>
        <w:outlineLvl w:val="9"/>
        <w:rPr>
          <w:rFonts w:hint="eastAsia" w:ascii="仿宋" w:hAnsi="仿宋" w:eastAsia="仿宋" w:cs="仿宋"/>
          <w:color w:val="00000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color w:val="000000"/>
          <w:kern w:val="2"/>
          <w:sz w:val="32"/>
          <w:szCs w:val="32"/>
          <w:highlight w:val="none"/>
          <w:lang w:val="en-US" w:eastAsia="zh-CN" w:bidi="ar-SA"/>
        </w:rPr>
        <w:t>三是法治素养能力仍需增强。目前我办学法方式仍以办公会会前学习、党组会专题学习等传统方式为主，形式较为单一，效果难以体现，缺乏专题讲座、主题培训等针对性较强的学法活动，干部职工学法积极性有待提升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right="0" w:rightChars="0" w:firstLine="640"/>
        <w:jc w:val="both"/>
        <w:textAlignment w:val="auto"/>
        <w:outlineLvl w:val="9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  <w:t>三、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2024年度党政主要负责人履行推进法治建设第一责任人职责，加强法治政府建设的有关情况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right="0" w:rightChars="0" w:firstLine="640"/>
        <w:jc w:val="both"/>
        <w:textAlignment w:val="auto"/>
        <w:outlineLvl w:val="9"/>
        <w:rPr>
          <w:rFonts w:hint="eastAsia" w:ascii="楷体_GB2312" w:hAnsi="楷体_GB2312" w:eastAsia="楷体_GB2312" w:cs="楷体_GB2312"/>
          <w:sz w:val="32"/>
          <w:szCs w:val="32"/>
          <w:highlight w:val="none"/>
          <w:lang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highlight w:val="none"/>
          <w:lang w:eastAsia="zh-CN"/>
        </w:rPr>
        <w:t>（一）强化组织领导，坚持统筹谋划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right="0" w:rightChars="0" w:firstLine="640"/>
        <w:jc w:val="both"/>
        <w:textAlignment w:val="auto"/>
        <w:outlineLvl w:val="9"/>
        <w:rPr>
          <w:rFonts w:hint="eastAsia" w:ascii="仿宋" w:hAnsi="仿宋" w:eastAsia="仿宋" w:cs="仿宋"/>
          <w:color w:val="00000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color w:val="000000"/>
          <w:kern w:val="2"/>
          <w:sz w:val="32"/>
          <w:szCs w:val="32"/>
          <w:highlight w:val="none"/>
          <w:lang w:val="en-US" w:eastAsia="zh-CN" w:bidi="ar-SA"/>
        </w:rPr>
        <w:t>召开依法行政工作领导小组会议，分析2024年度依法行政考核情况，部署2025年度法治政府建设各项工作，做到法治建设重要工作亲自部署、重大问题亲自过问、重点环节亲自协调、重要任务亲自督办，将部门各项工作纳入法治化轨道。加强顶层设计，制定区国动办《依法行政工作要点》《执法检查计划》《宣传教育工作要点》等，明确责任科室，确保任务到人，实现各项重点任务顺利推进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right="0" w:rightChars="0" w:firstLine="640"/>
        <w:jc w:val="both"/>
        <w:textAlignment w:val="auto"/>
        <w:outlineLvl w:val="9"/>
        <w:rPr>
          <w:rFonts w:hint="eastAsia" w:ascii="楷体_GB2312" w:hAnsi="楷体_GB2312" w:eastAsia="楷体_GB2312" w:cs="楷体_GB2312"/>
          <w:sz w:val="32"/>
          <w:szCs w:val="32"/>
          <w:highlight w:val="none"/>
          <w:lang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highlight w:val="none"/>
          <w:lang w:eastAsia="zh-CN"/>
        </w:rPr>
        <w:t>（二）明确用人导向，壮大执法队伍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right="0" w:rightChars="0" w:firstLine="640"/>
        <w:jc w:val="both"/>
        <w:textAlignment w:val="auto"/>
        <w:outlineLvl w:val="9"/>
        <w:rPr>
          <w:rFonts w:hint="eastAsia" w:ascii="仿宋" w:hAnsi="仿宋" w:eastAsia="仿宋" w:cs="仿宋"/>
          <w:color w:val="00000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color w:val="000000"/>
          <w:kern w:val="2"/>
          <w:sz w:val="32"/>
          <w:szCs w:val="32"/>
          <w:highlight w:val="none"/>
          <w:lang w:val="en-US" w:eastAsia="zh-CN" w:bidi="ar-SA"/>
        </w:rPr>
        <w:t>强化法治建设工作的督促和考核，将法治能力素养作为职级晋升、评先评优的必要条件。充分发挥党内法规规章指导作用，严格落实《党政领导干部选拔任用工作条例》《公务员职务与职级并行规定》要求，完善考察机制，把“法治素养好、依法办事能力强”作为干部考察的重要考量标准，引导各级领导干部强化遵法、学法、守法、用法意识。加强执法队伍建设，2024年调动、录用公务员2名并考取执法资格证，充实我办执法力量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right="0" w:rightChars="0" w:firstLine="640"/>
        <w:jc w:val="both"/>
        <w:textAlignment w:val="auto"/>
        <w:outlineLvl w:val="9"/>
        <w:rPr>
          <w:rFonts w:hint="eastAsia" w:ascii="楷体_GB2312" w:hAnsi="楷体_GB2312" w:eastAsia="楷体_GB2312" w:cs="楷体_GB2312"/>
          <w:sz w:val="32"/>
          <w:szCs w:val="32"/>
          <w:highlight w:val="none"/>
          <w:lang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highlight w:val="none"/>
          <w:lang w:eastAsia="zh-CN"/>
        </w:rPr>
        <w:t>（三）提升决策水平，落实审核制度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right="0" w:rightChars="0" w:firstLine="640"/>
        <w:jc w:val="both"/>
        <w:textAlignment w:val="auto"/>
        <w:outlineLvl w:val="9"/>
        <w:rPr>
          <w:rFonts w:hint="eastAsia" w:ascii="仿宋" w:hAnsi="仿宋" w:eastAsia="仿宋" w:cs="仿宋"/>
          <w:color w:val="00000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color w:val="000000"/>
          <w:kern w:val="2"/>
          <w:sz w:val="32"/>
          <w:szCs w:val="32"/>
          <w:highlight w:val="none"/>
          <w:lang w:val="en-US" w:eastAsia="zh-CN" w:bidi="ar-SA"/>
        </w:rPr>
        <w:t>完善重大行政决策机制，坚持“三重一大”集体决策和集体讨论制度，对政策法规、发展规划、重大决策等事项100%履行重大决策程序，确保实现民主科学决策。严格落实合法性审核和公平性竞争审查制度，对规范性文件、行政处罚案件、各类协议和招标文件履行合法性审核程序，并注重发挥法律顾问在提供法律意见、防范法律风险等方面的积极作用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right="0" w:rightChars="0" w:firstLine="64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四、2025年度推进法治政府建设的主要安排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420"/>
        <w:jc w:val="both"/>
        <w:textAlignment w:val="auto"/>
        <w:outlineLvl w:val="9"/>
        <w:rPr>
          <w:rFonts w:hint="eastAsia" w:ascii="楷体_GB2312" w:hAnsi="楷体_GB2312" w:eastAsia="楷体_GB2312" w:cs="楷体_GB2312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kern w:val="2"/>
          <w:sz w:val="32"/>
          <w:szCs w:val="32"/>
          <w:highlight w:val="none"/>
          <w:lang w:val="en-US" w:eastAsia="zh-CN" w:bidi="ar-SA"/>
        </w:rPr>
        <w:t xml:space="preserve"> （一）统筹推进法治建设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420"/>
        <w:jc w:val="both"/>
        <w:textAlignment w:val="auto"/>
        <w:outlineLvl w:val="9"/>
        <w:rPr>
          <w:rFonts w:hint="eastAsia" w:ascii="仿宋" w:hAnsi="仿宋" w:eastAsia="仿宋" w:cs="仿宋"/>
          <w:color w:val="00000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color w:val="000000"/>
          <w:kern w:val="2"/>
          <w:sz w:val="32"/>
          <w:szCs w:val="32"/>
          <w:highlight w:val="none"/>
          <w:lang w:val="en-US" w:eastAsia="zh-CN" w:bidi="ar-SA"/>
        </w:rPr>
        <w:t xml:space="preserve">  坚持党对依法行政工作全面领导，强化党政“一把手”是法治建设“第一责任人”，加强依法行政与重点工作统筹谋划，将国防动员各项工作纳入法治化轨道。着眼国防动员体制改革，配合市国动办做好国防动员、军事设施保护工作相关法规条例的问题梳理、调研论证等前期准备工作。持续推进会前学法和执法人员学习培训，进一步提升干部职工依法行政能力素质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楷体_GB2312" w:hAnsi="楷体_GB2312" w:eastAsia="楷体_GB2312" w:cs="楷体_GB2312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kern w:val="2"/>
          <w:sz w:val="32"/>
          <w:szCs w:val="32"/>
          <w:highlight w:val="none"/>
          <w:lang w:val="en-US" w:eastAsia="zh-CN" w:bidi="ar-SA"/>
        </w:rPr>
        <w:t xml:space="preserve">    （二）深入推进职能转变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color w:val="00000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color w:val="000000"/>
          <w:kern w:val="2"/>
          <w:sz w:val="32"/>
          <w:szCs w:val="32"/>
          <w:highlight w:val="none"/>
          <w:lang w:val="en-US" w:eastAsia="zh-CN" w:bidi="ar-SA"/>
        </w:rPr>
        <w:t xml:space="preserve">    以国防动员体制改革新赋职能为重点，厘清细化职责权限，建立健全行政权力运行机制，推动建立部门间协调配合机制。根据“三定”规定和法律法规出台情况，动态调整权责清单，推动权责清单同“三定”规定和政务服务事项有机衔接，持续深化人防“放管服”改革和优化营商环境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楷体_GB2312" w:hAnsi="楷体_GB2312" w:eastAsia="楷体_GB2312" w:cs="楷体_GB2312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kern w:val="2"/>
          <w:sz w:val="32"/>
          <w:szCs w:val="32"/>
          <w:highlight w:val="none"/>
          <w:lang w:val="en-US" w:eastAsia="zh-CN" w:bidi="ar-SA"/>
        </w:rPr>
        <w:t xml:space="preserve">    （三）持续提升执法效能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/>
        <w:jc w:val="both"/>
        <w:textAlignment w:val="auto"/>
        <w:outlineLvl w:val="9"/>
        <w:rPr>
          <w:rFonts w:hint="eastAsia" w:ascii="仿宋" w:hAnsi="仿宋" w:eastAsia="仿宋" w:cs="仿宋"/>
          <w:color w:val="00000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color w:val="000000"/>
          <w:kern w:val="2"/>
          <w:sz w:val="32"/>
          <w:szCs w:val="32"/>
          <w:highlight w:val="none"/>
          <w:lang w:val="en-US" w:eastAsia="zh-CN" w:bidi="ar-SA"/>
        </w:rPr>
        <w:t>进一步落实行政执法三项制度和行政处罚法有关要求，规范行政执法程序、执法文书标准和文书送达程序，保障当事人合法权益。坚持宽严相济，持续抓好轻微违法免罚和初次违法慎罚制度落地。全面推行告知承诺制改革，强化事中事后监管，完善以信用为基础的人防监管体系。继续做好年度易地建设行政审批和行政处罚案卷评查工作，强化法律顾问在服务保障机关工作和促进法治建设方面的积极作用。</w:t>
      </w:r>
    </w:p>
    <w:p>
      <w:pPr>
        <w:pStyle w:val="3"/>
        <w:keepNext w:val="0"/>
        <w:keepLines w:val="0"/>
        <w:pageBreakBefore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afterAutospacing="0" w:line="560" w:lineRule="exact"/>
        <w:ind w:left="0" w:leftChars="0" w:right="0" w:rightChars="0" w:firstLine="632" w:firstLineChars="200"/>
        <w:jc w:val="both"/>
        <w:textAlignment w:val="auto"/>
        <w:outlineLvl w:val="9"/>
        <w:rPr>
          <w:rFonts w:hint="eastAsia" w:ascii="楷体_GB2312" w:hAnsi="楷体_GB2312" w:eastAsia="楷体_GB2312" w:cs="楷体_GB2312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</w:pPr>
      <w:r>
        <w:rPr>
          <w:rFonts w:hint="eastAsia" w:ascii="楷体_GB2312" w:hAnsi="楷体_GB2312" w:eastAsia="楷体_GB2312" w:cs="楷体_GB2312"/>
          <w:color w:val="auto"/>
          <w:sz w:val="32"/>
          <w:szCs w:val="32"/>
          <w:shd w:val="clear" w:color="auto" w:fill="FFFFFF"/>
        </w:rPr>
        <w:t>（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  <w:shd w:val="clear" w:color="auto" w:fill="FFFFFF"/>
          <w:lang w:eastAsia="zh-CN"/>
        </w:rPr>
        <w:t>四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  <w:shd w:val="clear" w:color="auto" w:fill="FFFFFF"/>
        </w:rPr>
        <w:t>）</w:t>
      </w:r>
      <w:r>
        <w:rPr>
          <w:rFonts w:hint="eastAsia" w:ascii="楷体_GB2312" w:hAnsi="楷体_GB2312" w:eastAsia="楷体_GB2312" w:cs="楷体_GB2312"/>
          <w:i w:val="0"/>
          <w:caps w:val="0"/>
          <w:color w:val="auto"/>
          <w:spacing w:val="0"/>
          <w:sz w:val="32"/>
          <w:szCs w:val="32"/>
          <w:shd w:val="clear" w:color="auto" w:fill="FFFFFF"/>
        </w:rPr>
        <w:t>有效化解社会矛盾纠纷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/>
        <w:jc w:val="both"/>
        <w:textAlignment w:val="auto"/>
        <w:outlineLvl w:val="9"/>
        <w:rPr>
          <w:rFonts w:hint="eastAsia" w:ascii="仿宋" w:hAnsi="仿宋" w:eastAsia="仿宋" w:cs="仿宋"/>
          <w:color w:val="00000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color w:val="000000"/>
          <w:kern w:val="2"/>
          <w:sz w:val="32"/>
          <w:szCs w:val="32"/>
          <w:highlight w:val="none"/>
          <w:lang w:val="en-US" w:eastAsia="zh-CN" w:bidi="ar-SA"/>
        </w:rPr>
        <w:t>持续深化行政应诉工作，落实主要领导或主管领导主动出庭应诉，适时开展“以案释法”活动，加强典型案例的研究与分类指导，组织旁听庭审，强化行政应诉反哺功能。加大对相关矛盾和焦点问题的研究，充分发挥法律顾问的作用，把问题研究透，把措施制定好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32" w:firstLineChars="200"/>
        <w:jc w:val="both"/>
        <w:textAlignment w:val="auto"/>
        <w:outlineLvl w:val="9"/>
        <w:rPr>
          <w:rFonts w:hint="eastAsia" w:ascii="楷体" w:hAnsi="楷体" w:eastAsia="楷体" w:cs="楷体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</w:pPr>
      <w:r>
        <w:rPr>
          <w:rFonts w:hint="eastAsia" w:ascii="楷体" w:hAnsi="楷体" w:eastAsia="楷体" w:cs="楷体"/>
          <w:color w:val="auto"/>
          <w:sz w:val="32"/>
          <w:szCs w:val="32"/>
          <w:shd w:val="clear" w:color="070000" w:fill="FFFFFF"/>
        </w:rPr>
        <w:t>（</w:t>
      </w:r>
      <w:r>
        <w:rPr>
          <w:rFonts w:hint="eastAsia" w:ascii="楷体" w:hAnsi="楷体" w:eastAsia="楷体" w:cs="楷体"/>
          <w:color w:val="auto"/>
          <w:sz w:val="32"/>
          <w:szCs w:val="32"/>
          <w:shd w:val="clear" w:color="070000" w:fill="FFFFFF"/>
          <w:lang w:val="en-US" w:eastAsia="zh-CN"/>
        </w:rPr>
        <w:t>五</w:t>
      </w:r>
      <w:r>
        <w:rPr>
          <w:rFonts w:hint="eastAsia" w:ascii="楷体" w:hAnsi="楷体" w:eastAsia="楷体" w:cs="楷体"/>
          <w:color w:val="auto"/>
          <w:sz w:val="32"/>
          <w:szCs w:val="32"/>
          <w:shd w:val="clear" w:color="070000" w:fill="FFFFFF"/>
        </w:rPr>
        <w:t>）</w:t>
      </w:r>
      <w:r>
        <w:rPr>
          <w:rFonts w:hint="eastAsia" w:ascii="楷体" w:hAnsi="楷体" w:eastAsia="楷体" w:cs="楷体"/>
          <w:color w:val="auto"/>
          <w:sz w:val="32"/>
          <w:szCs w:val="32"/>
          <w:shd w:val="clear" w:color="070000" w:fill="FFFFFF"/>
          <w:lang w:eastAsia="zh-CN"/>
        </w:rPr>
        <w:t>着力扩大</w:t>
      </w:r>
      <w:r>
        <w:rPr>
          <w:rFonts w:hint="eastAsia" w:ascii="楷体" w:hAnsi="楷体" w:eastAsia="楷体" w:cs="楷体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普法范围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eastAsia" w:ascii="仿宋" w:hAnsi="仿宋" w:eastAsia="仿宋" w:cs="仿宋"/>
          <w:color w:val="00000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color w:val="000000"/>
          <w:kern w:val="2"/>
          <w:sz w:val="32"/>
          <w:szCs w:val="32"/>
          <w:highlight w:val="none"/>
          <w:lang w:val="en-US" w:eastAsia="zh-CN" w:bidi="ar-SA"/>
        </w:rPr>
        <w:t xml:space="preserve">    深入学习贯彻习近平法治思想、中央全面依法治国工作会议精神，强化领导干部等重点对象的普法工作。将国防动员相关法律法规纳入法治宣传范畴，把握“3.1”国际民防日、“4.15”国家安全教育日、全民国防教育日、安全生产月、宪法宣传周等关键时间节点，广泛宣传宪法、国防动员和人民防空等相关法律法规，推进普法常态化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right="0" w:rightChars="0" w:firstLine="640"/>
        <w:jc w:val="both"/>
        <w:textAlignment w:val="auto"/>
        <w:outlineLvl w:val="9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五、其他需要报告的情况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80" w:lineRule="exact"/>
        <w:ind w:left="0" w:leftChars="0" w:right="0" w:rightChars="0" w:firstLine="640"/>
        <w:jc w:val="both"/>
        <w:textAlignment w:val="auto"/>
        <w:outlineLvl w:val="9"/>
        <w:rPr>
          <w:rFonts w:hint="eastAsia" w:ascii="仿宋" w:hAnsi="仿宋" w:eastAsia="仿宋" w:cs="仿宋"/>
          <w:color w:val="00000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color w:val="000000"/>
          <w:kern w:val="2"/>
          <w:sz w:val="32"/>
          <w:szCs w:val="32"/>
          <w:highlight w:val="none"/>
          <w:lang w:val="en-US" w:eastAsia="zh-CN" w:bidi="ar-SA"/>
        </w:rPr>
        <w:t>无。</w:t>
      </w:r>
    </w:p>
    <w:p>
      <w:r>
        <w:rPr>
          <w:rFonts w:hint="eastAsia" w:ascii="仿宋" w:hAnsi="仿宋" w:eastAsia="仿宋" w:cs="仿宋"/>
          <w:color w:val="000000"/>
          <w:kern w:val="2"/>
          <w:sz w:val="32"/>
          <w:szCs w:val="32"/>
          <w:highlight w:val="none"/>
          <w:lang w:val="en-US" w:eastAsia="zh-CN" w:bidi="ar-SA"/>
        </w:rPr>
        <w:t xml:space="preserve">    特此报告。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1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4D02CA6"/>
    <w:rsid w:val="54D02CA6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eastAsia="仿宋_GB2312"/>
      <w:kern w:val="2"/>
      <w:sz w:val="32"/>
      <w:szCs w:val="3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uiPriority w:val="0"/>
    <w:pPr>
      <w:spacing w:after="120"/>
    </w:pPr>
  </w:style>
  <w:style w:type="paragraph" w:styleId="3">
    <w:name w:val="Normal (Web)"/>
    <w:basedOn w:val="1"/>
    <w:uiPriority w:val="0"/>
    <w:pPr>
      <w:widowControl/>
      <w:spacing w:before="150" w:after="100" w:afterAutospacing="1"/>
      <w:ind w:firstLine="480"/>
    </w:pPr>
    <w:rPr>
      <w:rFonts w:ascii="宋体" w:hAnsi="宋体"/>
      <w:color w:val="000000"/>
      <w:kern w:val="0"/>
      <w:sz w:val="23"/>
      <w:szCs w:val="23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Office_10.8.0.5715_F1E327BC-269C-435d-A152-05C5408002CA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2025-03-13T08:30:00Z</dcterms:created>
  <dc:creator>Administrator</dc:creator>
  <cp:lastModifiedBy>Administrator</cp:lastModifiedBy>
  <dcterms:modified xsi:type="dcterms:W3CDTF">2025-03-13T08:31:36Z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</Properties>
</file>