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eastAsia" w:asciiTheme="minorEastAsia" w:hAnsiTheme="minorEastAsia" w:eastAsiaTheme="minorEastAsia"/>
          <w:b/>
          <w:spacing w:val="-6"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pacing w:val="-6"/>
          <w:sz w:val="36"/>
          <w:szCs w:val="36"/>
        </w:rPr>
        <w:t>北京市门头沟区财政局202</w:t>
      </w:r>
      <w:r>
        <w:rPr>
          <w:rFonts w:hint="eastAsia" w:asciiTheme="minorEastAsia" w:hAnsiTheme="minorEastAsia" w:eastAsiaTheme="minorEastAsia"/>
          <w:b/>
          <w:spacing w:val="-6"/>
          <w:sz w:val="36"/>
          <w:szCs w:val="36"/>
          <w:lang w:val="en-US" w:eastAsia="zh-CN"/>
        </w:rPr>
        <w:t>1</w:t>
      </w:r>
      <w:r>
        <w:rPr>
          <w:rFonts w:hint="eastAsia" w:asciiTheme="minorEastAsia" w:hAnsiTheme="minorEastAsia" w:eastAsiaTheme="minorEastAsia"/>
          <w:b/>
          <w:spacing w:val="-6"/>
          <w:sz w:val="36"/>
          <w:szCs w:val="36"/>
        </w:rPr>
        <w:t>年度法治政府</w:t>
      </w:r>
    </w:p>
    <w:p>
      <w:pPr>
        <w:spacing w:line="540" w:lineRule="exact"/>
        <w:jc w:val="center"/>
        <w:rPr>
          <w:rFonts w:asciiTheme="minorEastAsia" w:hAnsiTheme="minorEastAsia" w:eastAsiaTheme="minorEastAsia"/>
          <w:b/>
          <w:spacing w:val="-6"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pacing w:val="-6"/>
          <w:sz w:val="36"/>
          <w:szCs w:val="36"/>
        </w:rPr>
        <w:t>建设情况报告</w:t>
      </w:r>
    </w:p>
    <w:p>
      <w:pPr>
        <w:spacing w:line="540" w:lineRule="exact"/>
        <w:rPr>
          <w:rFonts w:ascii="仿宋_GB2312"/>
          <w:snapToGrid w:val="0"/>
          <w:kern w:val="32"/>
          <w:szCs w:val="32"/>
        </w:rPr>
      </w:pPr>
    </w:p>
    <w:p>
      <w:pPr>
        <w:spacing w:line="540" w:lineRule="exact"/>
        <w:ind w:firstLine="660"/>
        <w:rPr>
          <w:rFonts w:ascii="仿宋_GB2312"/>
          <w:snapToGrid w:val="0"/>
          <w:kern w:val="32"/>
          <w:szCs w:val="32"/>
        </w:rPr>
      </w:pPr>
      <w:r>
        <w:rPr>
          <w:rFonts w:hint="eastAsia" w:ascii="仿宋_GB2312"/>
          <w:snapToGrid w:val="0"/>
          <w:kern w:val="32"/>
          <w:szCs w:val="32"/>
        </w:rPr>
        <w:t>2021年门头沟区财政局在区委区政府的正确领导下，认真学习贯彻习近平总书记全面依法治国新理念新思想新战略，按照市、区法治政府建设工作部署，全面推动落实法治政府建设各项工作，较好地完成了年度各项工作任务，现将相关情况报告如下。</w:t>
      </w:r>
    </w:p>
    <w:p>
      <w:pPr>
        <w:pBdr>
          <w:bottom w:val="single" w:color="FFFFFF" w:sz="4" w:space="31"/>
        </w:pBdr>
        <w:topLinePunct/>
        <w:adjustRightInd w:val="0"/>
        <w:spacing w:line="560" w:lineRule="exact"/>
        <w:ind w:firstLine="640" w:firstLineChars="200"/>
        <w:rPr>
          <w:rFonts w:ascii="黑体" w:hAnsi="黑体" w:eastAsia="黑体" w:cs="楷体"/>
          <w:szCs w:val="32"/>
        </w:rPr>
      </w:pPr>
      <w:r>
        <w:rPr>
          <w:rFonts w:hint="eastAsia" w:ascii="黑体" w:hAnsi="黑体" w:eastAsia="黑体" w:cs="仿宋_GB2312"/>
          <w:szCs w:val="32"/>
        </w:rPr>
        <w:t>一、</w:t>
      </w:r>
      <w:r>
        <w:rPr>
          <w:rFonts w:hint="eastAsia" w:ascii="黑体" w:hAnsi="黑体" w:eastAsia="黑体" w:cs="楷体"/>
          <w:szCs w:val="32"/>
        </w:rPr>
        <w:t>2</w:t>
      </w:r>
      <w:r>
        <w:rPr>
          <w:rFonts w:ascii="黑体" w:hAnsi="黑体" w:eastAsia="黑体" w:cs="楷体"/>
          <w:szCs w:val="32"/>
        </w:rPr>
        <w:t>02</w:t>
      </w:r>
      <w:r>
        <w:rPr>
          <w:rFonts w:hint="eastAsia" w:ascii="黑体" w:hAnsi="黑体" w:eastAsia="黑体" w:cs="楷体"/>
          <w:szCs w:val="32"/>
        </w:rPr>
        <w:t>1年度推进法治政府建设的主要举措和成效</w:t>
      </w:r>
    </w:p>
    <w:p>
      <w:pPr>
        <w:pBdr>
          <w:bottom w:val="single" w:color="FFFFFF" w:sz="4" w:space="31"/>
        </w:pBdr>
        <w:topLinePunct/>
        <w:adjustRightInd w:val="0"/>
        <w:spacing w:line="560" w:lineRule="exact"/>
        <w:ind w:firstLine="640" w:firstLineChars="200"/>
        <w:rPr>
          <w:rFonts w:ascii="仿宋_GB2312"/>
          <w:snapToGrid w:val="0"/>
          <w:kern w:val="32"/>
          <w:szCs w:val="32"/>
        </w:rPr>
      </w:pPr>
      <w:r>
        <w:rPr>
          <w:rFonts w:hint="eastAsia" w:ascii="仿宋_GB2312"/>
          <w:snapToGrid w:val="0"/>
          <w:kern w:val="32"/>
          <w:szCs w:val="32"/>
        </w:rPr>
        <w:t>（一）落实普法责任制要求，扎实推进法治政府建设工作。</w:t>
      </w:r>
    </w:p>
    <w:p>
      <w:pPr>
        <w:pBdr>
          <w:bottom w:val="single" w:color="FFFFFF" w:sz="4" w:space="31"/>
        </w:pBdr>
        <w:topLinePunct/>
        <w:adjustRightInd w:val="0"/>
        <w:spacing w:line="560" w:lineRule="exact"/>
        <w:ind w:firstLine="640" w:firstLineChars="200"/>
        <w:rPr>
          <w:rFonts w:ascii="仿宋_GB2312"/>
          <w:snapToGrid w:val="0"/>
          <w:kern w:val="32"/>
          <w:szCs w:val="32"/>
        </w:rPr>
      </w:pPr>
      <w:r>
        <w:rPr>
          <w:rFonts w:hint="eastAsia" w:ascii="仿宋_GB2312"/>
          <w:snapToGrid w:val="0"/>
          <w:kern w:val="32"/>
          <w:szCs w:val="32"/>
        </w:rPr>
        <w:t xml:space="preserve">1.多种形式深入开展法宣工作。一是印发了《门头沟区财政局2021年法制宣传教育工作要点》，明确了年度法宣教育工作任务。二是通过OA办公系统开辟了“党风党建”和“法治宣传”专栏，重点宣传党的基本知识、习近平总书记重要讲话以及法律宣传相关知识。三是日常通过职工微信群、办公楼LED大屏滚动投放法宣相关知识，先后开展了《北京市内部审计规定》《民法典》《中华人民共和国行政处罚法》《北京市接诉即办工作条例》以及冬奥会和冬残奥会等的学习宣传。四是制作了法制宣传工作微视频，记录财政干部参与法治建设情况。 </w:t>
      </w:r>
    </w:p>
    <w:p>
      <w:pPr>
        <w:pBdr>
          <w:bottom w:val="single" w:color="FFFFFF" w:sz="4" w:space="31"/>
        </w:pBdr>
        <w:topLinePunct/>
        <w:adjustRightInd w:val="0"/>
        <w:spacing w:line="560" w:lineRule="exact"/>
        <w:ind w:firstLine="640" w:firstLineChars="200"/>
        <w:rPr>
          <w:rFonts w:ascii="仿宋_GB2312"/>
          <w:snapToGrid w:val="0"/>
          <w:kern w:val="32"/>
          <w:szCs w:val="32"/>
        </w:rPr>
      </w:pPr>
      <w:r>
        <w:rPr>
          <w:rFonts w:hint="eastAsia" w:ascii="仿宋_GB2312"/>
          <w:snapToGrid w:val="0"/>
          <w:kern w:val="32"/>
          <w:szCs w:val="32"/>
        </w:rPr>
        <w:t>2.认真落实“谁执法、谁普法”普法责任制要求。一是将《预算法》《政府采购法》《会计法》内容纳入年度普法宣传工作计划中，利用法制进社区、设置宣传点等形式，在4·15全民国家安全教育日以及12·4法制宣传周等重要节点，自制宣传材料，面向社会各界有序组织宣传。二是开展“法律进社区”普法宣传活动，专门制作宣传资料，深入滨河西区、承泽苑、临镜苑、绮霞苑4个社区，开展疫情防控、创城和民法典等法律知识宣传，共发放宣传材料500余份，并发放了《法助创城 法治宣传在您身边》致市民的一封信，进一步提升居民创城法治宣传教育知晓率。三是适时组织区属单位开展预算法、会计法、采购法等相关业务培训，牢固树立财政干部和区属单位财会人员依法理财意识。</w:t>
      </w:r>
    </w:p>
    <w:p>
      <w:pPr>
        <w:pBdr>
          <w:bottom w:val="single" w:color="FFFFFF" w:sz="4" w:space="31"/>
        </w:pBdr>
        <w:topLinePunct/>
        <w:adjustRightInd w:val="0"/>
        <w:spacing w:line="560" w:lineRule="exact"/>
        <w:ind w:firstLine="640" w:firstLineChars="200"/>
        <w:rPr>
          <w:rFonts w:ascii="仿宋_GB2312"/>
          <w:snapToGrid w:val="0"/>
          <w:kern w:val="32"/>
          <w:szCs w:val="32"/>
        </w:rPr>
      </w:pPr>
      <w:r>
        <w:rPr>
          <w:rFonts w:hint="eastAsia" w:ascii="仿宋_GB2312"/>
          <w:snapToGrid w:val="0"/>
          <w:kern w:val="32"/>
          <w:szCs w:val="32"/>
        </w:rPr>
        <w:t>3.党政领导干部带头学法。班子成员率先垂范，先后组织学习了习近平总书记重要讲</w:t>
      </w:r>
      <w:bookmarkStart w:id="0" w:name="_GoBack"/>
      <w:bookmarkEnd w:id="0"/>
      <w:r>
        <w:rPr>
          <w:rFonts w:hint="eastAsia" w:ascii="仿宋_GB2312"/>
          <w:snapToGrid w:val="0"/>
          <w:kern w:val="32"/>
          <w:szCs w:val="32"/>
        </w:rPr>
        <w:t>话精神、民法典、新修订的行政处罚法、行政事业性国有资产管理条例等。为了激发干部职工学法用法积极性，我局面向全体干部职工征集局长办公会会前学法讲课资料，着力推动形成全员学法用法、自觉守法依法的氛围，下一步将择优安排在局长办公会会前讲课。</w:t>
      </w:r>
    </w:p>
    <w:p>
      <w:pPr>
        <w:pBdr>
          <w:bottom w:val="single" w:color="FFFFFF" w:sz="4" w:space="31"/>
        </w:pBdr>
        <w:topLinePunct/>
        <w:adjustRightInd w:val="0"/>
        <w:spacing w:line="560" w:lineRule="exact"/>
        <w:ind w:firstLine="640" w:firstLineChars="200"/>
        <w:rPr>
          <w:rFonts w:ascii="仿宋_GB2312"/>
          <w:snapToGrid w:val="0"/>
          <w:kern w:val="32"/>
          <w:szCs w:val="32"/>
        </w:rPr>
      </w:pPr>
      <w:r>
        <w:rPr>
          <w:rFonts w:hint="eastAsia" w:ascii="仿宋_GB2312"/>
          <w:snapToGrid w:val="0"/>
          <w:kern w:val="32"/>
          <w:szCs w:val="32"/>
        </w:rPr>
        <w:t>4.开展行政执法培训工作。一是积极组织参加市局举办的依法行政培训，参加区司法局举办的周末法治讲堂、门头沟区新修订的行政处罚法系列培训讲座等。二是局内先后举办了《行政事业性国有资产管理条例》《政府会计准则制度讲解》培训，针对财政执法检查和行政处罚工作实际，举办了新修订的《中华人民共和国行政处罚法》培训。三是组织科室法制员到区法院旁听行政诉讼案件庭审并进行参观，进一步规范财政干部行政执法意识。</w:t>
      </w:r>
    </w:p>
    <w:p>
      <w:pPr>
        <w:pBdr>
          <w:bottom w:val="single" w:color="FFFFFF" w:sz="4" w:space="31"/>
        </w:pBdr>
        <w:topLinePunct/>
        <w:adjustRightInd w:val="0"/>
        <w:spacing w:line="560" w:lineRule="exact"/>
        <w:ind w:firstLine="640" w:firstLineChars="200"/>
        <w:rPr>
          <w:rFonts w:ascii="仿宋_GB2312"/>
          <w:snapToGrid w:val="0"/>
          <w:kern w:val="32"/>
          <w:szCs w:val="32"/>
        </w:rPr>
      </w:pPr>
      <w:r>
        <w:rPr>
          <w:rFonts w:hint="eastAsia" w:ascii="仿宋_GB2312"/>
          <w:snapToGrid w:val="0"/>
          <w:kern w:val="32"/>
          <w:szCs w:val="32"/>
        </w:rPr>
        <w:t>（二）全面规范财政部门行政执法行为。</w:t>
      </w:r>
    </w:p>
    <w:p>
      <w:pPr>
        <w:pBdr>
          <w:bottom w:val="single" w:color="FFFFFF" w:sz="4" w:space="31"/>
        </w:pBdr>
        <w:topLinePunct/>
        <w:adjustRightInd w:val="0"/>
        <w:spacing w:line="560" w:lineRule="exact"/>
        <w:ind w:firstLine="640" w:firstLineChars="200"/>
        <w:rPr>
          <w:rFonts w:ascii="仿宋_GB2312"/>
          <w:snapToGrid w:val="0"/>
          <w:kern w:val="32"/>
          <w:szCs w:val="32"/>
        </w:rPr>
      </w:pPr>
      <w:r>
        <w:rPr>
          <w:rFonts w:hint="eastAsia" w:ascii="仿宋_GB2312"/>
          <w:snapToGrid w:val="0"/>
          <w:kern w:val="32"/>
          <w:szCs w:val="32"/>
        </w:rPr>
        <w:t>1.加强财政行政执法工作。一是结合我局实际情况，先后印发了《门头沟区财政局行政执法工作实施办法（暂行）》《门头沟区财政局财政检查工作规程》和《门头沟区财政局行政处罚工作规程》，规范财政行政执法工作。二是履行财政部门会计监督职责，年内完成财政执法检查120个，实施行政处罚2个；A岗人员人均执法61个，A岗人员参与执法率100%；实际纳入检查并实施的违法行为151条，违法行为纳入检查率达到96.79%。三是认真贯彻落实新修订的行政执法三项制度，财政部门行政执法信息按要求及时在区政府门户网站公开。</w:t>
      </w:r>
    </w:p>
    <w:p>
      <w:pPr>
        <w:pBdr>
          <w:bottom w:val="single" w:color="FFFFFF" w:sz="4" w:space="31"/>
        </w:pBdr>
        <w:topLinePunct/>
        <w:adjustRightInd w:val="0"/>
        <w:spacing w:line="560" w:lineRule="exact"/>
        <w:ind w:firstLine="640" w:firstLineChars="200"/>
        <w:rPr>
          <w:rFonts w:ascii="仿宋_GB2312"/>
          <w:snapToGrid w:val="0"/>
          <w:kern w:val="32"/>
          <w:szCs w:val="32"/>
        </w:rPr>
      </w:pPr>
      <w:r>
        <w:rPr>
          <w:rFonts w:hint="eastAsia" w:ascii="仿宋_GB2312"/>
          <w:snapToGrid w:val="0"/>
          <w:kern w:val="32"/>
          <w:szCs w:val="32"/>
        </w:rPr>
        <w:t>2.规范财政依法行政管理。一是先后印发了《门头沟区财政局依法行政合法性审查工作规定》《门头沟区财政局行政规范性文件管理办法》《关于制定公平竞争审查工作规程的通知》等，规范部门依法行政行为。二是完善局内发文审核流程，在OA综合办公系统发文流程，嵌入了是否“规范性文件”、是否“涉及市场主体经济活动”、是否 “涉及公平竞争审查选择按钮”。各科室起草的政策措施及文件，严格执行制度规定，规范发文流程，其中规范性文件按照区司法局《关于加强行政规范性文件备案管理工作的通知》要求进行备案。三是加强规范性文件及合同合法性审核工作，今年对365份合同进行了合法性审查，对1份文件进行了合法性和公平竞争审查，出台了1份规范性文件。四是及时开展文件清理，对2021年5月25日以前执行的文件进行了清理，印发了《门头沟区财政局废止和失效文件目录》的通知通过门户网发区属各单位执行。本此共清理失效文件14件。</w:t>
      </w:r>
    </w:p>
    <w:p>
      <w:pPr>
        <w:pBdr>
          <w:bottom w:val="single" w:color="FFFFFF" w:sz="4" w:space="31"/>
        </w:pBdr>
        <w:topLinePunct/>
        <w:adjustRightInd w:val="0"/>
        <w:spacing w:line="560" w:lineRule="exact"/>
        <w:ind w:firstLine="640" w:firstLineChars="200"/>
        <w:rPr>
          <w:rFonts w:ascii="仿宋_GB2312"/>
          <w:snapToGrid w:val="0"/>
          <w:kern w:val="32"/>
          <w:szCs w:val="32"/>
        </w:rPr>
      </w:pPr>
      <w:r>
        <w:rPr>
          <w:rFonts w:hint="eastAsia" w:ascii="仿宋_GB2312"/>
          <w:snapToGrid w:val="0"/>
          <w:kern w:val="32"/>
          <w:szCs w:val="32"/>
        </w:rPr>
        <w:t>（三）积极推进落实财政各项重点工作任务，加强财政管理与监督。</w:t>
      </w:r>
    </w:p>
    <w:p>
      <w:pPr>
        <w:pBdr>
          <w:bottom w:val="single" w:color="FFFFFF" w:sz="4" w:space="31"/>
        </w:pBdr>
        <w:topLinePunct/>
        <w:adjustRightInd w:val="0"/>
        <w:spacing w:line="560" w:lineRule="exact"/>
        <w:ind w:firstLine="640" w:firstLineChars="200"/>
        <w:rPr>
          <w:rFonts w:ascii="仿宋_GB2312"/>
          <w:snapToGrid w:val="0"/>
          <w:kern w:val="32"/>
          <w:szCs w:val="32"/>
        </w:rPr>
      </w:pPr>
      <w:r>
        <w:rPr>
          <w:rFonts w:hint="eastAsia" w:ascii="仿宋_GB2312"/>
          <w:snapToGrid w:val="0"/>
          <w:kern w:val="32"/>
          <w:szCs w:val="32"/>
        </w:rPr>
        <w:t>1.加强成本控制，完善预算绩效管理机制，切实降低政府运行成本。一是加强部门预算管理。强化零基预算理念，严格执行以收定支，强化市区资金统筹。硬化预算执行约束，持续压缩运行成本，压减一般性支出，大力调整优化支出结构，从严控制非急需、非刚性、非重点项目支出。二是强化部门预算绩效管理。先后印发《门头沟区预算绩效管理办法》《门头沟区预算绩效目标管理暂行办法》《门头沟区项目支出绩效评价管理办法》等，基本形成了“1+1+X”预算绩效管理制度体系。2021年组织51家预算单位对114个直达资金项目开展绩效自评，组织73家预算部门完成2020年部门整体支出绩效自评，对3942个预算项目完成绩效自评，推动单位不断强化主体责任意识。</w:t>
      </w:r>
    </w:p>
    <w:p>
      <w:pPr>
        <w:pBdr>
          <w:bottom w:val="single" w:color="FFFFFF" w:sz="4" w:space="31"/>
        </w:pBdr>
        <w:topLinePunct/>
        <w:adjustRightInd w:val="0"/>
        <w:spacing w:line="560" w:lineRule="exact"/>
        <w:ind w:firstLine="640" w:firstLineChars="200"/>
        <w:rPr>
          <w:rFonts w:ascii="仿宋_GB2312"/>
          <w:snapToGrid w:val="0"/>
          <w:kern w:val="32"/>
          <w:szCs w:val="32"/>
        </w:rPr>
      </w:pPr>
      <w:r>
        <w:rPr>
          <w:rFonts w:hint="eastAsia" w:ascii="仿宋_GB2312"/>
          <w:snapToGrid w:val="0"/>
          <w:kern w:val="32"/>
          <w:szCs w:val="32"/>
        </w:rPr>
        <w:t>2.管好用好政府债务，大力化解存量债务，杜绝新增隐性债务。一是严格执行市财政核定的政府债务限额标准，依据中央、市级要求落实债券申报程序，及时将债务限额变动情况上报区人大常委会，在限额内按要求规范完成政府债务举借工作。二是建立债券资金支出监管机制，按月收集支出票据更新债券支出台账，督促债券项目单位加快资金支出进度，推动债券资金尽早形成实物工作量。三是强化政府债务动态管理，做好债务风险预警和研判，做到数据准确、台账清晰，为政府决策提供参考依据。四是印发《关于加强地方全口径债务管理的通知》，成立工作小组，制定隐性债务化解方案，积极推动隐性债务化解工作，守住不发生系统性风险底线。</w:t>
      </w:r>
    </w:p>
    <w:p>
      <w:pPr>
        <w:pBdr>
          <w:bottom w:val="single" w:color="FFFFFF" w:sz="4" w:space="31"/>
        </w:pBdr>
        <w:topLinePunct/>
        <w:adjustRightInd w:val="0"/>
        <w:spacing w:line="560" w:lineRule="exact"/>
        <w:ind w:firstLine="640" w:firstLineChars="200"/>
        <w:rPr>
          <w:rFonts w:ascii="仿宋_GB2312"/>
          <w:snapToGrid w:val="0"/>
          <w:kern w:val="32"/>
          <w:szCs w:val="32"/>
        </w:rPr>
      </w:pPr>
      <w:r>
        <w:rPr>
          <w:rFonts w:hint="eastAsia" w:ascii="仿宋_GB2312"/>
          <w:snapToGrid w:val="0"/>
          <w:kern w:val="32"/>
          <w:szCs w:val="32"/>
        </w:rPr>
        <w:t xml:space="preserve">3.深化政府购买服务改革，提高政府购买公共服务占比，优化政府购买服务支出结构。一是制定《门头沟区政府购买服务项目部门预算审核操作规则（试行）》，实行“双目录”管理，落实“双审核”制度。二是印发《关于做好2021年政府购买服务指导性目录修订工作的通知》，指导乡镇政府和区属各预算单位根据本单位职能和机构改革情况，修订完善本部门政府购买服务指导性目录。三是召开专题会议，要求预算单位在编制2022年政府购买服务部门预算时，优化政府购买服务支出结构，进一步增加公共服务占比，将政府履职所需辅助性服务占比压缩至20%以下。 </w:t>
      </w:r>
    </w:p>
    <w:p>
      <w:pPr>
        <w:pBdr>
          <w:bottom w:val="single" w:color="FFFFFF" w:sz="4" w:space="31"/>
        </w:pBdr>
        <w:topLinePunct/>
        <w:adjustRightInd w:val="0"/>
        <w:spacing w:line="560" w:lineRule="exact"/>
        <w:ind w:firstLine="640" w:firstLineChars="200"/>
        <w:rPr>
          <w:rFonts w:ascii="仿宋_GB2312"/>
          <w:snapToGrid w:val="0"/>
          <w:kern w:val="32"/>
          <w:szCs w:val="32"/>
        </w:rPr>
      </w:pPr>
      <w:r>
        <w:rPr>
          <w:rFonts w:hint="eastAsia" w:ascii="仿宋_GB2312"/>
          <w:snapToGrid w:val="0"/>
          <w:kern w:val="32"/>
          <w:szCs w:val="32"/>
        </w:rPr>
        <w:t>4.进一步深化政府采购制度改革，健全政府采购监督管理机制。一是转发了《北京市财政局关于进一步优化政府采购营商环境的通知》和《北京市财政局关于启用北京市政府采购电子卖场、电子交易平台的通知》，积极推进政府采购意向公开工作，提高政府采购透明度；二是落实《北京市财政局转发财政部关于开展政府采购备选库、名录库、资格库专项清理的通知》精神，组织区属预算单位开展自查自纠，并选取4家一级预算单位进行重点核查，通过开展专项清理，推进公平竞争，助力优化政府采购营商环境工作。下一步继续落实完善政府采购电子交易系统推进工作，按照北京市财政局“统一规划、统一建设、统一部署”总体要求，实现政府采购业务全流程电子化和“一网通办”，推进政府采购电子化系统的落地。</w:t>
      </w:r>
    </w:p>
    <w:p>
      <w:pPr>
        <w:pBdr>
          <w:bottom w:val="single" w:color="FFFFFF" w:sz="4" w:space="31"/>
        </w:pBdr>
        <w:topLinePunct/>
        <w:adjustRightInd w:val="0"/>
        <w:spacing w:line="560" w:lineRule="exact"/>
        <w:ind w:firstLine="640" w:firstLineChars="200"/>
        <w:rPr>
          <w:rFonts w:ascii="黑体" w:hAnsi="黑体" w:eastAsia="黑体"/>
          <w:snapToGrid w:val="0"/>
          <w:kern w:val="32"/>
          <w:szCs w:val="32"/>
        </w:rPr>
      </w:pPr>
      <w:r>
        <w:rPr>
          <w:rFonts w:hint="eastAsia" w:ascii="黑体" w:hAnsi="黑体" w:eastAsia="黑体"/>
          <w:snapToGrid w:val="0"/>
          <w:kern w:val="32"/>
          <w:szCs w:val="32"/>
        </w:rPr>
        <w:t>二、2</w:t>
      </w:r>
      <w:r>
        <w:rPr>
          <w:rFonts w:ascii="黑体" w:hAnsi="黑体" w:eastAsia="黑体"/>
          <w:snapToGrid w:val="0"/>
          <w:kern w:val="32"/>
          <w:szCs w:val="32"/>
        </w:rPr>
        <w:t>02</w:t>
      </w:r>
      <w:r>
        <w:rPr>
          <w:rFonts w:hint="eastAsia" w:ascii="黑体" w:hAnsi="黑体" w:eastAsia="黑体"/>
          <w:snapToGrid w:val="0"/>
          <w:kern w:val="32"/>
          <w:szCs w:val="32"/>
        </w:rPr>
        <w:t>1年度推进法治政府建设存在的不足和原因</w:t>
      </w:r>
    </w:p>
    <w:p>
      <w:pPr>
        <w:pBdr>
          <w:bottom w:val="single" w:color="FFFFFF" w:sz="4" w:space="31"/>
        </w:pBdr>
        <w:topLinePunct/>
        <w:adjustRightInd w:val="0"/>
        <w:spacing w:line="560" w:lineRule="exact"/>
        <w:ind w:firstLine="640" w:firstLineChars="200"/>
        <w:rPr>
          <w:rFonts w:ascii="仿宋_GB2312"/>
          <w:snapToGrid w:val="0"/>
          <w:kern w:val="32"/>
          <w:szCs w:val="32"/>
        </w:rPr>
      </w:pPr>
      <w:r>
        <w:rPr>
          <w:rFonts w:hint="eastAsia" w:ascii="仿宋_GB2312"/>
          <w:snapToGrid w:val="0"/>
          <w:kern w:val="32"/>
          <w:szCs w:val="32"/>
        </w:rPr>
        <w:t>2021年门头沟区财政局在市局法制处、区司法局等相关部门领导下，行政执法工作进一步深化，取得了一些成绩，同时也存在一些问题。主要室近年来因轮岗、新入职等原因，人员调整变化较大，个别执法科室工作人员无执法证，影响科室正常执法工作安排，为此，下一步区财政局拟组织执法科室无证人员参加行政执法资格考试，同时通过加强日常行政执法宣传培训，进一步加强执法队伍建设。</w:t>
      </w:r>
    </w:p>
    <w:p>
      <w:pPr>
        <w:pBdr>
          <w:bottom w:val="single" w:color="FFFFFF" w:sz="4" w:space="31"/>
        </w:pBdr>
        <w:topLinePunct/>
        <w:adjustRightInd w:val="0"/>
        <w:spacing w:line="560" w:lineRule="exact"/>
        <w:ind w:firstLine="640" w:firstLineChars="200"/>
        <w:rPr>
          <w:rFonts w:ascii="黑体" w:hAnsi="黑体" w:eastAsia="黑体"/>
          <w:snapToGrid w:val="0"/>
          <w:kern w:val="32"/>
          <w:szCs w:val="32"/>
        </w:rPr>
      </w:pPr>
      <w:r>
        <w:rPr>
          <w:rFonts w:hint="eastAsia" w:ascii="黑体" w:hAnsi="黑体" w:eastAsia="黑体"/>
          <w:snapToGrid w:val="0"/>
          <w:kern w:val="32"/>
          <w:szCs w:val="32"/>
        </w:rPr>
        <w:t>三、党政主要负责人履行推进法治建设第一责任人职责，将法治政府建设摆在工作全局的重要位置</w:t>
      </w:r>
    </w:p>
    <w:p>
      <w:pPr>
        <w:pBdr>
          <w:bottom w:val="single" w:color="FFFFFF" w:sz="4" w:space="31"/>
        </w:pBdr>
        <w:topLinePunct/>
        <w:adjustRightInd w:val="0"/>
        <w:spacing w:line="560" w:lineRule="exact"/>
        <w:ind w:firstLine="640" w:firstLineChars="200"/>
        <w:rPr>
          <w:rFonts w:ascii="仿宋_GB2312"/>
          <w:snapToGrid w:val="0"/>
          <w:kern w:val="32"/>
          <w:szCs w:val="32"/>
        </w:rPr>
      </w:pPr>
      <w:r>
        <w:rPr>
          <w:rFonts w:hint="eastAsia" w:ascii="仿宋_GB2312"/>
          <w:snapToGrid w:val="0"/>
          <w:kern w:val="32"/>
          <w:szCs w:val="32"/>
        </w:rPr>
        <w:t>长期以来，区财政局党组高度重视法制建设工作，局党组书记、局长苗建军同志坚持履行法治政府建设第一责任人职责，责成将法治建设工作列入本局年度工作计划，将法制宣传教育工作纳入年度干部职工培训计划，每年多次组织局长办公会研究部署年度法治建设工作。</w:t>
      </w:r>
    </w:p>
    <w:p>
      <w:pPr>
        <w:pBdr>
          <w:bottom w:val="single" w:color="FFFFFF" w:sz="4" w:space="31"/>
        </w:pBdr>
        <w:topLinePunct/>
        <w:adjustRightInd w:val="0"/>
        <w:spacing w:line="560" w:lineRule="exact"/>
        <w:ind w:firstLine="640" w:firstLineChars="200"/>
        <w:rPr>
          <w:rFonts w:ascii="仿宋_GB2312"/>
          <w:snapToGrid w:val="0"/>
          <w:kern w:val="32"/>
          <w:szCs w:val="32"/>
        </w:rPr>
      </w:pPr>
      <w:r>
        <w:rPr>
          <w:rFonts w:hint="eastAsia" w:ascii="仿宋_GB2312"/>
          <w:snapToGrid w:val="0"/>
          <w:kern w:val="32"/>
          <w:szCs w:val="32"/>
        </w:rPr>
        <w:t>年内多次召开党组会研究部署法制相关工作。一是研究通过了《门头沟区财政局2021年法治宣传教育工作要点》，明确年度法治宣传工作内容和要求；二是贯彻落实市、区法治政府建设部署，印发了《2021年法治政府建设（依法行政）任务分解及要求》，将我局承担的门头沟区法治政府建设工作要点任务、区政府依法行政考核（财政保障机制）任务、行政执法考评指标任务细化分解到各执法科室，并提出具体落实目标和要求，同时不定期听取相关科室工作汇报，了解落实情况。三是研究确定《门头沟区财政局2021年度会计信息质量监督检查工作方案》，指导开展财政执法检查工作。四是研究通过了《门头沟区财政局内部审计工作实施办法》，规范内部监督工作。</w:t>
      </w:r>
    </w:p>
    <w:p>
      <w:pPr>
        <w:pBdr>
          <w:bottom w:val="single" w:color="FFFFFF" w:sz="4" w:space="31"/>
        </w:pBdr>
        <w:topLinePunct/>
        <w:adjustRightInd w:val="0"/>
        <w:spacing w:line="560" w:lineRule="exact"/>
        <w:ind w:firstLine="640" w:firstLineChars="200"/>
        <w:rPr>
          <w:rFonts w:ascii="黑体" w:hAnsi="黑体" w:eastAsia="黑体"/>
          <w:snapToGrid w:val="0"/>
          <w:kern w:val="32"/>
          <w:szCs w:val="32"/>
        </w:rPr>
      </w:pPr>
      <w:r>
        <w:rPr>
          <w:rFonts w:hint="eastAsia" w:ascii="黑体" w:hAnsi="黑体" w:eastAsia="黑体"/>
          <w:snapToGrid w:val="0"/>
          <w:kern w:val="32"/>
          <w:szCs w:val="32"/>
        </w:rPr>
        <w:t>四、2022年</w:t>
      </w:r>
      <w:r>
        <w:rPr>
          <w:rFonts w:ascii="黑体" w:hAnsi="黑体" w:eastAsia="黑体"/>
          <w:snapToGrid w:val="0"/>
          <w:kern w:val="32"/>
          <w:szCs w:val="32"/>
        </w:rPr>
        <w:t>推进法治政府建设</w:t>
      </w:r>
      <w:r>
        <w:rPr>
          <w:rFonts w:hint="eastAsia" w:ascii="黑体" w:hAnsi="黑体" w:eastAsia="黑体"/>
          <w:snapToGrid w:val="0"/>
          <w:kern w:val="32"/>
          <w:szCs w:val="32"/>
        </w:rPr>
        <w:t>工作</w:t>
      </w:r>
      <w:r>
        <w:rPr>
          <w:rFonts w:ascii="黑体" w:hAnsi="黑体" w:eastAsia="黑体"/>
          <w:snapToGrid w:val="0"/>
          <w:kern w:val="32"/>
          <w:szCs w:val="32"/>
        </w:rPr>
        <w:t>思路</w:t>
      </w:r>
    </w:p>
    <w:p>
      <w:pPr>
        <w:pBdr>
          <w:bottom w:val="single" w:color="FFFFFF" w:sz="4" w:space="31"/>
        </w:pBdr>
        <w:topLinePunct/>
        <w:adjustRightInd w:val="0"/>
        <w:spacing w:line="560" w:lineRule="exact"/>
        <w:ind w:firstLine="640" w:firstLineChars="200"/>
        <w:rPr>
          <w:rFonts w:ascii="仿宋_GB2312"/>
          <w:snapToGrid w:val="0"/>
          <w:kern w:val="32"/>
          <w:szCs w:val="32"/>
        </w:rPr>
      </w:pPr>
      <w:r>
        <w:rPr>
          <w:rFonts w:hint="eastAsia" w:ascii="仿宋_GB2312"/>
          <w:snapToGrid w:val="0"/>
          <w:kern w:val="32"/>
          <w:szCs w:val="32"/>
        </w:rPr>
        <w:t>2022年，区财政局将坚持在市财政局法制处、区司法局领导下，认真落实习近平法治思想和中央、市、区依法行政重要部署，结合财政部门实际情况，一是进一步加强法制学习宣传工作，有针对性地加强培训。二是贯彻落实市区法治政府建设工作部署，切实推进各项工作。三是进一步加大财政执法检查工作力度，规范执法检查行为，不断提升财政部门依法理财效能，切实把各项财税政策落到实处。</w:t>
      </w:r>
    </w:p>
    <w:p>
      <w:pPr>
        <w:pBdr>
          <w:bottom w:val="single" w:color="FFFFFF" w:sz="4" w:space="31"/>
        </w:pBdr>
        <w:topLinePunct/>
        <w:adjustRightInd w:val="0"/>
        <w:spacing w:line="560" w:lineRule="exact"/>
        <w:ind w:firstLine="640" w:firstLineChars="200"/>
        <w:rPr>
          <w:rFonts w:ascii="仿宋_GB2312"/>
          <w:snapToGrid w:val="0"/>
          <w:kern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DQ3OGE2ZTI2OThjZGUxNzlmNGUxOTg5YTlhYTM3ZjIifQ=="/>
  </w:docVars>
  <w:rsids>
    <w:rsidRoot w:val="00BC2222"/>
    <w:rsid w:val="004C45B4"/>
    <w:rsid w:val="005A0D9C"/>
    <w:rsid w:val="00653765"/>
    <w:rsid w:val="008716CC"/>
    <w:rsid w:val="00B4716A"/>
    <w:rsid w:val="00BC2222"/>
    <w:rsid w:val="00CA3BFD"/>
    <w:rsid w:val="00CE2104"/>
    <w:rsid w:val="00D7686E"/>
    <w:rsid w:val="31BB274A"/>
    <w:rsid w:val="43B033E3"/>
    <w:rsid w:val="49BA339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napToGrid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3725</Words>
  <Characters>3821</Characters>
  <Lines>27</Lines>
  <Paragraphs>7</Paragraphs>
  <TotalTime>9</TotalTime>
  <ScaleCrop>false</ScaleCrop>
  <LinksUpToDate>false</LinksUpToDate>
  <CharactersWithSpaces>3825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2023-06-12T03:25:00Z</dcterms:created>
  <dc:creator>雷雪梅</dc:creator>
  <cp:lastModifiedBy>czj</cp:lastModifiedBy>
  <dcterms:modified xsi:type="dcterms:W3CDTF">2024-03-21T09:23:53Z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77588F25C61C40C2992A8D4D12813D80_12</vt:lpwstr>
  </property>
</Properties>
</file>