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color w:val="auto"/>
          <w:kern w:val="0"/>
          <w:sz w:val="44"/>
          <w:szCs w:val="44"/>
          <w:u w:val="none"/>
          <w:lang w:val="en-US" w:eastAsia="zh-CN" w:bidi="ar"/>
        </w:rPr>
      </w:pPr>
      <w:bookmarkStart w:id="0" w:name="_GoBack"/>
      <w:r>
        <w:rPr>
          <w:rFonts w:hint="eastAsia" w:ascii="方正小标宋简体" w:hAnsi="方正小标宋简体" w:eastAsia="方正小标宋简体" w:cs="方正小标宋简体"/>
          <w:i w:val="0"/>
          <w:color w:val="auto"/>
          <w:kern w:val="0"/>
          <w:sz w:val="44"/>
          <w:szCs w:val="44"/>
          <w:u w:val="none"/>
          <w:lang w:val="en-US" w:eastAsia="zh-CN" w:bidi="ar"/>
        </w:rPr>
        <w:t>北京市门头沟区大台街道办事处</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color w:val="auto"/>
          <w:kern w:val="0"/>
          <w:sz w:val="44"/>
          <w:szCs w:val="44"/>
          <w:u w:val="none"/>
          <w:lang w:val="en-US" w:eastAsia="zh-CN" w:bidi="ar"/>
        </w:rPr>
      </w:pPr>
      <w:r>
        <w:rPr>
          <w:rFonts w:hint="eastAsia" w:ascii="方正小标宋简体" w:hAnsi="方正小标宋简体" w:eastAsia="方正小标宋简体" w:cs="方正小标宋简体"/>
          <w:i w:val="0"/>
          <w:color w:val="auto"/>
          <w:kern w:val="0"/>
          <w:sz w:val="44"/>
          <w:szCs w:val="44"/>
          <w:u w:val="none"/>
          <w:lang w:val="en-US" w:eastAsia="zh-CN" w:bidi="ar"/>
        </w:rPr>
        <w:t>2023年法治政府建设情况报告</w:t>
      </w:r>
    </w:p>
    <w:bookmarkEnd w:id="0"/>
    <w:p>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right="0" w:rightChars="0"/>
        <w:jc w:val="center"/>
        <w:textAlignment w:val="auto"/>
        <w:outlineLvl w:val="9"/>
        <w:rPr>
          <w:rFonts w:hint="eastAsia" w:ascii="仿宋_GB2312" w:hAnsi="仿宋_GB2312" w:eastAsia="仿宋_GB2312" w:cs="仿宋_GB2312"/>
          <w:b w:val="0"/>
          <w:bCs w:val="0"/>
          <w:color w:val="000000"/>
          <w:kern w:val="2"/>
          <w:sz w:val="32"/>
          <w:szCs w:val="32"/>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Times New Roman" w:hAnsiTheme="minorHAnsi"/>
          <w:snapToGrid w:val="0"/>
          <w:color w:val="auto"/>
          <w:kern w:val="2"/>
          <w:sz w:val="32"/>
          <w:szCs w:val="32"/>
          <w:lang w:val="en-US" w:eastAsia="zh-CN" w:bidi="ar-SA"/>
        </w:rPr>
      </w:pPr>
      <w:r>
        <w:rPr>
          <w:rFonts w:hint="eastAsia" w:ascii="仿宋_GB2312" w:eastAsia="仿宋_GB2312" w:cs="Times New Roman" w:hAnsiTheme="minorHAnsi"/>
          <w:snapToGrid w:val="0"/>
          <w:color w:val="auto"/>
          <w:kern w:val="2"/>
          <w:sz w:val="32"/>
          <w:szCs w:val="32"/>
          <w:lang w:val="en-US" w:eastAsia="zh-CN" w:bidi="ar-SA"/>
        </w:rPr>
        <w:t>大台街道坚</w:t>
      </w:r>
      <w:r>
        <w:rPr>
          <w:rFonts w:hint="eastAsia" w:ascii="仿宋_GB2312" w:eastAsia="仿宋_GB2312" w:cs="Times New Roman" w:hAnsiTheme="minorHAnsi"/>
          <w:snapToGrid w:val="0"/>
          <w:color w:val="auto"/>
          <w:kern w:val="2"/>
          <w:sz w:val="32"/>
          <w:szCs w:val="32"/>
          <w:lang w:val="en-US" w:eastAsia="zh-CN" w:bidi="ar-SA"/>
        </w:rPr>
        <w:t>持以习近平法治思想为指导，紧紧围绕《法治政府建设示范创建指标体系</w:t>
      </w:r>
      <w:r>
        <w:rPr>
          <w:rFonts w:hint="eastAsia" w:ascii="仿宋_GB2312" w:eastAsia="仿宋_GB2312" w:cs="Times New Roman" w:hAnsiTheme="minorHAnsi"/>
          <w:snapToGrid w:val="0"/>
          <w:color w:val="auto"/>
          <w:kern w:val="2"/>
          <w:sz w:val="32"/>
          <w:szCs w:val="32"/>
          <w:lang w:val="en-US" w:eastAsia="zh-CN" w:bidi="ar-SA"/>
        </w:rPr>
        <w:t>》《党政主要负责人履行推进法治建设第一责任人职责规定》《关于全面推进镇街法治政府建设的指导意见》文件精神，积极开展法治政府建设的各项工作。将情况报告如下：</w:t>
      </w:r>
    </w:p>
    <w:p>
      <w:pPr>
        <w:pStyle w:val="10"/>
        <w:keepNext w:val="0"/>
        <w:keepLines w:val="0"/>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一、2023年推进法治政府建设的主要举措和成效</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聚焦学习宣传贯彻习近平法治思想和中央全面依法治国工作会议精神</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eastAsia="仿宋_GB2312" w:cs="Times New Roman"/>
          <w:snapToGrid w:val="0"/>
          <w:color w:val="auto"/>
          <w:kern w:val="2"/>
          <w:sz w:val="32"/>
          <w:szCs w:val="32"/>
          <w:lang w:val="en-US" w:eastAsia="zh-CN" w:bidi="ar-SA"/>
        </w:rPr>
      </w:pPr>
      <w:r>
        <w:rPr>
          <w:rFonts w:hint="eastAsia" w:ascii="仿宋_GB2312" w:eastAsia="仿宋_GB2312" w:cs="Times New Roman"/>
          <w:snapToGrid w:val="0"/>
          <w:color w:val="auto"/>
          <w:kern w:val="2"/>
          <w:sz w:val="32"/>
          <w:szCs w:val="32"/>
          <w:lang w:val="en-US" w:eastAsia="zh-CN" w:bidi="ar-SA"/>
        </w:rPr>
        <w:t>街道主要领导带头学习贯彻习近平法治思想。将习近平法治思想纳入主任办公会会前学法、工委理论中心组学习计划。2023年开展《习近平法治思想学习纲要》理论中心组学习1场次，各类主题会前学法合计6次，其中党政一把手主讲场次2场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（二）政府职能依法全面履行</w:t>
      </w:r>
    </w:p>
    <w:p>
      <w:pPr>
        <w:pStyle w:val="14"/>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3" w:firstLineChars="200"/>
        <w:textAlignment w:val="auto"/>
        <w:rPr>
          <w:rFonts w:hint="eastAsia" w:ascii="仿宋_GB2312" w:hAnsi="宋体" w:eastAsia="仿宋_GB2312" w:cs="Times New Roman"/>
          <w:snapToGrid w:val="0"/>
          <w:color w:val="auto"/>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一是落实政府职能转变深化“放管服”改革。</w:t>
      </w:r>
      <w:r>
        <w:rPr>
          <w:rFonts w:hint="eastAsia" w:ascii="仿宋_GB2312" w:hAnsi="宋体" w:eastAsia="仿宋_GB2312" w:cs="Times New Roman"/>
          <w:snapToGrid w:val="0"/>
          <w:color w:val="auto"/>
          <w:kern w:val="2"/>
          <w:sz w:val="32"/>
          <w:szCs w:val="32"/>
          <w:lang w:val="en-US" w:eastAsia="zh-CN" w:bidi="ar-SA"/>
        </w:rPr>
        <w:t>街道便民服务中心明确窗口咨询、接件、受理、告知、送达各环节实施主体、职责和操作规范。根据加强社区（村）政务服务规范化建设的要求，着力推进社区政务服务站点建设，简化办事流程，同时最大限度实现群众办事“最多跑一次”。在各社区设立治欠专员，自水灾以来，办理涉及农民工工资案件12件，涉及金额50余万元。</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二是持续优化法治化营商环境。</w:t>
      </w:r>
      <w:r>
        <w:rPr>
          <w:rFonts w:hint="eastAsia" w:ascii="仿宋_GB2312" w:hAnsi="仿宋_GB2312" w:eastAsia="仿宋_GB2312" w:cs="仿宋_GB2312"/>
          <w:b w:val="0"/>
          <w:color w:val="auto"/>
          <w:kern w:val="2"/>
          <w:sz w:val="32"/>
          <w:szCs w:val="32"/>
          <w:lang w:val="en-US" w:eastAsia="zh-CN" w:bidi="ar-SA"/>
        </w:rPr>
        <w:t>本年度，街道完成2022年度企业重大贡献奖励发放，金额为485万元。为企业开展政策解读、解除企业经营异常、办理融资贷款等服务10次，报送财源建设相关信息22篇。依托北京市企业“服务包”平台，建立起“信息畅通、服务便捷、联系顺达”的服务桥梁。</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（三）完善依法行政制度体系</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一是完善行政执法责任制。</w:t>
      </w:r>
      <w:r>
        <w:rPr>
          <w:rFonts w:hint="eastAsia" w:ascii="仿宋_GB2312" w:hAnsi="仿宋_GB2312" w:eastAsia="仿宋_GB2312" w:cs="仿宋_GB2312"/>
          <w:b w:val="0"/>
          <w:color w:val="auto"/>
          <w:kern w:val="2"/>
          <w:sz w:val="32"/>
          <w:szCs w:val="32"/>
          <w:lang w:val="en-US" w:eastAsia="zh-CN" w:bidi="ar-SA"/>
        </w:rPr>
        <w:t>街道严格执行</w:t>
      </w:r>
      <w:r>
        <w:rPr>
          <w:rFonts w:hint="eastAsia" w:ascii="仿宋_GB2312" w:hAnsi="仿宋_GB2312" w:eastAsia="仿宋_GB2312" w:cs="仿宋_GB2312"/>
          <w:b w:val="0"/>
          <w:bCs w:val="0"/>
          <w:color w:val="auto"/>
          <w:sz w:val="32"/>
          <w:szCs w:val="32"/>
          <w:lang w:val="en-US" w:eastAsia="zh-CN"/>
        </w:rPr>
        <w:t>《大台街道办事处行政执法岗位责任制》《综合执法队行政执法评议考核办法》和《综合执法队行政执法人员行为规范》，不断完善行政执法责任制度，2023年度街道执法人员新增执法资格1人。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i w:val="0"/>
          <w:caps w:val="0"/>
          <w:color w:val="auto"/>
          <w:spacing w:val="0"/>
          <w:sz w:val="32"/>
          <w:szCs w:val="32"/>
          <w:shd w:val="clear" w:fill="FFFFFF"/>
          <w:lang w:eastAsia="zh-CN"/>
        </w:rPr>
        <w:t>是</w:t>
      </w:r>
      <w:r>
        <w:rPr>
          <w:rFonts w:hint="eastAsia" w:ascii="仿宋_GB2312" w:hAnsi="仿宋_GB2312" w:eastAsia="仿宋_GB2312" w:cs="仿宋_GB2312"/>
          <w:b/>
          <w:bCs/>
          <w:i w:val="0"/>
          <w:caps w:val="0"/>
          <w:color w:val="auto"/>
          <w:spacing w:val="0"/>
          <w:sz w:val="32"/>
          <w:szCs w:val="32"/>
          <w:shd w:val="clear" w:fill="FFFFFF"/>
          <w:lang w:val="en-US" w:eastAsia="zh-CN"/>
        </w:rPr>
        <w:t>完善规范性文件审核机制</w:t>
      </w:r>
      <w:r>
        <w:rPr>
          <w:rFonts w:hint="eastAsia" w:ascii="仿宋_GB2312" w:hAnsi="仿宋_GB2312" w:eastAsia="仿宋_GB2312" w:cs="仿宋_GB2312"/>
          <w:b/>
          <w:bCs/>
          <w:i w:val="0"/>
          <w:caps w:val="0"/>
          <w:color w:val="auto"/>
          <w:spacing w:val="0"/>
          <w:sz w:val="32"/>
          <w:szCs w:val="32"/>
          <w:shd w:val="clear" w:fill="FFFFFF"/>
          <w:lang w:eastAsia="zh-CN"/>
        </w:rPr>
        <w:t>。</w:t>
      </w:r>
      <w:r>
        <w:rPr>
          <w:rFonts w:hint="eastAsia" w:ascii="仿宋_GB2312" w:hAnsi="仿宋_GB2312" w:eastAsia="仿宋_GB2312" w:cs="仿宋_GB2312"/>
          <w:i w:val="0"/>
          <w:caps w:val="0"/>
          <w:color w:val="auto"/>
          <w:spacing w:val="0"/>
          <w:sz w:val="32"/>
          <w:szCs w:val="32"/>
          <w:shd w:val="clear" w:fill="FFFFFF"/>
          <w:lang w:eastAsia="zh-CN"/>
        </w:rPr>
        <w:t>法制部门</w:t>
      </w:r>
      <w:r>
        <w:rPr>
          <w:rFonts w:hint="eastAsia" w:ascii="仿宋_GB2312" w:hAnsi="仿宋_GB2312" w:eastAsia="仿宋_GB2312" w:cs="仿宋_GB2312"/>
          <w:sz w:val="32"/>
          <w:szCs w:val="32"/>
          <w:lang w:val="en-US" w:eastAsia="zh-CN"/>
        </w:rPr>
        <w:t>明确了合法性审核的范围、主体、方式、具体要求、责任和保障措施等内容。通过街道法制部门跟踪文审、文件目录送交区司法局备案的“双关卡”形式</w:t>
      </w:r>
      <w:r>
        <w:rPr>
          <w:rFonts w:hint="eastAsia" w:ascii="仿宋_GB2312" w:hAnsi="仿宋_GB2312" w:eastAsia="仿宋_GB2312" w:cs="仿宋_GB2312"/>
          <w:color w:val="auto"/>
          <w:sz w:val="32"/>
          <w:szCs w:val="32"/>
          <w:lang w:val="en-US" w:eastAsia="zh-CN"/>
        </w:rPr>
        <w:t>实现行政规范性文件合法性审核全覆盖，</w:t>
      </w:r>
      <w:r>
        <w:rPr>
          <w:rFonts w:hint="eastAsia" w:ascii="仿宋_GB2312" w:hAnsi="仿宋_GB2312" w:eastAsia="仿宋_GB2312" w:cs="仿宋_GB2312"/>
          <w:i w:val="0"/>
          <w:caps w:val="0"/>
          <w:color w:val="auto"/>
          <w:spacing w:val="0"/>
          <w:sz w:val="32"/>
          <w:szCs w:val="32"/>
          <w:lang w:eastAsia="zh-CN"/>
        </w:rPr>
        <w:t>加强对</w:t>
      </w:r>
      <w:r>
        <w:rPr>
          <w:rFonts w:hint="eastAsia" w:ascii="仿宋_GB2312" w:hAnsi="仿宋_GB2312" w:eastAsia="仿宋_GB2312" w:cs="仿宋_GB2312"/>
          <w:sz w:val="32"/>
          <w:szCs w:val="32"/>
          <w:lang w:eastAsia="zh-CN"/>
        </w:rPr>
        <w:t>行政规范性文件的审核管理。</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三是健全完善行政权力制约监督制度。</w:t>
      </w:r>
      <w:r>
        <w:rPr>
          <w:rFonts w:hint="eastAsia" w:ascii="仿宋_GB2312" w:hAnsi="仿宋_GB2312" w:eastAsia="仿宋_GB2312" w:cs="仿宋_GB2312"/>
          <w:sz w:val="32"/>
          <w:szCs w:val="32"/>
          <w:lang w:val="en-US" w:eastAsia="zh-CN"/>
        </w:rPr>
        <w:t>不断完善政务公开工作机制和制度体系，扩展政务公开渠道，向社会公开信息，自觉接受社会监督，着力增强各项工作透明度和公信力。严格执行政府信息公开，积极健全政府信息主动公开和依申请公开工作机制。此外街道持续深化机关内审制度、合同法治审核制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（四）重大行政决策科学民主合法</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bCs/>
          <w:sz w:val="32"/>
          <w:szCs w:val="32"/>
          <w:lang w:val="en-US" w:eastAsia="zh-CN"/>
        </w:rPr>
        <w:t>严格落实国务院《重大行政决策程序暂行条例》。</w:t>
      </w:r>
      <w:r>
        <w:rPr>
          <w:rFonts w:hint="eastAsia" w:ascii="仿宋_GB2312" w:hAnsi="仿宋_GB2312" w:eastAsia="仿宋_GB2312" w:cs="仿宋_GB2312"/>
          <w:sz w:val="32"/>
          <w:szCs w:val="32"/>
          <w:lang w:val="en-US" w:eastAsia="zh-CN"/>
        </w:rPr>
        <w:t>积极组织学习《重大行政决策程序暂行条例》，提高班子成员及公务人员对重大行政决策执行评估程序的认识，充分了解重大决策中充分听取公众意见，社会稳定风险评估和合法性审核后提交集体讨论的规范流程。</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是用好党政机关法律顾问及社区法律顾问制度。</w:t>
      </w:r>
      <w:r>
        <w:rPr>
          <w:rFonts w:hint="eastAsia" w:ascii="仿宋_GB2312" w:hAnsi="仿宋_GB2312" w:eastAsia="仿宋_GB2312" w:cs="仿宋_GB2312"/>
          <w:sz w:val="32"/>
          <w:szCs w:val="32"/>
          <w:lang w:eastAsia="zh-CN"/>
        </w:rPr>
        <w:t>发挥</w:t>
      </w:r>
      <w:r>
        <w:rPr>
          <w:rFonts w:hint="eastAsia" w:ascii="仿宋_GB2312" w:hAnsi="仿宋_GB2312" w:eastAsia="仿宋_GB2312" w:cs="仿宋_GB2312"/>
          <w:sz w:val="32"/>
          <w:szCs w:val="32"/>
          <w:lang w:val="en-US" w:eastAsia="zh-CN"/>
        </w:rPr>
        <w:t>法律顾问在重大决策、重大行政执法决定、重大矛盾纠纷化解中作用。</w:t>
      </w:r>
      <w:r>
        <w:rPr>
          <w:rFonts w:hint="eastAsia" w:ascii="仿宋_GB2312" w:hAnsi="仿宋_GB2312" w:eastAsia="仿宋_GB2312" w:cs="仿宋_GB2312"/>
          <w:color w:val="auto"/>
          <w:sz w:val="32"/>
          <w:szCs w:val="32"/>
          <w:highlight w:val="none"/>
          <w:u w:val="none"/>
          <w:lang w:val="en-US" w:eastAsia="zh-CN"/>
        </w:rPr>
        <w:t>年度内街道已选聘机关法律顾问律师，在23.7解决受灾群众诉求工作中积极发挥作用。同时充分利用村居法律顾问参与社区大额合同法治审核，填补社区法治审核盲区，处理化解信访诉求1件。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（五）行政执法权责统一、权威高效</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60" w:lineRule="exact"/>
        <w:ind w:left="0" w:firstLine="643"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bCs/>
          <w:sz w:val="32"/>
          <w:szCs w:val="32"/>
          <w:lang w:val="en-US" w:eastAsia="zh-CN"/>
        </w:rPr>
        <w:t>一是推进严格规范公正文明执法。</w:t>
      </w:r>
      <w:r>
        <w:rPr>
          <w:rFonts w:hint="eastAsia" w:ascii="仿宋_GB2312" w:hAnsi="仿宋_GB2312" w:eastAsia="仿宋_GB2312" w:cs="仿宋_GB2312"/>
          <w:b w:val="0"/>
          <w:bCs w:val="0"/>
          <w:sz w:val="32"/>
          <w:szCs w:val="32"/>
          <w:lang w:val="en-US" w:eastAsia="zh-CN"/>
        </w:rPr>
        <w:t>对照《北京市行政执法全过程记录办法》和《北京市重大行政执法决定法制审核办法》，对行政检查单规范执行情况进行自查，大台街道全部行政检查单文字录入完整规范。实施现场检查时严格按照检查内容开展检查、规范现场录入，不存在要求企业准备书面汇报材料或者要求负责人陪同的情形。</w:t>
      </w:r>
      <w:r>
        <w:rPr>
          <w:rFonts w:hint="eastAsia" w:ascii="仿宋_GB2312" w:hAnsi="仿宋_GB2312" w:eastAsia="仿宋_GB2312" w:cs="仿宋_GB2312"/>
          <w:b w:val="0"/>
          <w:bCs w:val="0"/>
          <w:kern w:val="2"/>
          <w:sz w:val="32"/>
          <w:szCs w:val="32"/>
          <w:lang w:val="en-US" w:eastAsia="zh-CN" w:bidi="ar-SA"/>
        </w:rPr>
        <w:t>2023年度，截至12月31日，执法队共实施行政处罚74起、罚款9440元。其中生活垃圾管理方面34起、市容环境方面33起、大气污染防治方面4起、燃气安全3起。实施行政执法检查316起，覆盖率100%。法治审核部门依托执法信息服务平台街道法制部门抽取执法案卷开展评查，抽查率达100%，同时派执法骨干积极参加区执法案卷评查互查工作。案卷评查中，我街道执法案卷多次评为满分案卷，镇街排名位列第一。</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3" w:firstLineChars="200"/>
        <w:jc w:val="both"/>
        <w:textAlignment w:val="auto"/>
        <w:rPr>
          <w:rFonts w:hint="eastAsia" w:ascii="微软雅黑" w:hAnsi="微软雅黑" w:eastAsia="微软雅黑" w:cs="微软雅黑"/>
          <w:i w:val="0"/>
          <w:iCs w:val="0"/>
          <w:caps w:val="0"/>
          <w:color w:val="FF0000"/>
          <w:spacing w:val="0"/>
          <w:sz w:val="27"/>
          <w:szCs w:val="27"/>
          <w:lang w:eastAsia="zh-CN"/>
        </w:rPr>
      </w:pPr>
      <w:r>
        <w:rPr>
          <w:rFonts w:hint="eastAsia" w:ascii="仿宋_GB2312" w:hAnsi="仿宋_GB2312" w:eastAsia="仿宋_GB2312" w:cs="仿宋_GB2312"/>
          <w:b/>
          <w:bCs/>
          <w:sz w:val="32"/>
          <w:szCs w:val="32"/>
          <w:lang w:val="en-US" w:eastAsia="zh-CN"/>
        </w:rPr>
        <w:t>二是执法部门</w:t>
      </w:r>
      <w:r>
        <w:rPr>
          <w:rFonts w:hint="eastAsia" w:ascii="仿宋_GB2312" w:hAnsi="仿宋_GB2312" w:eastAsia="仿宋_GB2312" w:cs="仿宋_GB2312"/>
          <w:b/>
          <w:bCs/>
          <w:sz w:val="32"/>
          <w:szCs w:val="32"/>
          <w:lang w:eastAsia="zh-CN"/>
        </w:rPr>
        <w:t>优化和改进执法方式，</w:t>
      </w:r>
      <w:r>
        <w:rPr>
          <w:rFonts w:hint="eastAsia" w:ascii="仿宋_GB2312" w:hAnsi="仿宋_GB2312" w:eastAsia="仿宋_GB2312" w:cs="仿宋_GB2312"/>
          <w:b/>
          <w:bCs/>
          <w:sz w:val="32"/>
          <w:szCs w:val="32"/>
          <w:lang w:val="en-US" w:eastAsia="zh-CN"/>
        </w:rPr>
        <w:t>落实</w:t>
      </w:r>
      <w:r>
        <w:rPr>
          <w:rFonts w:hint="eastAsia" w:ascii="仿宋_GB2312" w:hAnsi="仿宋_GB2312" w:eastAsia="仿宋_GB2312" w:cs="仿宋_GB2312"/>
          <w:b/>
          <w:bCs/>
          <w:sz w:val="32"/>
          <w:szCs w:val="32"/>
          <w:lang w:eastAsia="zh-CN"/>
        </w:rPr>
        <w:t>“柔性”执法</w:t>
      </w:r>
      <w:r>
        <w:rPr>
          <w:rFonts w:hint="eastAsia" w:ascii="仿宋_GB2312" w:hAnsi="仿宋_GB2312" w:eastAsia="仿宋_GB2312" w:cs="仿宋_GB2312"/>
          <w:b/>
          <w:bCs/>
          <w:sz w:val="32"/>
          <w:szCs w:val="32"/>
          <w:lang w:val="en-US" w:eastAsia="zh-CN"/>
        </w:rPr>
        <w:t>要求</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kern w:val="2"/>
          <w:sz w:val="32"/>
          <w:szCs w:val="32"/>
          <w:lang w:val="en-US" w:eastAsia="zh-CN" w:bidi="ar-SA"/>
        </w:rPr>
        <w:t>助力社区推进垃圾分类工作，执法人员在早晚时段盯守垃圾桶站，向居民宣传正确的分类方法，对拒不听从管理员劝阻混投、乱投垃圾的行为，当场予以警告。以此提高居民对垃圾分类的重视程度，掌握分类知识，养成分类习惯。全面提升大台地区垃圾分类水平。</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val="en-US" w:eastAsia="zh-CN"/>
        </w:rPr>
        <w:t>三是推进执法部门与生产经营单位双向联动。</w:t>
      </w:r>
      <w:r>
        <w:rPr>
          <w:rFonts w:hint="eastAsia" w:ascii="仿宋_GB2312" w:hAnsi="仿宋_GB2312" w:eastAsia="仿宋_GB2312" w:cs="仿宋_GB2312"/>
          <w:b w:val="0"/>
          <w:bCs w:val="0"/>
          <w:sz w:val="32"/>
          <w:szCs w:val="32"/>
          <w:lang w:val="en-US" w:eastAsia="zh-CN"/>
        </w:rPr>
        <w:t>建立街道建设项目入场约谈机制，</w:t>
      </w:r>
      <w:r>
        <w:rPr>
          <w:rFonts w:hint="eastAsia" w:ascii="仿宋_GB2312" w:hAnsi="仿宋_GB2312" w:eastAsia="仿宋_GB2312" w:cs="仿宋_GB2312"/>
          <w:b w:val="0"/>
          <w:bCs w:val="0"/>
          <w:sz w:val="32"/>
          <w:szCs w:val="32"/>
        </w:rPr>
        <w:t>宣传安全生产相关法律法规，通报当前安全生产形势</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充分利用安全生产与火灾隐患大排查大整治活动契机，</w:t>
      </w:r>
      <w:r>
        <w:rPr>
          <w:rFonts w:hint="eastAsia" w:ascii="仿宋_GB2312" w:hAnsi="仿宋_GB2312" w:eastAsia="仿宋_GB2312" w:cs="仿宋_GB2312"/>
          <w:b w:val="0"/>
          <w:bCs w:val="0"/>
          <w:sz w:val="32"/>
          <w:szCs w:val="32"/>
        </w:rPr>
        <w:t>帮助生产经营单位</w:t>
      </w:r>
      <w:r>
        <w:rPr>
          <w:rFonts w:hint="eastAsia" w:ascii="仿宋_GB2312" w:hAnsi="仿宋_GB2312" w:eastAsia="仿宋_GB2312" w:cs="仿宋_GB2312"/>
          <w:b w:val="0"/>
          <w:bCs w:val="0"/>
          <w:sz w:val="32"/>
          <w:szCs w:val="32"/>
          <w:lang w:eastAsia="zh-CN"/>
        </w:rPr>
        <w:t>履行安全生产主体责任，</w:t>
      </w:r>
      <w:r>
        <w:rPr>
          <w:rFonts w:hint="eastAsia" w:ascii="仿宋_GB2312" w:hAnsi="仿宋_GB2312" w:eastAsia="仿宋_GB2312" w:cs="仿宋_GB2312"/>
          <w:b w:val="0"/>
          <w:bCs w:val="0"/>
          <w:sz w:val="32"/>
          <w:szCs w:val="32"/>
        </w:rPr>
        <w:t>查找</w:t>
      </w:r>
      <w:r>
        <w:rPr>
          <w:rFonts w:hint="eastAsia" w:ascii="仿宋_GB2312" w:hAnsi="仿宋_GB2312" w:eastAsia="仿宋_GB2312" w:cs="仿宋_GB2312"/>
          <w:b w:val="0"/>
          <w:bCs w:val="0"/>
          <w:sz w:val="32"/>
          <w:szCs w:val="32"/>
          <w:lang w:eastAsia="zh-CN"/>
        </w:rPr>
        <w:t>问题</w:t>
      </w:r>
      <w:r>
        <w:rPr>
          <w:rFonts w:hint="eastAsia" w:ascii="仿宋_GB2312" w:hAnsi="仿宋_GB2312" w:eastAsia="仿宋_GB2312" w:cs="仿宋_GB2312"/>
          <w:b w:val="0"/>
          <w:bCs w:val="0"/>
          <w:sz w:val="32"/>
          <w:szCs w:val="32"/>
        </w:rPr>
        <w:t>、整改隐患，提升安全生产管理水平</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年度</w:t>
      </w:r>
      <w:r>
        <w:rPr>
          <w:rFonts w:hint="eastAsia" w:ascii="仿宋_GB2312" w:hAnsi="仿宋_GB2312" w:eastAsia="仿宋_GB2312" w:cs="仿宋_GB2312"/>
          <w:sz w:val="32"/>
          <w:szCs w:val="32"/>
          <w:lang w:val="en-US" w:eastAsia="zh-CN"/>
        </w:rPr>
        <w:t>累计出动检查力量320余人次，发现并整改隐患80余条。企安安系统在册企业66家，企安安检查真实覆盖率达到100%。安全员检查APP的年度任务为400家次，现已完成检查448家次，完成率112%，下达责令整改文书81份，整改81条，整改率100%。清明节重点工作时段内综合执法队查处居民农事用火行为1起，给予行政处罚罚款500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kern w:val="2"/>
          <w:sz w:val="32"/>
          <w:szCs w:val="32"/>
          <w:lang w:val="en-US" w:eastAsia="zh-CN" w:bidi="ar-SA"/>
        </w:rPr>
        <w:t>是落实“</w:t>
      </w:r>
      <w:r>
        <w:rPr>
          <w:rFonts w:hint="eastAsia" w:ascii="仿宋_GB2312" w:hAnsi="仿宋_GB2312" w:eastAsia="仿宋_GB2312" w:cs="仿宋_GB2312"/>
          <w:b/>
          <w:bCs/>
          <w:sz w:val="32"/>
          <w:szCs w:val="32"/>
          <w:lang w:eastAsia="zh-CN"/>
        </w:rPr>
        <w:t>谁执法谁普法”普法责任制。</w:t>
      </w:r>
      <w:r>
        <w:rPr>
          <w:rFonts w:hint="eastAsia" w:ascii="仿宋_GB2312" w:hAnsi="仿宋_GB2312" w:eastAsia="仿宋_GB2312" w:cs="仿宋_GB2312"/>
          <w:b w:val="0"/>
          <w:bCs w:val="0"/>
          <w:sz w:val="32"/>
          <w:szCs w:val="32"/>
          <w:lang w:val="en-US" w:eastAsia="zh-CN"/>
        </w:rPr>
        <w:t>街道各部室根据自身业务职责，主动作为通过讲座、法律咨询、巡查检查、设点宣传等形式积极开展法律进社区、进企业、进机关活动，开展民法典、安全生产、依法经营、扫黑除恶、消防安全、垃圾分类、疫情防控、大气治理各类专题宣传活动。强化各部室普法责任。</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六</w:t>
      </w:r>
      <w:r>
        <w:rPr>
          <w:rFonts w:hint="eastAsia" w:ascii="楷体_GB2312" w:hAnsi="楷体_GB2312" w:eastAsia="楷体_GB2312" w:cs="楷体_GB2312"/>
          <w:b w:val="0"/>
          <w:bCs w:val="0"/>
          <w:sz w:val="32"/>
          <w:szCs w:val="32"/>
          <w:lang w:eastAsia="zh-CN"/>
        </w:rPr>
        <w:t>）社会矛盾纠纷依法有效化解</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sz w:val="32"/>
          <w:szCs w:val="32"/>
          <w:lang w:eastAsia="zh-CN"/>
        </w:rPr>
      </w:pPr>
      <w:r>
        <w:rPr>
          <w:rFonts w:hint="eastAsia" w:ascii="仿宋_GB2312" w:hAnsi="仿宋_GB2312" w:eastAsia="仿宋_GB2312" w:cs="仿宋_GB2312"/>
          <w:b w:val="0"/>
          <w:bCs w:val="0"/>
          <w:sz w:val="32"/>
          <w:szCs w:val="32"/>
          <w:lang w:val="en-US" w:eastAsia="zh-CN"/>
        </w:rPr>
        <w:t>主要领导带头发展新时代“枫桥经验”，充分调动完善社会矛盾纠纷多元预防调处化解综合机制。规范调委会设置和调解员管理，</w:t>
      </w:r>
      <w:r>
        <w:rPr>
          <w:rFonts w:hint="eastAsia" w:ascii="仿宋_GB2312" w:hAnsi="仿宋_GB2312" w:eastAsia="仿宋_GB2312" w:cs="仿宋_GB2312"/>
          <w:b w:val="0"/>
          <w:bCs w:val="0"/>
          <w:color w:val="auto"/>
          <w:sz w:val="32"/>
          <w:szCs w:val="32"/>
          <w:lang w:val="en-US" w:eastAsia="zh-CN"/>
        </w:rPr>
        <w:t>年度调解纠纷48件，涉及金额1.02万元，形成口头协议44件，书面协议4件，上报调解案例4件。</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二、2023年推进法治政府建设存在的不足和原因</w:t>
      </w:r>
    </w:p>
    <w:p>
      <w:pPr>
        <w:pStyle w:val="10"/>
        <w:keepNext w:val="0"/>
        <w:keepLines w:val="0"/>
        <w:pageBreakBefore w:val="0"/>
        <w:numPr>
          <w:ilvl w:val="0"/>
          <w:numId w:val="0"/>
        </w:numPr>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宋体" w:eastAsia="仿宋_GB2312" w:cs="仿宋_GB2312"/>
          <w:b w:val="0"/>
          <w:bCs w:val="0"/>
          <w:i w:val="0"/>
          <w:caps w:val="0"/>
          <w:color w:val="333333"/>
          <w:spacing w:val="0"/>
          <w:kern w:val="2"/>
          <w:sz w:val="32"/>
          <w:szCs w:val="32"/>
          <w:shd w:val="clear" w:fill="FFFFFF"/>
          <w:lang w:val="en-US" w:eastAsia="zh-CN" w:bidi="ar-SA"/>
        </w:rPr>
      </w:pPr>
      <w:r>
        <w:rPr>
          <w:rFonts w:hint="eastAsia" w:ascii="楷体_GB2312" w:hAnsi="楷体_GB2312" w:eastAsia="楷体_GB2312" w:cs="楷体_GB2312"/>
          <w:b w:val="0"/>
          <w:bCs w:val="0"/>
          <w:sz w:val="32"/>
          <w:szCs w:val="32"/>
          <w:lang w:val="en-US" w:eastAsia="zh-CN"/>
        </w:rPr>
        <w:t>（一）对规范性文件制定程序不了解。</w:t>
      </w:r>
      <w:r>
        <w:rPr>
          <w:rFonts w:hint="eastAsia" w:ascii="仿宋_GB2312" w:hAnsi="宋体" w:eastAsia="仿宋_GB2312" w:cs="仿宋_GB2312"/>
          <w:b w:val="0"/>
          <w:bCs w:val="0"/>
          <w:i w:val="0"/>
          <w:caps w:val="0"/>
          <w:color w:val="333333"/>
          <w:spacing w:val="0"/>
          <w:kern w:val="2"/>
          <w:sz w:val="32"/>
          <w:szCs w:val="32"/>
          <w:shd w:val="clear" w:fill="FFFFFF"/>
          <w:lang w:val="en-US" w:eastAsia="zh-CN" w:bidi="ar-SA"/>
        </w:rPr>
        <w:t>部分单位领导干部及其工作人员对规范性文件的程序意识淡薄，对内容涉及公民、法人和其他组织权利义务的文件，需经评估论证、公开征求意见、合法性审核等程序不了解。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val="0"/>
          <w:bCs w:val="0"/>
          <w:i w:val="0"/>
          <w:caps w:val="0"/>
          <w:color w:val="333333"/>
          <w:spacing w:val="0"/>
          <w:kern w:val="2"/>
          <w:sz w:val="32"/>
          <w:szCs w:val="32"/>
          <w:shd w:val="clear" w:fill="FFFFFF"/>
          <w:lang w:val="en-US" w:eastAsia="zh-CN" w:bidi="ar-SA"/>
        </w:rPr>
      </w:pPr>
      <w:r>
        <w:rPr>
          <w:rFonts w:hint="eastAsia" w:ascii="楷体_GB2312" w:hAnsi="楷体_GB2312" w:eastAsia="楷体_GB2312" w:cs="楷体_GB2312"/>
          <w:b w:val="0"/>
          <w:bCs w:val="0"/>
          <w:color w:val="auto"/>
          <w:kern w:val="2"/>
          <w:sz w:val="32"/>
          <w:szCs w:val="32"/>
          <w:lang w:val="en-US" w:eastAsia="zh-CN" w:bidi="ar-SA"/>
        </w:rPr>
        <w:t>（二）对重大行政决策流程不熟悉。</w:t>
      </w:r>
      <w:r>
        <w:rPr>
          <w:rFonts w:hint="eastAsia" w:ascii="仿宋_GB2312" w:hAnsi="宋体" w:eastAsia="仿宋_GB2312" w:cs="仿宋_GB2312"/>
          <w:b w:val="0"/>
          <w:bCs w:val="0"/>
          <w:i w:val="0"/>
          <w:caps w:val="0"/>
          <w:color w:val="333333"/>
          <w:spacing w:val="0"/>
          <w:kern w:val="2"/>
          <w:sz w:val="32"/>
          <w:szCs w:val="32"/>
          <w:shd w:val="clear" w:fill="FFFFFF"/>
          <w:lang w:val="en-US" w:eastAsia="zh-CN" w:bidi="ar-SA"/>
        </w:rPr>
        <w:t>部分领导干部尚未明确重大行政决策的决策主体、事项范围、程序要求。对公开征求意见、专家评估、合法性审核、集体讨论、决策后评估等环节要求把握不准。</w:t>
      </w:r>
    </w:p>
    <w:p>
      <w:pPr>
        <w:pStyle w:val="10"/>
        <w:keepNext w:val="0"/>
        <w:keepLines w:val="0"/>
        <w:pageBreakBefore w:val="0"/>
        <w:tabs>
          <w:tab w:val="left" w:pos="572"/>
        </w:tabs>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b w:val="0"/>
          <w:bCs w:val="0"/>
          <w:color w:val="auto"/>
          <w:kern w:val="2"/>
          <w:sz w:val="32"/>
          <w:szCs w:val="32"/>
          <w:lang w:val="en-US" w:eastAsia="zh-CN" w:bidi="ar-SA"/>
        </w:rPr>
        <w:t>（三）法治政府创建工作准备不够充足。</w:t>
      </w:r>
      <w:r>
        <w:rPr>
          <w:rFonts w:hint="eastAsia" w:ascii="仿宋_GB2312" w:hAnsi="宋体" w:eastAsia="仿宋_GB2312" w:cs="仿宋_GB2312"/>
          <w:b w:val="0"/>
          <w:bCs w:val="0"/>
          <w:i w:val="0"/>
          <w:caps w:val="0"/>
          <w:color w:val="333333"/>
          <w:spacing w:val="0"/>
          <w:kern w:val="2"/>
          <w:sz w:val="31"/>
          <w:szCs w:val="31"/>
          <w:shd w:val="clear" w:fill="FFFFFF"/>
          <w:lang w:val="en-US" w:eastAsia="zh-CN" w:bidi="ar-SA"/>
        </w:rPr>
        <w:t>在法治政府建设重要议题纳入党政负责人依法决策事项上理解不够充分，尚未形成重要议题目录，科室对于涉及法治政府、依法行政决策研究事项不够敏感。</w:t>
      </w:r>
    </w:p>
    <w:p>
      <w:pPr>
        <w:pStyle w:val="4"/>
        <w:keepNext w:val="0"/>
        <w:keepLines w:val="0"/>
        <w:pageBreakBefore w:val="0"/>
        <w:kinsoku/>
        <w:wordWrap/>
        <w:overflowPunct/>
        <w:topLinePunct w:val="0"/>
        <w:autoSpaceDE/>
        <w:autoSpaceDN/>
        <w:bidi w:val="0"/>
        <w:adjustRightInd/>
        <w:snapToGrid/>
        <w:spacing w:before="0" w:after="0" w:line="560" w:lineRule="exact"/>
        <w:ind w:firstLine="640" w:firstLineChars="200"/>
        <w:textAlignment w:val="auto"/>
      </w:pPr>
      <w:r>
        <w:rPr>
          <w:rFonts w:hint="eastAsia" w:ascii="黑体" w:hAnsi="黑体" w:eastAsia="黑体" w:cs="黑体"/>
          <w:color w:val="auto"/>
          <w:sz w:val="32"/>
          <w:szCs w:val="32"/>
          <w:shd w:val="clear" w:color="auto" w:fill="FFFFFF"/>
        </w:rPr>
        <w:t>三、2023年党政主要负责人履行推进法治建设第一责任人职责情况</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Chars="200" w:right="0" w:rightChars="0"/>
        <w:jc w:val="both"/>
        <w:textAlignment w:val="auto"/>
        <w:outlineLvl w:val="9"/>
        <w:rPr>
          <w:rFonts w:hint="default"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color w:val="auto"/>
          <w:kern w:val="2"/>
          <w:sz w:val="32"/>
          <w:szCs w:val="32"/>
          <w:lang w:val="en-US" w:eastAsia="zh-CN" w:bidi="ar-SA"/>
        </w:rPr>
        <w:t>重学习，厚植法治素养根基</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仿宋_GB2312" w:eastAsia="仿宋_GB2312" w:cs="Times New Roman"/>
          <w:snapToGrid w:val="0"/>
          <w:color w:val="auto"/>
          <w:kern w:val="2"/>
          <w:sz w:val="32"/>
          <w:szCs w:val="32"/>
          <w:lang w:val="en-US" w:eastAsia="zh-CN" w:bidi="ar-SA"/>
        </w:rPr>
      </w:pPr>
      <w:r>
        <w:rPr>
          <w:rFonts w:hint="eastAsia" w:ascii="仿宋_GB2312" w:eastAsia="仿宋_GB2312" w:cs="Times New Roman"/>
          <w:snapToGrid w:val="0"/>
          <w:color w:val="auto"/>
          <w:kern w:val="2"/>
          <w:sz w:val="32"/>
          <w:szCs w:val="32"/>
          <w:lang w:val="en-US" w:eastAsia="zh-CN" w:bidi="ar-SA"/>
        </w:rPr>
        <w:t>将习近平法治思想纳入工委理论中心组学习计划，积极落实主要领导领学制度，并在学法环节明确了班子成员认领分管业务领域法律知识领学任务。此外为提振机关干部学法主动性，提优干部基层治理能力，牵头落实干部法治培训，年度开展新时代“枫桥经验”宣讲会1次。</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楷体_GB2312" w:hAnsi="楷体_GB2312" w:eastAsia="楷体_GB2312" w:cs="楷体_GB2312"/>
          <w:color w:val="auto"/>
          <w:kern w:val="2"/>
          <w:sz w:val="32"/>
          <w:szCs w:val="32"/>
          <w:lang w:val="en-US" w:eastAsia="zh-CN" w:bidi="ar-SA"/>
        </w:rPr>
      </w:pPr>
      <w:r>
        <w:rPr>
          <w:rFonts w:hint="eastAsia" w:ascii="楷体_GB2312" w:hAnsi="楷体_GB2312" w:eastAsia="楷体_GB2312" w:cs="楷体_GB2312"/>
          <w:color w:val="auto"/>
          <w:kern w:val="2"/>
          <w:sz w:val="32"/>
          <w:szCs w:val="32"/>
          <w:lang w:val="en-US" w:eastAsia="zh-CN" w:bidi="ar-SA"/>
        </w:rPr>
        <w:t>（二）建机制，强化依法决策保障</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1" w:firstLineChars="200"/>
        <w:jc w:val="both"/>
        <w:textAlignment w:val="auto"/>
        <w:outlineLvl w:val="9"/>
        <w:rPr>
          <w:rFonts w:hint="default" w:ascii="楷体_GB2312" w:hAnsi="楷体_GB2312" w:eastAsia="楷体_GB2312" w:cs="楷体_GB2312"/>
          <w:color w:val="auto"/>
          <w:kern w:val="2"/>
          <w:sz w:val="32"/>
          <w:szCs w:val="32"/>
          <w:lang w:val="en-US" w:eastAsia="zh-CN" w:bidi="ar-SA"/>
        </w:rPr>
      </w:pPr>
      <w:r>
        <w:rPr>
          <w:rFonts w:hint="eastAsia" w:ascii="华文仿宋" w:hAnsi="华文仿宋" w:eastAsia="华文仿宋" w:cs="仿宋_GB2312"/>
          <w:b/>
          <w:bCs/>
          <w:kern w:val="2"/>
          <w:sz w:val="32"/>
          <w:szCs w:val="32"/>
          <w:lang w:val="en-US" w:eastAsia="zh-CN" w:bidi="ar-SA"/>
        </w:rPr>
        <w:t>一是</w:t>
      </w:r>
      <w:r>
        <w:rPr>
          <w:rFonts w:hint="eastAsia" w:ascii="华文仿宋" w:hAnsi="华文仿宋" w:eastAsia="华文仿宋" w:cs="仿宋_GB2312"/>
          <w:b w:val="0"/>
          <w:bCs w:val="0"/>
          <w:kern w:val="2"/>
          <w:sz w:val="32"/>
          <w:szCs w:val="32"/>
          <w:lang w:val="en-US" w:eastAsia="zh-CN" w:bidi="ar-SA"/>
        </w:rPr>
        <w:t>通过</w:t>
      </w:r>
      <w:r>
        <w:rPr>
          <w:rFonts w:hint="eastAsia" w:ascii="华文仿宋" w:hAnsi="华文仿宋" w:eastAsia="华文仿宋" w:cs="仿宋_GB2312"/>
          <w:kern w:val="2"/>
          <w:sz w:val="32"/>
          <w:szCs w:val="32"/>
          <w:lang w:val="en-US" w:eastAsia="zh-CN" w:bidi="ar-SA"/>
        </w:rPr>
        <w:t>2022年街道制度年的系统规划，街道完善了《大台街道制度汇编》,优化了《大台街道机关合同管理办法》，严格落实重要决策法治审核制度；</w:t>
      </w:r>
      <w:r>
        <w:rPr>
          <w:rFonts w:hint="eastAsia" w:ascii="华文仿宋" w:hAnsi="华文仿宋" w:eastAsia="华文仿宋" w:cs="仿宋_GB2312"/>
          <w:b/>
          <w:bCs/>
          <w:kern w:val="2"/>
          <w:sz w:val="32"/>
          <w:szCs w:val="32"/>
          <w:lang w:val="en-US" w:eastAsia="zh-CN" w:bidi="ar-SA"/>
        </w:rPr>
        <w:t>二是</w:t>
      </w:r>
      <w:r>
        <w:rPr>
          <w:rFonts w:hint="eastAsia" w:ascii="华文仿宋" w:hAnsi="华文仿宋" w:eastAsia="华文仿宋" w:cs="仿宋_GB2312"/>
          <w:kern w:val="2"/>
          <w:sz w:val="32"/>
          <w:szCs w:val="32"/>
          <w:lang w:val="en-US" w:eastAsia="zh-CN" w:bidi="ar-SA"/>
        </w:rPr>
        <w:t>严格执行行政规范性文件制发程序规定，强化司法所规范性文件合法性审核职责。明确了“未经合法性审核或经审核不通过的，不得提交集体审议”的决策要求，双关口确保依法决策。</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促服务，持续</w:t>
      </w:r>
      <w:r>
        <w:rPr>
          <w:rFonts w:hint="eastAsia" w:ascii="楷体_GB2312" w:hAnsi="楷体_GB2312" w:eastAsia="楷体_GB2312" w:cs="楷体_GB2312"/>
          <w:sz w:val="32"/>
          <w:szCs w:val="32"/>
          <w:lang w:eastAsia="zh-CN"/>
        </w:rPr>
        <w:t>政府</w:t>
      </w:r>
      <w:r>
        <w:rPr>
          <w:rFonts w:hint="eastAsia" w:ascii="楷体_GB2312" w:hAnsi="楷体_GB2312" w:eastAsia="楷体_GB2312" w:cs="楷体_GB2312"/>
          <w:sz w:val="32"/>
          <w:szCs w:val="32"/>
          <w:lang w:val="en-US" w:eastAsia="zh-CN"/>
        </w:rPr>
        <w:t>职能转变</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落实政府职能转变深化“放管服”改革。</w:t>
      </w:r>
      <w:r>
        <w:rPr>
          <w:rFonts w:hint="eastAsia" w:ascii="仿宋_GB2312" w:hAnsi="宋体" w:eastAsia="仿宋_GB2312" w:cs="Times New Roman"/>
          <w:b w:val="0"/>
          <w:bCs/>
          <w:snapToGrid w:val="0"/>
          <w:color w:val="auto"/>
          <w:kern w:val="2"/>
          <w:sz w:val="32"/>
          <w:szCs w:val="32"/>
          <w:lang w:val="en-US" w:eastAsia="zh-CN" w:bidi="ar-SA"/>
        </w:rPr>
        <w:t>着力推进社区政务服务站点建设，通过实地抽查听取意见的形式指导社区站点开展便民业务，为办事群众开辟高效便捷通道，简化办事流程，同时最大限度实现群众办事“最多跑一次”。</w:t>
      </w:r>
    </w:p>
    <w:p>
      <w:pPr>
        <w:pStyle w:val="4"/>
        <w:keepNext w:val="0"/>
        <w:keepLines w:val="0"/>
        <w:pageBreakBefore w:val="0"/>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lang w:val="en-US" w:eastAsia="zh-CN"/>
        </w:rPr>
        <w:t>四、2024年推进法治政府建设的主要安排</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（一）发挥市民诉求中心、综治中心一体优势，加强平安建设统筹协调</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
        </w:rPr>
        <w:t>整合两中心资源、充分提高机构运行效率。以市民诉求、不稳定苗头化解稳控为指挥棒，充分调动街道内政法执法部门，调动政治素质过硬、法律知识完备的干部，调动辖区政法单位力量，协调一致完善大台平安建设格局。</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（二）统筹人防技防，筑牢基层治理基石</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bCs/>
          <w:kern w:val="0"/>
          <w:sz w:val="32"/>
          <w:szCs w:val="32"/>
          <w:lang w:val="en-US" w:eastAsia="zh-CN" w:bidi="ar"/>
        </w:rPr>
        <w:t>一是</w:t>
      </w:r>
      <w:r>
        <w:rPr>
          <w:rFonts w:hint="eastAsia" w:ascii="仿宋_GB2312" w:hAnsi="仿宋_GB2312" w:eastAsia="仿宋_GB2312" w:cs="仿宋_GB2312"/>
          <w:b w:val="0"/>
          <w:bCs w:val="0"/>
          <w:kern w:val="0"/>
          <w:sz w:val="32"/>
          <w:szCs w:val="32"/>
          <w:lang w:val="en-US" w:eastAsia="zh-CN" w:bidi="ar"/>
        </w:rPr>
        <w:t>加强矛盾纠纷排查调处工作。针对恢复重建进展，提前发现矛盾、化解矛盾，细化人员网格，区域网格，充分发挥维稳信息联络作用，在矛盾纠纷化解中发挥实效。</w:t>
      </w:r>
      <w:r>
        <w:rPr>
          <w:rFonts w:hint="eastAsia" w:ascii="仿宋_GB2312" w:hAnsi="仿宋_GB2312" w:eastAsia="仿宋_GB2312" w:cs="仿宋_GB2312"/>
          <w:b/>
          <w:bCs/>
          <w:kern w:val="0"/>
          <w:sz w:val="32"/>
          <w:szCs w:val="32"/>
          <w:lang w:val="en-US" w:eastAsia="zh-CN" w:bidi="ar"/>
        </w:rPr>
        <w:t>二是</w:t>
      </w:r>
      <w:r>
        <w:rPr>
          <w:rFonts w:hint="eastAsia" w:ascii="仿宋_GB2312" w:hAnsi="仿宋_GB2312" w:eastAsia="仿宋_GB2312" w:cs="仿宋_GB2312"/>
          <w:b w:val="0"/>
          <w:bCs w:val="0"/>
          <w:kern w:val="0"/>
          <w:sz w:val="32"/>
          <w:szCs w:val="32"/>
          <w:lang w:val="en-US" w:eastAsia="zh-CN" w:bidi="ar"/>
        </w:rPr>
        <w:t>充分发挥智慧小区配套设施的堡垒作用，为传统治安志愿者常态化值守添翼增力，完善社区治安防控体系建设，不断增强人民群众安全感。</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b w:val="0"/>
          <w:bCs w:val="0"/>
          <w:color w:val="000000"/>
          <w:kern w:val="2"/>
          <w:sz w:val="32"/>
          <w:szCs w:val="32"/>
          <w:lang w:val="en-US" w:eastAsia="zh-CN" w:bidi="ar-SA"/>
        </w:rPr>
        <w:t>（三）重点精准施策，持续加强依法综合治理</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kern w:val="0"/>
          <w:sz w:val="32"/>
          <w:szCs w:val="32"/>
          <w:lang w:val="en-US" w:eastAsia="zh-CN" w:bidi="ar"/>
        </w:rPr>
      </w:pPr>
      <w:r>
        <w:rPr>
          <w:rFonts w:hint="eastAsia" w:ascii="仿宋_GB2312" w:hAnsi="仿宋_GB2312" w:eastAsia="仿宋_GB2312" w:cs="仿宋_GB2312"/>
          <w:b w:val="0"/>
          <w:bCs w:val="0"/>
          <w:kern w:val="0"/>
          <w:sz w:val="32"/>
          <w:szCs w:val="32"/>
          <w:lang w:val="en-US" w:eastAsia="zh-CN" w:bidi="ar"/>
        </w:rPr>
        <w:t>抓牢宣传阵地不松劲。围绕平安建设，突出节点重点，丰富载体和形式，持续巩固法律“十进”成果，在扫黑除恶、电信、金融反诈、宪法、民法典等着力，送法进社区送法进家门。深耕不辍深入开展信访排查化解，开展打击非法盗采、铁路护路联防、反邪教、反邪教等常态化平安建设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lang w:val="en-US" w:eastAsia="zh-CN"/>
        </w:rPr>
        <w:t>五、其他需要报告的情况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auto"/>
          <w:sz w:val="32"/>
          <w:szCs w:val="32"/>
          <w:shd w:val="clear" w:color="auto" w:fill="FFFFFF"/>
          <w:lang w:val="en-US" w:eastAsia="zh-CN"/>
        </w:rPr>
      </w:pPr>
      <w:r>
        <w:rPr>
          <w:rFonts w:hint="eastAsia" w:ascii="仿宋_GB2312" w:hAnsi="宋体" w:eastAsia="仿宋_GB2312" w:cs="仿宋_GB2312"/>
          <w:color w:val="auto"/>
          <w:sz w:val="32"/>
          <w:szCs w:val="32"/>
          <w:shd w:val="clear" w:color="auto" w:fill="FFFFFF"/>
          <w:lang w:val="en-US" w:eastAsia="zh-CN"/>
        </w:rPr>
        <w:t>无其他需要报告的情况。</w:t>
      </w:r>
    </w:p>
    <w:p>
      <w:pPr>
        <w:pStyle w:val="4"/>
        <w:keepNext w:val="0"/>
        <w:keepLines w:val="0"/>
        <w:pageBreakBefore w:val="0"/>
        <w:widowControl w:val="0"/>
        <w:kinsoku/>
        <w:wordWrap/>
        <w:overflowPunct/>
        <w:topLinePunct w:val="0"/>
        <w:autoSpaceDE/>
        <w:autoSpaceDN/>
        <w:bidi w:val="0"/>
        <w:snapToGrid/>
        <w:spacing w:line="560" w:lineRule="exact"/>
        <w:ind w:left="0" w:leftChars="0" w:right="0" w:rightChars="0" w:firstLine="0" w:firstLineChars="0"/>
        <w:jc w:val="both"/>
        <w:rPr>
          <w:rFonts w:hint="eastAsia" w:ascii="仿宋_GB2312" w:hAnsi="仿宋_GB2312" w:eastAsia="仿宋_GB2312" w:cs="仿宋_GB2312"/>
          <w:sz w:val="32"/>
          <w:szCs w:val="32"/>
          <w:lang w:val="en-US" w:eastAsia="zh-CN"/>
        </w:rPr>
      </w:pPr>
    </w:p>
    <w:p>
      <w:pPr>
        <w:pStyle w:val="4"/>
        <w:keepNext w:val="0"/>
        <w:keepLines w:val="0"/>
        <w:pageBreakBefore w:val="0"/>
        <w:widowControl w:val="0"/>
        <w:kinsoku/>
        <w:wordWrap/>
        <w:overflowPunct/>
        <w:topLinePunct w:val="0"/>
        <w:autoSpaceDE/>
        <w:autoSpaceDN/>
        <w:bidi w:val="0"/>
        <w:snapToGrid/>
        <w:spacing w:line="560" w:lineRule="exact"/>
        <w:ind w:left="0" w:leftChars="0" w:right="0" w:rightChars="0" w:firstLine="0" w:firstLineChars="0"/>
        <w:jc w:val="both"/>
        <w:rPr>
          <w:rFonts w:hint="eastAsia" w:ascii="仿宋_GB2312" w:hAnsi="仿宋_GB2312" w:eastAsia="仿宋_GB2312" w:cs="仿宋_GB2312"/>
          <w:sz w:val="32"/>
          <w:szCs w:val="32"/>
          <w:lang w:val="en-US" w:eastAsia="zh-CN"/>
        </w:rPr>
      </w:pPr>
    </w:p>
    <w:p>
      <w:pPr>
        <w:pStyle w:val="4"/>
        <w:keepNext w:val="0"/>
        <w:keepLines w:val="0"/>
        <w:pageBreakBefore w:val="0"/>
        <w:widowControl w:val="0"/>
        <w:kinsoku/>
        <w:wordWrap/>
        <w:overflowPunct/>
        <w:topLinePunct w:val="0"/>
        <w:autoSpaceDE/>
        <w:autoSpaceDN/>
        <w:bidi w:val="0"/>
        <w:snapToGrid/>
        <w:spacing w:line="560" w:lineRule="exact"/>
        <w:ind w:left="0" w:leftChars="0" w:right="0" w:rightChars="0" w:firstLine="0" w:firstLineChars="0"/>
        <w:jc w:val="both"/>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snapToGrid/>
        <w:spacing w:line="560" w:lineRule="exact"/>
        <w:ind w:left="0" w:leftChars="0" w:right="0" w:rightChars="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2"/>
          <w:szCs w:val="32"/>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E4079F3-48B5-4B3D-BFF9-0907F7A0D99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3488001D-1FBB-41DD-8162-27BFC49D2077}"/>
  </w:font>
  <w:font w:name="楷体_GB2312">
    <w:panose1 w:val="02010609030101010101"/>
    <w:charset w:val="86"/>
    <w:family w:val="modern"/>
    <w:pitch w:val="default"/>
    <w:sig w:usb0="00000001" w:usb1="080E0000" w:usb2="00000000" w:usb3="00000000" w:csb0="00040000" w:csb1="00000000"/>
    <w:embedRegular r:id="rId3" w:fontKey="{06BF83D1-3D83-44EA-82B9-D41724CB0C46}"/>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embedRegular r:id="rId4" w:fontKey="{E940E0D9-984C-4E8E-96C3-A3AD29B3F5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MDkyZTY0MDgzMjBmYjUxNzk2MTFmZDE2NzVhZGYifQ=="/>
  </w:docVars>
  <w:rsids>
    <w:rsidRoot w:val="00000000"/>
    <w:rsid w:val="043D48F2"/>
    <w:rsid w:val="06732EB1"/>
    <w:rsid w:val="0677559F"/>
    <w:rsid w:val="19BE50E2"/>
    <w:rsid w:val="20205C4B"/>
    <w:rsid w:val="26093EA7"/>
    <w:rsid w:val="2D287C23"/>
    <w:rsid w:val="2E356100"/>
    <w:rsid w:val="2E4661F8"/>
    <w:rsid w:val="33DF7F94"/>
    <w:rsid w:val="388D6C2D"/>
    <w:rsid w:val="435873E0"/>
    <w:rsid w:val="4A774D21"/>
    <w:rsid w:val="54842558"/>
    <w:rsid w:val="591F15CA"/>
    <w:rsid w:val="59F40CA9"/>
    <w:rsid w:val="5D9D5DC0"/>
    <w:rsid w:val="617A1204"/>
    <w:rsid w:val="68A8467E"/>
    <w:rsid w:val="69C51B92"/>
    <w:rsid w:val="6B570C09"/>
    <w:rsid w:val="6CA85C06"/>
    <w:rsid w:val="D77F1EE0"/>
    <w:rsid w:val="F2EBA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3"/>
    <w:basedOn w:val="1"/>
    <w:next w:val="1"/>
    <w:qFormat/>
    <w:uiPriority w:val="0"/>
    <w:pPr>
      <w:spacing w:before="0" w:beforeAutospacing="1" w:after="0" w:afterAutospacing="1"/>
      <w:jc w:val="left"/>
    </w:pPr>
    <w:rPr>
      <w:rFonts w:hint="eastAsia" w:ascii="宋体" w:hAnsi="宋体" w:eastAsia="宋体" w:cs="宋体"/>
      <w:b/>
      <w:kern w:val="0"/>
      <w:sz w:val="27"/>
      <w:szCs w:val="27"/>
      <w:lang w:val="en-US" w:eastAsia="zh-CN"/>
    </w:rPr>
  </w:style>
  <w:style w:type="character" w:default="1" w:styleId="12">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2">
    <w:name w:val="Body Text"/>
    <w:basedOn w:val="1"/>
    <w:qFormat/>
    <w:uiPriority w:val="0"/>
    <w:pPr>
      <w:spacing w:line="300" w:lineRule="atLeast"/>
      <w:jc w:val="center"/>
    </w:pPr>
    <w:rPr>
      <w:rFonts w:ascii="Times New Roman" w:hAnsi="Times New Roman" w:eastAsia="Times New Roman" w:cs="Times New Roman"/>
      <w:color w:val="000000"/>
      <w:sz w:val="44"/>
      <w:szCs w:val="20"/>
    </w:rPr>
  </w:style>
  <w:style w:type="paragraph" w:styleId="4">
    <w:name w:val="Normal Indent"/>
    <w:basedOn w:val="1"/>
    <w:qFormat/>
    <w:uiPriority w:val="0"/>
    <w:pPr>
      <w:ind w:firstLine="420"/>
    </w:pPr>
    <w:rPr>
      <w:rFonts w:ascii="Times New Roman" w:hAnsi="Times New Roman" w:eastAsia="宋体" w:cs="Times New Roman"/>
      <w:szCs w:val="20"/>
    </w:rPr>
  </w:style>
  <w:style w:type="paragraph" w:styleId="5">
    <w:name w:val="annotation text"/>
    <w:basedOn w:val="1"/>
    <w:qFormat/>
    <w:uiPriority w:val="0"/>
    <w:pPr>
      <w:jc w:val="left"/>
    </w:pPr>
  </w:style>
  <w:style w:type="paragraph" w:styleId="6">
    <w:name w:val="toc 3"/>
    <w:basedOn w:val="1"/>
    <w:next w:val="1"/>
    <w:qFormat/>
    <w:uiPriority w:val="0"/>
    <w:pPr>
      <w:ind w:left="420"/>
    </w:pPr>
    <w:rPr>
      <w:rFonts w:ascii="等线" w:hAnsi="等线" w:eastAsia="等线"/>
      <w:b/>
      <w:sz w:val="30"/>
      <w:szCs w:val="3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rFonts w:ascii="宋体" w:hAnsi="宋体" w:cs="宋体"/>
      <w:kern w:val="0"/>
      <w:sz w:val="24"/>
      <w:szCs w:val="24"/>
      <w:lang w:val="en-US" w:eastAsia="zh-CN"/>
    </w:rPr>
  </w:style>
  <w:style w:type="paragraph" w:styleId="10">
    <w:name w:val="Title"/>
    <w:basedOn w:val="1"/>
    <w:next w:val="1"/>
    <w:qFormat/>
    <w:uiPriority w:val="0"/>
    <w:pPr>
      <w:spacing w:before="240" w:after="60"/>
      <w:jc w:val="center"/>
      <w:outlineLvl w:val="0"/>
    </w:pPr>
    <w:rPr>
      <w:rFonts w:ascii="Calibri Light" w:hAnsi="Calibri Light" w:cs="黑体"/>
      <w:b/>
      <w:bCs/>
      <w:sz w:val="32"/>
      <w:szCs w:val="32"/>
    </w:rPr>
  </w:style>
  <w:style w:type="character" w:styleId="13">
    <w:name w:val="Emphasis"/>
    <w:basedOn w:val="12"/>
    <w:qFormat/>
    <w:uiPriority w:val="0"/>
    <w:rPr>
      <w:i/>
    </w:rPr>
  </w:style>
  <w:style w:type="paragraph" w:customStyle="1" w:styleId="14">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4263</Words>
  <Characters>4349</Characters>
  <Paragraphs>18</Paragraphs>
  <TotalTime>10</TotalTime>
  <ScaleCrop>false</ScaleCrop>
  <LinksUpToDate>false</LinksUpToDate>
  <CharactersWithSpaces>4381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2022-03-11T11:54:00Z</dcterms:created>
  <dc:creator>SYSTEM</dc:creator>
  <cp:lastModifiedBy>Vera.</cp:lastModifiedBy>
  <cp:lastPrinted>2023-02-20T09:55:00Z</cp:lastPrinted>
  <dcterms:modified xsi:type="dcterms:W3CDTF">2024-05-17T02:58:23Z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5220EA3D0AA848ADA500DEDADCE0F6E5</vt:lpwstr>
  </property>
</Properties>
</file>