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9FA4B35">
      <w:pPr>
        <w:pStyle w:val="7"/>
        <w:keepNext w:val="0"/>
        <w:keepLines w:val="0"/>
        <w:pageBreakBefore w:val="0"/>
        <w:widowControl/>
        <w:suppressLineNumbers w:val="0"/>
        <w:kinsoku/>
        <w:topLinePunct w:val="0"/>
        <w:autoSpaceDN/>
        <w:bidi w:val="0"/>
        <w:adjustRightInd/>
        <w:snapToGrid/>
        <w:spacing w:before="0" w:beforeAutospacing="0" w:after="0" w:afterAutospacing="0" w:line="600" w:lineRule="exact"/>
        <w:ind w:right="0" w:rightChars="0"/>
        <w:jc w:val="center"/>
        <w:textAlignment w:val="auto"/>
        <w:rPr>
          <w:rFonts w:hint="eastAsia" w:ascii="华文中宋" w:hAnsi="华文中宋" w:eastAsia="华文中宋" w:cs="华文中宋"/>
          <w:b/>
          <w:bCs/>
          <w:kern w:val="0"/>
          <w:sz w:val="44"/>
          <w:szCs w:val="44"/>
          <w:u w:val="none"/>
          <w:shd w:val="clear" w:color="auto" w:fill="FFFFFF"/>
          <w:lang w:val="en-US" w:eastAsia="zh-CN"/>
        </w:rPr>
      </w:pPr>
    </w:p>
    <w:p w14:paraId="09CCDB81">
      <w:pPr>
        <w:pStyle w:val="7"/>
        <w:keepNext w:val="0"/>
        <w:keepLines w:val="0"/>
        <w:pageBreakBefore w:val="0"/>
        <w:widowControl/>
        <w:suppressLineNumbers w:val="0"/>
        <w:kinsoku/>
        <w:topLinePunct w:val="0"/>
        <w:autoSpaceDN/>
        <w:bidi w:val="0"/>
        <w:adjustRightInd/>
        <w:snapToGrid/>
        <w:spacing w:before="0" w:beforeAutospacing="0" w:after="0" w:afterAutospacing="0" w:line="600" w:lineRule="exact"/>
        <w:ind w:right="0" w:rightChars="0"/>
        <w:jc w:val="center"/>
        <w:textAlignment w:val="auto"/>
        <w:rPr>
          <w:rFonts w:hint="eastAsia" w:ascii="华文中宋" w:hAnsi="华文中宋" w:eastAsia="华文中宋" w:cs="华文中宋"/>
          <w:b/>
          <w:bCs/>
          <w:kern w:val="0"/>
          <w:sz w:val="44"/>
          <w:szCs w:val="44"/>
          <w:u w:val="none"/>
          <w:shd w:val="clear" w:color="auto" w:fill="FFFFFF"/>
          <w:lang w:val="en-US" w:eastAsia="zh-CN"/>
        </w:rPr>
      </w:pPr>
    </w:p>
    <w:p w14:paraId="1731B35A">
      <w:pPr>
        <w:pStyle w:val="7"/>
        <w:keepNext w:val="0"/>
        <w:keepLines w:val="0"/>
        <w:pageBreakBefore w:val="0"/>
        <w:widowControl/>
        <w:suppressLineNumbers w:val="0"/>
        <w:kinsoku/>
        <w:topLinePunct w:val="0"/>
        <w:autoSpaceDN/>
        <w:bidi w:val="0"/>
        <w:adjustRightInd/>
        <w:snapToGrid/>
        <w:spacing w:before="0" w:beforeAutospacing="0" w:after="0" w:afterAutospacing="0" w:line="600" w:lineRule="exact"/>
        <w:ind w:right="0" w:rightChars="0"/>
        <w:jc w:val="center"/>
        <w:textAlignment w:val="auto"/>
        <w:rPr>
          <w:rFonts w:hint="eastAsia" w:ascii="华文中宋" w:hAnsi="华文中宋" w:eastAsia="华文中宋" w:cs="华文中宋"/>
          <w:b/>
          <w:bCs/>
          <w:kern w:val="0"/>
          <w:sz w:val="44"/>
          <w:szCs w:val="44"/>
          <w:u w:val="none"/>
          <w:shd w:val="clear" w:color="auto" w:fill="FFFFFF"/>
          <w:lang w:val="en-US" w:eastAsia="zh-CN"/>
        </w:rPr>
      </w:pPr>
    </w:p>
    <w:p w14:paraId="47542EDC">
      <w:pPr>
        <w:pStyle w:val="7"/>
        <w:keepNext w:val="0"/>
        <w:keepLines w:val="0"/>
        <w:pageBreakBefore w:val="0"/>
        <w:widowControl/>
        <w:suppressLineNumbers w:val="0"/>
        <w:kinsoku/>
        <w:topLinePunct w:val="0"/>
        <w:autoSpaceDN/>
        <w:bidi w:val="0"/>
        <w:adjustRightInd/>
        <w:snapToGrid/>
        <w:spacing w:before="0" w:beforeAutospacing="0" w:after="0" w:afterAutospacing="0" w:line="600" w:lineRule="exact"/>
        <w:ind w:right="0" w:rightChars="0"/>
        <w:jc w:val="center"/>
        <w:textAlignment w:val="auto"/>
        <w:rPr>
          <w:rFonts w:hint="eastAsia" w:ascii="华文中宋" w:hAnsi="华文中宋" w:eastAsia="华文中宋" w:cs="华文中宋"/>
          <w:b/>
          <w:bCs/>
          <w:kern w:val="0"/>
          <w:sz w:val="44"/>
          <w:szCs w:val="44"/>
          <w:u w:val="none"/>
          <w:shd w:val="clear" w:color="auto" w:fill="FFFFFF"/>
          <w:lang w:val="en-US" w:eastAsia="zh-CN"/>
        </w:rPr>
      </w:pPr>
    </w:p>
    <w:p w14:paraId="6765E3CC">
      <w:pPr>
        <w:keepNext w:val="0"/>
        <w:keepLines w:val="0"/>
        <w:pageBreakBefore w:val="0"/>
        <w:kinsoku/>
        <w:wordWrap/>
        <w:overflowPunct/>
        <w:topLinePunct w:val="0"/>
        <w:autoSpaceDE/>
        <w:autoSpaceDN/>
        <w:bidi w:val="0"/>
        <w:adjustRightInd/>
        <w:snapToGrid/>
        <w:spacing w:line="600" w:lineRule="exact"/>
        <w:jc w:val="center"/>
        <w:textAlignment w:val="auto"/>
        <w:rPr>
          <w:rFonts w:hint="eastAsia" w:ascii="方正小标宋简体" w:hAnsi="方正小标宋简体" w:eastAsia="方正小标宋简体" w:cs="方正小标宋简体"/>
          <w:i w:val="0"/>
          <w:color w:val="auto"/>
          <w:kern w:val="0"/>
          <w:sz w:val="44"/>
          <w:szCs w:val="44"/>
          <w:u w:val="none"/>
          <w:lang w:val="en-US" w:eastAsia="zh-CN" w:bidi="ar"/>
        </w:rPr>
      </w:pPr>
      <w:r>
        <w:rPr>
          <w:rFonts w:hint="eastAsia" w:ascii="方正小标宋简体" w:hAnsi="方正小标宋简体" w:eastAsia="方正小标宋简体" w:cs="方正小标宋简体"/>
          <w:i w:val="0"/>
          <w:color w:val="auto"/>
          <w:kern w:val="0"/>
          <w:sz w:val="44"/>
          <w:szCs w:val="44"/>
          <w:u w:val="none"/>
          <w:lang w:val="en-US" w:eastAsia="zh-CN" w:bidi="ar"/>
        </w:rPr>
        <w:t>2022年度法治政府建设情况报告</w:t>
      </w:r>
    </w:p>
    <w:p w14:paraId="12B5B6BA">
      <w:pPr>
        <w:keepNext w:val="0"/>
        <w:keepLines w:val="0"/>
        <w:pageBreakBefore w:val="0"/>
        <w:widowControl w:val="0"/>
        <w:kinsoku/>
        <w:wordWrap/>
        <w:overflowPunct/>
        <w:topLinePunct w:val="0"/>
        <w:autoSpaceDE/>
        <w:autoSpaceDN/>
        <w:bidi w:val="0"/>
        <w:adjustRightInd/>
        <w:snapToGrid/>
        <w:spacing w:beforeAutospacing="0" w:afterAutospacing="0" w:line="360" w:lineRule="exact"/>
        <w:ind w:right="0" w:rightChars="0"/>
        <w:jc w:val="center"/>
        <w:textAlignment w:val="auto"/>
        <w:outlineLvl w:val="9"/>
        <w:rPr>
          <w:rFonts w:hint="eastAsia" w:ascii="仿宋_GB2312" w:hAnsi="仿宋_GB2312" w:eastAsia="仿宋_GB2312" w:cs="仿宋_GB2312"/>
          <w:b w:val="0"/>
          <w:bCs w:val="0"/>
          <w:color w:val="000000"/>
          <w:kern w:val="2"/>
          <w:sz w:val="32"/>
          <w:szCs w:val="32"/>
          <w:lang w:val="en-US" w:eastAsia="zh-CN" w:bidi="ar-SA"/>
        </w:rPr>
      </w:pPr>
    </w:p>
    <w:p w14:paraId="2C0098B2">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hint="eastAsia" w:ascii="仿宋_GB2312" w:eastAsia="仿宋_GB2312" w:cs="Times New Roman" w:hAnsiTheme="minorHAnsi"/>
          <w:snapToGrid w:val="0"/>
          <w:color w:val="auto"/>
          <w:kern w:val="2"/>
          <w:sz w:val="32"/>
          <w:szCs w:val="32"/>
          <w:lang w:val="en-US" w:eastAsia="zh-CN" w:bidi="ar-SA"/>
        </w:rPr>
      </w:pPr>
      <w:r>
        <w:rPr>
          <w:rFonts w:hint="eastAsia" w:ascii="仿宋_GB2312" w:eastAsia="仿宋_GB2312" w:cs="Times New Roman"/>
          <w:snapToGrid w:val="0"/>
          <w:color w:val="auto"/>
          <w:kern w:val="2"/>
          <w:sz w:val="32"/>
          <w:szCs w:val="32"/>
          <w:lang w:val="en-US" w:eastAsia="zh-CN" w:bidi="ar-SA"/>
        </w:rPr>
        <w:t>大台街道坚</w:t>
      </w:r>
      <w:r>
        <w:rPr>
          <w:rFonts w:hint="eastAsia" w:ascii="仿宋_GB2312" w:eastAsia="仿宋_GB2312" w:cs="Times New Roman" w:hAnsiTheme="minorHAnsi"/>
          <w:snapToGrid w:val="0"/>
          <w:color w:val="auto"/>
          <w:kern w:val="2"/>
          <w:sz w:val="32"/>
          <w:szCs w:val="32"/>
          <w:lang w:val="en-US" w:eastAsia="zh-CN" w:bidi="ar-SA"/>
        </w:rPr>
        <w:t>持以习近平法治思想为指导，在区委、区政府的正确领导下，紧紧围绕《2022年门头沟区法治建设工作督察自查方案》</w:t>
      </w:r>
      <w:r>
        <w:rPr>
          <w:rFonts w:hint="eastAsia" w:ascii="仿宋_GB2312" w:eastAsia="仿宋_GB2312" w:cs="Times New Roman" w:hAnsiTheme="minorHAnsi"/>
          <w:snapToGrid w:val="0"/>
          <w:color w:val="auto"/>
          <w:kern w:val="2"/>
          <w:sz w:val="32"/>
          <w:szCs w:val="32"/>
          <w:u w:val="none"/>
          <w:lang w:val="en-US" w:eastAsia="zh-CN" w:bidi="ar-SA"/>
        </w:rPr>
        <w:t>《党政主要负责人履行推进法治建设第一责任人职责规定》</w:t>
      </w:r>
      <w:r>
        <w:rPr>
          <w:rFonts w:hint="eastAsia" w:ascii="仿宋_GB2312" w:eastAsia="仿宋_GB2312" w:cs="Times New Roman" w:hAnsiTheme="minorHAnsi"/>
          <w:snapToGrid w:val="0"/>
          <w:color w:val="auto"/>
          <w:kern w:val="2"/>
          <w:sz w:val="32"/>
          <w:szCs w:val="32"/>
          <w:lang w:val="en-US" w:eastAsia="zh-CN" w:bidi="ar-SA"/>
        </w:rPr>
        <w:t>《关于全面推进镇街法治政府建设的指导意见》文件精神，以创建法治政府、提升依法行政水平为目标，积极开展法治政府建设的各项工作。将情况报告如下：</w:t>
      </w:r>
    </w:p>
    <w:p w14:paraId="48E9D9B1">
      <w:pPr>
        <w:pStyle w:val="2"/>
        <w:keepNext w:val="0"/>
        <w:keepLines w:val="0"/>
        <w:pageBreakBefore w:val="0"/>
        <w:kinsoku/>
        <w:wordWrap/>
        <w:overflowPunct/>
        <w:topLinePunct w:val="0"/>
        <w:autoSpaceDE/>
        <w:autoSpaceDN/>
        <w:bidi w:val="0"/>
        <w:adjustRightInd/>
        <w:snapToGrid/>
        <w:spacing w:line="560" w:lineRule="exact"/>
        <w:ind w:firstLine="640" w:firstLineChars="200"/>
        <w:jc w:val="both"/>
        <w:textAlignment w:val="auto"/>
        <w:rPr>
          <w:rFonts w:hint="eastAsia" w:ascii="黑体" w:hAnsi="黑体" w:eastAsia="黑体" w:cs="黑体"/>
          <w:b w:val="0"/>
          <w:bCs w:val="0"/>
          <w:kern w:val="2"/>
          <w:sz w:val="32"/>
          <w:szCs w:val="32"/>
          <w:lang w:val="en-US" w:eastAsia="zh-CN" w:bidi="ar-SA"/>
        </w:rPr>
      </w:pPr>
      <w:r>
        <w:rPr>
          <w:rFonts w:hint="eastAsia" w:ascii="黑体" w:hAnsi="黑体" w:eastAsia="黑体" w:cs="黑体"/>
          <w:b w:val="0"/>
          <w:bCs w:val="0"/>
          <w:kern w:val="2"/>
          <w:sz w:val="32"/>
          <w:szCs w:val="32"/>
          <w:lang w:val="en-US" w:eastAsia="zh-CN" w:bidi="ar-SA"/>
        </w:rPr>
        <w:t>一、2022年度推进法治政府建设的主要举措和成效</w:t>
      </w:r>
    </w:p>
    <w:p w14:paraId="6B899408">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楷体_GB2312" w:hAnsi="楷体_GB2312" w:eastAsia="楷体_GB2312" w:cs="楷体_GB2312"/>
          <w:sz w:val="32"/>
          <w:szCs w:val="32"/>
        </w:rPr>
      </w:pPr>
      <w:r>
        <w:rPr>
          <w:rFonts w:hint="eastAsia" w:ascii="楷体_GB2312" w:hAnsi="楷体_GB2312" w:eastAsia="楷体_GB2312" w:cs="楷体_GB2312"/>
          <w:sz w:val="32"/>
          <w:szCs w:val="32"/>
          <w:lang w:eastAsia="zh-CN"/>
        </w:rPr>
        <w:t>（一）</w:t>
      </w:r>
      <w:r>
        <w:rPr>
          <w:rFonts w:hint="eastAsia" w:ascii="楷体_GB2312" w:hAnsi="楷体_GB2312" w:eastAsia="楷体_GB2312" w:cs="楷体_GB2312"/>
          <w:sz w:val="32"/>
          <w:szCs w:val="32"/>
        </w:rPr>
        <w:t>聚焦学习宣传贯彻习近平法治思想和中央全面依法治国工作会议精神</w:t>
      </w:r>
    </w:p>
    <w:p w14:paraId="71388898">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60" w:lineRule="exact"/>
        <w:ind w:left="0" w:leftChars="0" w:right="0" w:rightChars="0" w:firstLine="640" w:firstLineChars="200"/>
        <w:jc w:val="left"/>
        <w:textAlignment w:val="auto"/>
        <w:outlineLvl w:val="9"/>
        <w:rPr>
          <w:rFonts w:hint="eastAsia" w:ascii="仿宋_GB2312" w:eastAsia="仿宋_GB2312" w:cs="Times New Roman"/>
          <w:snapToGrid w:val="0"/>
          <w:color w:val="auto"/>
          <w:kern w:val="2"/>
          <w:sz w:val="32"/>
          <w:szCs w:val="32"/>
          <w:lang w:val="en-US" w:eastAsia="zh-CN" w:bidi="ar-SA"/>
        </w:rPr>
      </w:pPr>
      <w:r>
        <w:rPr>
          <w:rFonts w:hint="eastAsia" w:ascii="仿宋_GB2312" w:eastAsia="仿宋_GB2312" w:cs="Times New Roman"/>
          <w:snapToGrid w:val="0"/>
          <w:color w:val="auto"/>
          <w:kern w:val="2"/>
          <w:sz w:val="32"/>
          <w:szCs w:val="32"/>
          <w:lang w:val="en-US" w:eastAsia="zh-CN" w:bidi="ar-SA"/>
        </w:rPr>
        <w:t>街道主要领导带头学习贯彻习近平法治思想。将习近平法治思想纳入主任办公会会前学法、工委</w:t>
      </w:r>
      <w:bookmarkStart w:id="0" w:name="_GoBack"/>
      <w:bookmarkEnd w:id="0"/>
      <w:r>
        <w:rPr>
          <w:rFonts w:hint="eastAsia" w:ascii="仿宋_GB2312" w:eastAsia="仿宋_GB2312" w:cs="Times New Roman"/>
          <w:snapToGrid w:val="0"/>
          <w:color w:val="auto"/>
          <w:kern w:val="2"/>
          <w:sz w:val="32"/>
          <w:szCs w:val="32"/>
          <w:lang w:val="en-US" w:eastAsia="zh-CN" w:bidi="ar-SA"/>
        </w:rPr>
        <w:t>理论学习中心组学习计划。并通过会前学法制度传达并部署了中央全面依法治国工作会议精神。明确了将学习宣传贯彻习近平法治思想与党史学习教育相结合的学习要求。2022年开展《习近平法治思想学习纲要》理论学习中心组学习1场次，各类主题会前学法合计15次，其中党政一把手主讲场次3场次。</w:t>
      </w:r>
    </w:p>
    <w:p w14:paraId="4642A048">
      <w:pPr>
        <w:keepNext w:val="0"/>
        <w:keepLines w:val="0"/>
        <w:pageBreakBefore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eastAsia="zh-CN"/>
        </w:rPr>
      </w:pPr>
      <w:r>
        <w:rPr>
          <w:rFonts w:hint="eastAsia" w:ascii="楷体_GB2312" w:hAnsi="楷体_GB2312" w:eastAsia="楷体_GB2312" w:cs="楷体_GB2312"/>
          <w:sz w:val="32"/>
          <w:szCs w:val="32"/>
          <w:lang w:eastAsia="zh-CN"/>
        </w:rPr>
        <w:t>（二）政府职能依法全面履行</w:t>
      </w:r>
    </w:p>
    <w:p w14:paraId="63CBE0BE">
      <w:pPr>
        <w:pStyle w:val="11"/>
        <w:keepNext w:val="0"/>
        <w:keepLines w:val="0"/>
        <w:pageBreakBefore w:val="0"/>
        <w:numPr>
          <w:ilvl w:val="0"/>
          <w:numId w:val="0"/>
        </w:numPr>
        <w:kinsoku/>
        <w:wordWrap/>
        <w:overflowPunct/>
        <w:topLinePunct w:val="0"/>
        <w:autoSpaceDE/>
        <w:autoSpaceDN/>
        <w:bidi w:val="0"/>
        <w:adjustRightInd/>
        <w:snapToGrid/>
        <w:spacing w:line="560" w:lineRule="exact"/>
        <w:ind w:right="0" w:rightChars="0" w:firstLine="643" w:firstLineChars="200"/>
        <w:textAlignment w:val="auto"/>
        <w:rPr>
          <w:rFonts w:ascii="仿宋" w:hAnsi="仿宋" w:eastAsia="仿宋" w:cs="仿宋"/>
          <w:b/>
          <w:bCs/>
          <w:sz w:val="32"/>
          <w:szCs w:val="32"/>
        </w:rPr>
      </w:pPr>
      <w:r>
        <w:rPr>
          <w:rFonts w:hint="eastAsia" w:ascii="仿宋_GB2312" w:hAnsi="仿宋_GB2312" w:eastAsia="仿宋_GB2312" w:cs="仿宋_GB2312"/>
          <w:b/>
          <w:bCs/>
          <w:kern w:val="2"/>
          <w:sz w:val="32"/>
          <w:szCs w:val="32"/>
          <w:lang w:val="en-US" w:eastAsia="zh-CN" w:bidi="ar-SA"/>
        </w:rPr>
        <w:t>一是落实政府职能转变深化“放管服”改革。</w:t>
      </w:r>
      <w:r>
        <w:rPr>
          <w:rFonts w:hint="eastAsia" w:ascii="仿宋_GB2312" w:hAnsi="仿宋_GB2312" w:eastAsia="仿宋_GB2312" w:cs="仿宋_GB2312"/>
          <w:kern w:val="2"/>
          <w:sz w:val="32"/>
          <w:szCs w:val="32"/>
          <w:lang w:val="en-US" w:eastAsia="zh-CN" w:bidi="ar-SA"/>
        </w:rPr>
        <w:t>街道便民服务中心明确窗口咨询、接件、受理、告知、送达各环节实施主体、职责和操作规范，编制了综合窗口人员业务培训手册，不断提升综合窗口服务的规范化、标准化水平。此外根据加强社区（村）政务服务规范化建设的要求，街道着力推进社区政务服务站点建设，通过实地抽查听取意见的形式指导社区站点开展便民业务，为办事群众开辟高效便捷通道，</w:t>
      </w:r>
      <w:r>
        <w:rPr>
          <w:rFonts w:hint="eastAsia" w:ascii="仿宋_GB2312" w:hAnsi="仿宋_GB2312" w:eastAsia="仿宋_GB2312" w:cs="仿宋_GB2312"/>
          <w:b w:val="0"/>
          <w:kern w:val="2"/>
          <w:sz w:val="32"/>
          <w:szCs w:val="32"/>
          <w:lang w:val="en-US" w:eastAsia="zh-CN" w:bidi="ar-SA"/>
        </w:rPr>
        <w:t>简化办事流程，同时最大限度实现群众办事“最多跑一次”。</w:t>
      </w:r>
    </w:p>
    <w:p w14:paraId="2C838214">
      <w:pPr>
        <w:pStyle w:val="6"/>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3" w:firstLineChars="200"/>
        <w:jc w:val="both"/>
        <w:textAlignment w:val="auto"/>
        <w:outlineLvl w:val="9"/>
        <w:rPr>
          <w:rFonts w:hint="eastAsia" w:ascii="仿宋_GB2312" w:hAnsi="仿宋_GB2312" w:eastAsia="仿宋_GB2312" w:cs="仿宋_GB2312"/>
          <w:b w:val="0"/>
          <w:color w:val="auto"/>
          <w:kern w:val="2"/>
          <w:sz w:val="32"/>
          <w:szCs w:val="32"/>
          <w:lang w:val="en-US" w:eastAsia="zh-CN" w:bidi="ar-SA"/>
        </w:rPr>
      </w:pPr>
      <w:r>
        <w:rPr>
          <w:rFonts w:hint="eastAsia" w:ascii="仿宋_GB2312" w:hAnsi="仿宋_GB2312" w:eastAsia="仿宋_GB2312" w:cs="仿宋_GB2312"/>
          <w:b/>
          <w:bCs/>
          <w:color w:val="auto"/>
          <w:kern w:val="2"/>
          <w:sz w:val="32"/>
          <w:szCs w:val="32"/>
          <w:lang w:val="en-US" w:eastAsia="zh-CN" w:bidi="ar-SA"/>
        </w:rPr>
        <w:t>二是持续优化法治化营商环境。</w:t>
      </w:r>
      <w:r>
        <w:rPr>
          <w:rFonts w:hint="eastAsia" w:ascii="仿宋_GB2312" w:hAnsi="仿宋_GB2312" w:eastAsia="仿宋_GB2312" w:cs="仿宋_GB2312"/>
          <w:b w:val="0"/>
          <w:color w:val="auto"/>
          <w:kern w:val="2"/>
          <w:sz w:val="32"/>
          <w:szCs w:val="32"/>
          <w:lang w:val="en-US" w:eastAsia="zh-CN" w:bidi="ar-SA"/>
        </w:rPr>
        <w:t>本年度，街道完成2020年度和2021年度企业重大贡献奖励发放，金额分别为523万元和861万元。加强为企业开展政策解读、解除企业经营异常、办理融资贷款等服务8次，报送财源相关信息24篇。此外持续对接服务包企业，截至9月，两家服务包企业地方级税收分别增加40.9%和16.2%。</w:t>
      </w:r>
    </w:p>
    <w:p w14:paraId="3709793C">
      <w:pPr>
        <w:keepNext w:val="0"/>
        <w:keepLines w:val="0"/>
        <w:pageBreakBefore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eastAsia="zh-CN"/>
        </w:rPr>
      </w:pPr>
      <w:r>
        <w:rPr>
          <w:rFonts w:hint="eastAsia" w:ascii="楷体_GB2312" w:hAnsi="楷体_GB2312" w:eastAsia="楷体_GB2312" w:cs="楷体_GB2312"/>
          <w:sz w:val="32"/>
          <w:szCs w:val="32"/>
          <w:lang w:eastAsia="zh-CN"/>
        </w:rPr>
        <w:t>（三）完善依法行政制度体系</w:t>
      </w:r>
    </w:p>
    <w:p w14:paraId="43E5AFB9">
      <w:pPr>
        <w:pStyle w:val="6"/>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3" w:firstLineChars="200"/>
        <w:jc w:val="both"/>
        <w:textAlignment w:val="auto"/>
        <w:outlineLvl w:val="9"/>
        <w:rPr>
          <w:rFonts w:hint="default" w:ascii="仿宋_GB2312" w:hAnsi="仿宋_GB2312" w:eastAsia="仿宋_GB2312" w:cs="仿宋_GB2312"/>
          <w:b w:val="0"/>
          <w:bCs w:val="0"/>
          <w:color w:val="auto"/>
          <w:sz w:val="32"/>
          <w:szCs w:val="32"/>
          <w:lang w:val="en-US" w:eastAsia="zh-CN"/>
        </w:rPr>
      </w:pPr>
      <w:r>
        <w:rPr>
          <w:rFonts w:hint="eastAsia" w:ascii="仿宋_GB2312" w:hAnsi="仿宋_GB2312" w:eastAsia="仿宋_GB2312" w:cs="仿宋_GB2312"/>
          <w:b/>
          <w:bCs/>
          <w:color w:val="auto"/>
          <w:sz w:val="32"/>
          <w:szCs w:val="32"/>
          <w:lang w:val="en-US" w:eastAsia="zh-CN"/>
        </w:rPr>
        <w:t>一是完善行政执法责任制。</w:t>
      </w:r>
      <w:r>
        <w:rPr>
          <w:rFonts w:hint="eastAsia" w:ascii="仿宋_GB2312" w:hAnsi="仿宋_GB2312" w:eastAsia="仿宋_GB2312" w:cs="仿宋_GB2312"/>
          <w:b w:val="0"/>
          <w:color w:val="auto"/>
          <w:kern w:val="2"/>
          <w:sz w:val="32"/>
          <w:szCs w:val="32"/>
          <w:lang w:val="en-US" w:eastAsia="zh-CN" w:bidi="ar-SA"/>
        </w:rPr>
        <w:t>街道严格执行</w:t>
      </w:r>
      <w:r>
        <w:rPr>
          <w:rFonts w:hint="eastAsia" w:ascii="仿宋_GB2312" w:hAnsi="仿宋_GB2312" w:eastAsia="仿宋_GB2312" w:cs="仿宋_GB2312"/>
          <w:b w:val="0"/>
          <w:bCs w:val="0"/>
          <w:color w:val="auto"/>
          <w:sz w:val="32"/>
          <w:szCs w:val="32"/>
          <w:lang w:val="en-US" w:eastAsia="zh-CN"/>
        </w:rPr>
        <w:t>《大台街道办事处行政执法岗位责任制》《综合执法队行政执法评议考核办法》和《综合执法队行政执法人员行为规范》，不断完善行政执法责任制度，2022年度完成街道执法人员执法资格证换发8人，其中A岗执法岗3人，并按时按要求进行换证信息公示。</w:t>
      </w:r>
    </w:p>
    <w:p w14:paraId="1EDD41DD">
      <w:pPr>
        <w:keepNext w:val="0"/>
        <w:keepLines w:val="0"/>
        <w:pageBreakBefore w:val="0"/>
        <w:numPr>
          <w:ilvl w:val="0"/>
          <w:numId w:val="0"/>
        </w:numPr>
        <w:kinsoku/>
        <w:wordWrap/>
        <w:overflowPunct/>
        <w:topLinePunct w:val="0"/>
        <w:autoSpaceDE/>
        <w:autoSpaceDN/>
        <w:bidi w:val="0"/>
        <w:adjustRightInd/>
        <w:snapToGrid/>
        <w:spacing w:line="560" w:lineRule="exact"/>
        <w:ind w:firstLine="643"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b/>
          <w:bCs/>
          <w:color w:val="auto"/>
          <w:sz w:val="32"/>
          <w:szCs w:val="32"/>
          <w:lang w:val="en-US" w:eastAsia="zh-CN"/>
        </w:rPr>
        <w:t>二</w:t>
      </w:r>
      <w:r>
        <w:rPr>
          <w:rFonts w:hint="eastAsia" w:ascii="仿宋_GB2312" w:hAnsi="仿宋_GB2312" w:eastAsia="仿宋_GB2312" w:cs="仿宋_GB2312"/>
          <w:b/>
          <w:bCs/>
          <w:i w:val="0"/>
          <w:caps w:val="0"/>
          <w:color w:val="auto"/>
          <w:spacing w:val="0"/>
          <w:sz w:val="32"/>
          <w:szCs w:val="32"/>
          <w:shd w:val="clear" w:fill="FFFFFF"/>
          <w:lang w:eastAsia="zh-CN"/>
        </w:rPr>
        <w:t>是</w:t>
      </w:r>
      <w:r>
        <w:rPr>
          <w:rFonts w:hint="eastAsia" w:ascii="仿宋_GB2312" w:hAnsi="仿宋_GB2312" w:eastAsia="仿宋_GB2312" w:cs="仿宋_GB2312"/>
          <w:b/>
          <w:bCs/>
          <w:i w:val="0"/>
          <w:caps w:val="0"/>
          <w:color w:val="auto"/>
          <w:spacing w:val="0"/>
          <w:sz w:val="32"/>
          <w:szCs w:val="32"/>
          <w:shd w:val="clear" w:fill="FFFFFF"/>
          <w:lang w:val="en-US" w:eastAsia="zh-CN"/>
        </w:rPr>
        <w:t>完善规范性文件审核机制</w:t>
      </w:r>
      <w:r>
        <w:rPr>
          <w:rFonts w:hint="eastAsia" w:ascii="仿宋_GB2312" w:hAnsi="仿宋_GB2312" w:eastAsia="仿宋_GB2312" w:cs="仿宋_GB2312"/>
          <w:b/>
          <w:bCs/>
          <w:i w:val="0"/>
          <w:caps w:val="0"/>
          <w:color w:val="auto"/>
          <w:spacing w:val="0"/>
          <w:sz w:val="32"/>
          <w:szCs w:val="32"/>
          <w:shd w:val="clear" w:fill="FFFFFF"/>
          <w:lang w:eastAsia="zh-CN"/>
        </w:rPr>
        <w:t>。</w:t>
      </w:r>
      <w:r>
        <w:rPr>
          <w:rFonts w:hint="eastAsia" w:ascii="仿宋_GB2312" w:hAnsi="仿宋_GB2312" w:eastAsia="仿宋_GB2312" w:cs="仿宋_GB2312"/>
          <w:i w:val="0"/>
          <w:caps w:val="0"/>
          <w:color w:val="auto"/>
          <w:spacing w:val="0"/>
          <w:sz w:val="32"/>
          <w:szCs w:val="32"/>
          <w:shd w:val="clear" w:fill="FFFFFF"/>
          <w:lang w:eastAsia="zh-CN"/>
        </w:rPr>
        <w:t>法制部门</w:t>
      </w:r>
      <w:r>
        <w:rPr>
          <w:rFonts w:hint="eastAsia" w:ascii="仿宋_GB2312" w:hAnsi="仿宋_GB2312" w:eastAsia="仿宋_GB2312" w:cs="仿宋_GB2312"/>
          <w:sz w:val="32"/>
          <w:szCs w:val="32"/>
          <w:lang w:val="en-US" w:eastAsia="zh-CN"/>
        </w:rPr>
        <w:t>明确了合法性审核的范围、主体、方式、具体要求、责任和保障措施等内容。通过街道法制部门跟踪文审、文件目录送交区司法局备案的“双关卡”形式</w:t>
      </w:r>
      <w:r>
        <w:rPr>
          <w:rFonts w:hint="eastAsia" w:ascii="仿宋_GB2312" w:hAnsi="仿宋_GB2312" w:eastAsia="仿宋_GB2312" w:cs="仿宋_GB2312"/>
          <w:color w:val="auto"/>
          <w:sz w:val="32"/>
          <w:szCs w:val="32"/>
          <w:lang w:val="en-US" w:eastAsia="zh-CN"/>
        </w:rPr>
        <w:t>实现行政规范性文件合法性审核全覆盖，</w:t>
      </w:r>
      <w:r>
        <w:rPr>
          <w:rFonts w:hint="eastAsia" w:ascii="仿宋_GB2312" w:hAnsi="仿宋_GB2312" w:eastAsia="仿宋_GB2312" w:cs="仿宋_GB2312"/>
          <w:i w:val="0"/>
          <w:caps w:val="0"/>
          <w:color w:val="auto"/>
          <w:spacing w:val="0"/>
          <w:sz w:val="32"/>
          <w:szCs w:val="32"/>
          <w:lang w:eastAsia="zh-CN"/>
        </w:rPr>
        <w:t>加强对</w:t>
      </w:r>
      <w:r>
        <w:rPr>
          <w:rFonts w:hint="eastAsia" w:ascii="仿宋_GB2312" w:hAnsi="仿宋_GB2312" w:eastAsia="仿宋_GB2312" w:cs="仿宋_GB2312"/>
          <w:sz w:val="32"/>
          <w:szCs w:val="32"/>
          <w:lang w:eastAsia="zh-CN"/>
        </w:rPr>
        <w:t>行政规范性文件的审核管理。</w:t>
      </w:r>
    </w:p>
    <w:p w14:paraId="490D67DD">
      <w:pPr>
        <w:ind w:firstLine="643" w:firstLineChars="200"/>
        <w:jc w:val="left"/>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b/>
          <w:bCs/>
          <w:sz w:val="32"/>
          <w:szCs w:val="32"/>
          <w:lang w:val="en-US" w:eastAsia="zh-CN"/>
        </w:rPr>
        <w:t>三是健全完善行政权力制约监督制度。</w:t>
      </w:r>
      <w:r>
        <w:rPr>
          <w:rFonts w:hint="eastAsia" w:ascii="仿宋_GB2312" w:hAnsi="仿宋_GB2312" w:eastAsia="仿宋_GB2312" w:cs="仿宋_GB2312"/>
          <w:sz w:val="32"/>
          <w:szCs w:val="32"/>
          <w:lang w:val="en-US" w:eastAsia="zh-CN"/>
        </w:rPr>
        <w:t>街道不断完善政务公开工作机制和制度体系，扩展政务公开渠道，向社会公开信息，自觉接受社会监督，着力增强各项工作透明度和公信力。街道严格执行政府信息公开政策，积极健全政府信息主动公开和依申请公开工作机制。同时采取平安户长提案制、接诉驿站等多种形式畅通监督渠道，及时、主动地收集群众对街道政府工作的意见和建议。此外街道刀尖向内，强化自纠自查。完善了大台街道制度汇编，完善了机关内审制度、合同管理制度，用制度加强机关财政财务监督，年度完成内部审计一次。</w:t>
      </w:r>
    </w:p>
    <w:p w14:paraId="6BAFA4A4">
      <w:pPr>
        <w:ind w:firstLine="640" w:firstLineChars="200"/>
        <w:rPr>
          <w:rFonts w:hint="eastAsia" w:ascii="楷体_GB2312" w:hAnsi="楷体_GB2312" w:eastAsia="楷体_GB2312" w:cs="楷体_GB2312"/>
          <w:sz w:val="32"/>
          <w:szCs w:val="32"/>
          <w:lang w:eastAsia="zh-CN"/>
        </w:rPr>
      </w:pPr>
      <w:r>
        <w:rPr>
          <w:rFonts w:hint="eastAsia" w:ascii="楷体_GB2312" w:hAnsi="楷体_GB2312" w:eastAsia="楷体_GB2312" w:cs="楷体_GB2312"/>
          <w:sz w:val="32"/>
          <w:szCs w:val="32"/>
          <w:lang w:eastAsia="zh-CN"/>
        </w:rPr>
        <w:t>（四）重大行政决策科学民主合法</w:t>
      </w:r>
    </w:p>
    <w:p w14:paraId="04D623CE">
      <w:pPr>
        <w:ind w:firstLine="643"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b/>
          <w:bCs/>
          <w:sz w:val="32"/>
          <w:szCs w:val="32"/>
          <w:lang w:eastAsia="zh-CN"/>
        </w:rPr>
        <w:t>一是</w:t>
      </w:r>
      <w:r>
        <w:rPr>
          <w:rFonts w:hint="eastAsia" w:ascii="仿宋_GB2312" w:hAnsi="仿宋_GB2312" w:eastAsia="仿宋_GB2312" w:cs="仿宋_GB2312"/>
          <w:b/>
          <w:bCs/>
          <w:sz w:val="32"/>
          <w:szCs w:val="32"/>
          <w:lang w:val="en-US" w:eastAsia="zh-CN"/>
        </w:rPr>
        <w:t>严格落实国务院《重大行政决策程序暂行条例》。</w:t>
      </w:r>
      <w:r>
        <w:rPr>
          <w:rFonts w:hint="eastAsia" w:ascii="仿宋_GB2312" w:hAnsi="仿宋_GB2312" w:eastAsia="仿宋_GB2312" w:cs="仿宋_GB2312"/>
          <w:sz w:val="32"/>
          <w:szCs w:val="32"/>
          <w:lang w:val="en-US" w:eastAsia="zh-CN"/>
        </w:rPr>
        <w:t>积极落实重大行政决策公众参与、专家论证、风险评估、合法性审查、集体讨论决定以及决策执行评估等要求，重大决策做到充分听取社会公众意见，并进行社会稳定风险评估和合法性审核后提交集体讨论作出决定。</w:t>
      </w:r>
    </w:p>
    <w:p w14:paraId="2B16373B">
      <w:pPr>
        <w:keepNext w:val="0"/>
        <w:keepLines w:val="0"/>
        <w:pageBreakBefore w:val="0"/>
        <w:numPr>
          <w:ilvl w:val="0"/>
          <w:numId w:val="0"/>
        </w:numPr>
        <w:kinsoku/>
        <w:wordWrap/>
        <w:overflowPunct/>
        <w:topLinePunct w:val="0"/>
        <w:autoSpaceDE/>
        <w:autoSpaceDN/>
        <w:bidi w:val="0"/>
        <w:adjustRightInd/>
        <w:snapToGrid/>
        <w:spacing w:line="560" w:lineRule="exact"/>
        <w:ind w:firstLine="643" w:firstLineChars="200"/>
        <w:textAlignment w:val="auto"/>
        <w:rPr>
          <w:rFonts w:hint="eastAsia" w:ascii="仿宋_GB2312" w:hAnsi="仿宋_GB2312" w:eastAsia="仿宋_GB2312" w:cs="仿宋_GB2312"/>
          <w:color w:val="auto"/>
          <w:sz w:val="32"/>
          <w:szCs w:val="32"/>
          <w:highlight w:val="none"/>
          <w:u w:val="none"/>
          <w:lang w:val="en-US" w:eastAsia="zh-CN"/>
        </w:rPr>
      </w:pPr>
      <w:r>
        <w:rPr>
          <w:rFonts w:hint="eastAsia" w:ascii="仿宋_GB2312" w:hAnsi="仿宋_GB2312" w:eastAsia="仿宋_GB2312" w:cs="仿宋_GB2312"/>
          <w:b/>
          <w:bCs/>
          <w:sz w:val="32"/>
          <w:szCs w:val="32"/>
          <w:lang w:val="en-US" w:eastAsia="zh-CN"/>
        </w:rPr>
        <w:t>二</w:t>
      </w:r>
      <w:r>
        <w:rPr>
          <w:rFonts w:hint="eastAsia" w:ascii="仿宋_GB2312" w:hAnsi="仿宋_GB2312" w:eastAsia="仿宋_GB2312" w:cs="仿宋_GB2312"/>
          <w:b/>
          <w:bCs/>
          <w:sz w:val="32"/>
          <w:szCs w:val="32"/>
          <w:lang w:eastAsia="zh-CN"/>
        </w:rPr>
        <w:t>是用好党政机关法律顾问及社区法律顾问制度。</w:t>
      </w:r>
      <w:r>
        <w:rPr>
          <w:rFonts w:hint="eastAsia" w:ascii="仿宋_GB2312" w:hAnsi="仿宋_GB2312" w:eastAsia="仿宋_GB2312" w:cs="仿宋_GB2312"/>
          <w:sz w:val="32"/>
          <w:szCs w:val="32"/>
          <w:lang w:eastAsia="zh-CN"/>
        </w:rPr>
        <w:t>发挥</w:t>
      </w:r>
      <w:r>
        <w:rPr>
          <w:rFonts w:hint="eastAsia" w:ascii="仿宋_GB2312" w:hAnsi="仿宋_GB2312" w:eastAsia="仿宋_GB2312" w:cs="仿宋_GB2312"/>
          <w:sz w:val="32"/>
          <w:szCs w:val="32"/>
          <w:lang w:val="en-US" w:eastAsia="zh-CN"/>
        </w:rPr>
        <w:t>法律顾问在重大决策、重大行政执法决定、重大矛盾纠纷化解中作用。</w:t>
      </w:r>
      <w:r>
        <w:rPr>
          <w:rFonts w:hint="eastAsia" w:ascii="仿宋_GB2312" w:hAnsi="仿宋_GB2312" w:eastAsia="仿宋_GB2312" w:cs="仿宋_GB2312"/>
          <w:color w:val="auto"/>
          <w:sz w:val="32"/>
          <w:szCs w:val="32"/>
          <w:highlight w:val="none"/>
          <w:u w:val="none"/>
          <w:lang w:val="en-US" w:eastAsia="zh-CN"/>
        </w:rPr>
        <w:t>引入律师参与社区大额合同审核制度，开展机关社区财务人员政府采购、服务合同培训1场次，开展线上律师普法讲座1次，开展律师参与12345疑难案件调处1次，均效果显著。</w:t>
      </w:r>
    </w:p>
    <w:p w14:paraId="69C029A0">
      <w:pPr>
        <w:keepNext w:val="0"/>
        <w:keepLines w:val="0"/>
        <w:pageBreakBefore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楷体_GB2312" w:hAnsi="楷体_GB2312" w:eastAsia="楷体_GB2312" w:cs="楷体_GB2312"/>
          <w:sz w:val="32"/>
          <w:szCs w:val="32"/>
          <w:lang w:eastAsia="zh-CN"/>
        </w:rPr>
      </w:pPr>
      <w:r>
        <w:rPr>
          <w:rFonts w:hint="eastAsia" w:ascii="楷体_GB2312" w:hAnsi="楷体_GB2312" w:eastAsia="楷体_GB2312" w:cs="楷体_GB2312"/>
          <w:sz w:val="32"/>
          <w:szCs w:val="32"/>
          <w:lang w:eastAsia="zh-CN"/>
        </w:rPr>
        <w:t>（五）行政执法权责统一、权威高效</w:t>
      </w:r>
    </w:p>
    <w:p w14:paraId="55CB90D6">
      <w:pPr>
        <w:keepNext w:val="0"/>
        <w:keepLines w:val="0"/>
        <w:pageBreakBefore w:val="0"/>
        <w:numPr>
          <w:ilvl w:val="0"/>
          <w:numId w:val="0"/>
        </w:numPr>
        <w:kinsoku/>
        <w:wordWrap/>
        <w:overflowPunct/>
        <w:topLinePunct w:val="0"/>
        <w:autoSpaceDE/>
        <w:autoSpaceDN/>
        <w:bidi w:val="0"/>
        <w:adjustRightInd/>
        <w:snapToGrid/>
        <w:spacing w:line="560" w:lineRule="exact"/>
        <w:ind w:firstLine="643" w:firstLineChars="200"/>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bCs/>
          <w:sz w:val="32"/>
          <w:szCs w:val="32"/>
          <w:lang w:val="en-US" w:eastAsia="zh-CN"/>
        </w:rPr>
        <w:t>一是推进严格规范公正文明执法。</w:t>
      </w:r>
      <w:r>
        <w:rPr>
          <w:rFonts w:hint="eastAsia" w:ascii="仿宋_GB2312" w:hAnsi="仿宋_GB2312" w:eastAsia="仿宋_GB2312" w:cs="仿宋_GB2312"/>
          <w:b w:val="0"/>
          <w:bCs w:val="0"/>
          <w:sz w:val="32"/>
          <w:szCs w:val="32"/>
          <w:lang w:val="en-US" w:eastAsia="zh-CN"/>
        </w:rPr>
        <w:t>对照《北京市行政执法全过程记录办法》和《北京市重大行政执法决定法制审核办法》，对行政检查单规范执行情况进行自查，大台街道全部行政检查单文字录入完整规范。实施现场检查时严格按照检查内容开展检查、规范现场录入，不存在要求企业准备书面汇报材料或者要求负责人陪同的情形。区政府门户网站“行政执法公示”专栏公示中执法检查计划、执法统计年报、行政检查结果均按时进行公示；年度执法检查计划内容完整，符合要求；公示的检查、处罚信息均已隐去个人隐私，对涉及商业秘密的均做出技术处理；所有公示内容完整、清晰。</w:t>
      </w:r>
    </w:p>
    <w:p w14:paraId="33937647">
      <w:pPr>
        <w:keepNext w:val="0"/>
        <w:keepLines w:val="0"/>
        <w:pageBreakBefore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b w:val="0"/>
          <w:bCs w:val="0"/>
          <w:sz w:val="32"/>
          <w:szCs w:val="32"/>
          <w:lang w:eastAsia="zh-CN"/>
        </w:rPr>
      </w:pPr>
      <w:r>
        <w:rPr>
          <w:rFonts w:hint="eastAsia" w:ascii="仿宋_GB2312" w:hAnsi="仿宋_GB2312" w:eastAsia="仿宋_GB2312" w:cs="仿宋_GB2312"/>
          <w:b w:val="0"/>
          <w:bCs w:val="0"/>
          <w:sz w:val="32"/>
          <w:szCs w:val="32"/>
          <w:lang w:val="en-US" w:eastAsia="zh-CN"/>
        </w:rPr>
        <w:t>2022年度，截至10月底，执法队共实施行政处罚76起、罚款24100元。其中市容环境方面22起、生活垃圾管理方面38起、大气污染防治方面11起、园林绿化方面2起、燃气安全方面1起、非法小广告处罚2起。行政执法检查1242起，覆盖率85%。法治审核部门</w:t>
      </w:r>
      <w:r>
        <w:rPr>
          <w:rFonts w:hint="eastAsia" w:ascii="仿宋_GB2312" w:hAnsi="仿宋_GB2312" w:eastAsia="仿宋_GB2312" w:cs="仿宋_GB2312"/>
          <w:b w:val="0"/>
          <w:bCs w:val="0"/>
          <w:color w:val="auto"/>
          <w:kern w:val="2"/>
          <w:sz w:val="32"/>
          <w:szCs w:val="32"/>
          <w:highlight w:val="none"/>
          <w:u w:val="none"/>
          <w:lang w:val="en-US" w:eastAsia="zh-CN" w:bidi="ar-SA"/>
        </w:rPr>
        <w:t>依托执法信息服务平台街道法制部门抽取执法案卷开展评查，抽查率达100%，同时派执法骨干积极参加区执法案卷评查互查工作。</w:t>
      </w:r>
    </w:p>
    <w:p w14:paraId="3175CCD7">
      <w:pPr>
        <w:keepNext w:val="0"/>
        <w:keepLines w:val="0"/>
        <w:pageBreakBefore w:val="0"/>
        <w:numPr>
          <w:ilvl w:val="0"/>
          <w:numId w:val="0"/>
        </w:numPr>
        <w:kinsoku/>
        <w:wordWrap/>
        <w:overflowPunct/>
        <w:topLinePunct w:val="0"/>
        <w:autoSpaceDE/>
        <w:autoSpaceDN/>
        <w:bidi w:val="0"/>
        <w:adjustRightInd/>
        <w:snapToGrid/>
        <w:spacing w:line="560" w:lineRule="exact"/>
        <w:ind w:firstLine="643" w:firstLineChars="200"/>
        <w:textAlignment w:val="auto"/>
        <w:rPr>
          <w:rFonts w:hint="default" w:ascii="仿宋_GB2312" w:hAnsi="仿宋_GB2312" w:eastAsia="仿宋_GB2312" w:cs="仿宋_GB2312"/>
          <w:b w:val="0"/>
          <w:bCs w:val="0"/>
          <w:sz w:val="32"/>
          <w:szCs w:val="32"/>
          <w:lang w:val="en-US" w:eastAsia="zh-CN"/>
        </w:rPr>
      </w:pPr>
      <w:r>
        <w:rPr>
          <w:rFonts w:hint="eastAsia" w:ascii="仿宋_GB2312" w:hAnsi="仿宋_GB2312" w:eastAsia="仿宋_GB2312" w:cs="仿宋_GB2312"/>
          <w:b/>
          <w:bCs/>
          <w:sz w:val="32"/>
          <w:szCs w:val="32"/>
          <w:lang w:val="en-US" w:eastAsia="zh-CN"/>
        </w:rPr>
        <w:t>二是加强</w:t>
      </w:r>
      <w:r>
        <w:rPr>
          <w:rFonts w:hint="eastAsia" w:ascii="仿宋_GB2312" w:hAnsi="仿宋_GB2312" w:eastAsia="仿宋_GB2312" w:cs="仿宋_GB2312"/>
          <w:b/>
          <w:bCs/>
          <w:sz w:val="32"/>
          <w:szCs w:val="32"/>
          <w:lang w:eastAsia="zh-CN"/>
        </w:rPr>
        <w:t>关系群众切身利益领域执法。</w:t>
      </w:r>
      <w:r>
        <w:rPr>
          <w:rFonts w:hint="eastAsia" w:ascii="仿宋_GB2312" w:hAnsi="仿宋_GB2312" w:eastAsia="仿宋_GB2312" w:cs="仿宋_GB2312"/>
          <w:b w:val="0"/>
          <w:bCs w:val="0"/>
          <w:color w:val="auto"/>
          <w:kern w:val="2"/>
          <w:sz w:val="32"/>
          <w:szCs w:val="32"/>
          <w:highlight w:val="none"/>
          <w:u w:val="none"/>
          <w:lang w:val="en-US" w:eastAsia="zh-CN" w:bidi="ar-SA"/>
        </w:rPr>
        <w:t>市场监督管理方面街道以小便利店、小餐饮、小食杂店、小果蔬店等“五类”市场主体为重点，切实落实疫情防控主体责任；疫情专班组织人员力量在疫情及安保</w:t>
      </w:r>
      <w:r>
        <w:rPr>
          <w:rFonts w:hint="eastAsia" w:ascii="仿宋" w:hAnsi="仿宋" w:eastAsia="仿宋" w:cs="仿宋"/>
          <w:b w:val="0"/>
          <w:bCs w:val="0"/>
          <w:color w:val="auto"/>
          <w:kern w:val="2"/>
          <w:sz w:val="32"/>
          <w:szCs w:val="32"/>
          <w:lang w:val="en-US" w:eastAsia="zh-CN" w:bidi="ar-SA"/>
        </w:rPr>
        <w:t>时期坚持对各类执法监督对象实行全覆盖等严格管控措施，确保公共卫生安全。</w:t>
      </w:r>
    </w:p>
    <w:p w14:paraId="0A14476E">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both"/>
        <w:textAlignment w:val="auto"/>
        <w:outlineLvl w:val="9"/>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bCs/>
          <w:sz w:val="32"/>
          <w:szCs w:val="32"/>
          <w:lang w:val="en-US" w:eastAsia="zh-CN"/>
        </w:rPr>
        <w:t>三是执法部门</w:t>
      </w:r>
      <w:r>
        <w:rPr>
          <w:rFonts w:hint="eastAsia" w:ascii="仿宋_GB2312" w:hAnsi="仿宋_GB2312" w:eastAsia="仿宋_GB2312" w:cs="仿宋_GB2312"/>
          <w:b/>
          <w:bCs/>
          <w:sz w:val="32"/>
          <w:szCs w:val="32"/>
          <w:lang w:eastAsia="zh-CN"/>
        </w:rPr>
        <w:t>优化和改进执法方式，</w:t>
      </w:r>
      <w:r>
        <w:rPr>
          <w:rFonts w:hint="eastAsia" w:ascii="仿宋_GB2312" w:hAnsi="仿宋_GB2312" w:eastAsia="仿宋_GB2312" w:cs="仿宋_GB2312"/>
          <w:b/>
          <w:bCs/>
          <w:sz w:val="32"/>
          <w:szCs w:val="32"/>
          <w:lang w:val="en-US" w:eastAsia="zh-CN"/>
        </w:rPr>
        <w:t>落实</w:t>
      </w:r>
      <w:r>
        <w:rPr>
          <w:rFonts w:hint="eastAsia" w:ascii="仿宋_GB2312" w:hAnsi="仿宋_GB2312" w:eastAsia="仿宋_GB2312" w:cs="仿宋_GB2312"/>
          <w:b/>
          <w:bCs/>
          <w:sz w:val="32"/>
          <w:szCs w:val="32"/>
          <w:lang w:eastAsia="zh-CN"/>
        </w:rPr>
        <w:t>“柔性”执法</w:t>
      </w:r>
      <w:r>
        <w:rPr>
          <w:rFonts w:hint="eastAsia" w:ascii="仿宋_GB2312" w:hAnsi="仿宋_GB2312" w:eastAsia="仿宋_GB2312" w:cs="仿宋_GB2312"/>
          <w:b/>
          <w:bCs/>
          <w:sz w:val="32"/>
          <w:szCs w:val="32"/>
          <w:lang w:val="en-US" w:eastAsia="zh-CN"/>
        </w:rPr>
        <w:t>要求</w:t>
      </w:r>
      <w:r>
        <w:rPr>
          <w:rFonts w:hint="eastAsia" w:ascii="仿宋_GB2312" w:hAnsi="仿宋_GB2312" w:eastAsia="仿宋_GB2312" w:cs="仿宋_GB2312"/>
          <w:b/>
          <w:bCs/>
          <w:sz w:val="32"/>
          <w:szCs w:val="32"/>
          <w:lang w:eastAsia="zh-CN"/>
        </w:rPr>
        <w:t>。</w:t>
      </w:r>
      <w:r>
        <w:rPr>
          <w:rFonts w:hint="eastAsia" w:ascii="仿宋_GB2312" w:hAnsi="仿宋_GB2312" w:eastAsia="仿宋_GB2312" w:cs="仿宋_GB2312"/>
          <w:b w:val="0"/>
          <w:bCs w:val="0"/>
          <w:sz w:val="32"/>
          <w:szCs w:val="32"/>
          <w:lang w:val="en-US" w:eastAsia="zh-CN"/>
        </w:rPr>
        <w:t>例如在处理玉皇庙社区外摊贩占路经营问题中，街道主要领导亲自调度，将群众便民需求放在首位，限定经营时间将摊贩请进社区内，社区主动向前规范经营，有效解决了占道经营与便民需求的矛盾。</w:t>
      </w:r>
    </w:p>
    <w:p w14:paraId="502877D5">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both"/>
        <w:textAlignment w:val="auto"/>
        <w:outlineLvl w:val="9"/>
        <w:rPr>
          <w:rFonts w:hint="eastAsia" w:ascii="仿宋_GB2312" w:hAnsi="仿宋_GB2312" w:eastAsia="仿宋_GB2312" w:cs="仿宋_GB2312"/>
          <w:b w:val="0"/>
          <w:bCs w:val="0"/>
          <w:sz w:val="32"/>
          <w:szCs w:val="32"/>
          <w:lang w:eastAsia="zh-CN"/>
        </w:rPr>
      </w:pPr>
      <w:r>
        <w:rPr>
          <w:rFonts w:hint="eastAsia" w:ascii="仿宋_GB2312" w:hAnsi="仿宋_GB2312" w:eastAsia="仿宋_GB2312" w:cs="仿宋_GB2312"/>
          <w:b/>
          <w:bCs/>
          <w:sz w:val="32"/>
          <w:szCs w:val="32"/>
          <w:lang w:val="en-US" w:eastAsia="zh-CN"/>
        </w:rPr>
        <w:t>四是推进执法部门与生产经营单位双向联动。</w:t>
      </w:r>
      <w:r>
        <w:rPr>
          <w:rFonts w:hint="eastAsia" w:ascii="仿宋_GB2312" w:hAnsi="仿宋_GB2312" w:eastAsia="仿宋_GB2312" w:cs="仿宋_GB2312"/>
          <w:b w:val="0"/>
          <w:bCs w:val="0"/>
          <w:sz w:val="32"/>
          <w:szCs w:val="32"/>
          <w:lang w:val="en-US" w:eastAsia="zh-CN"/>
        </w:rPr>
        <w:t>安全生产等</w:t>
      </w:r>
      <w:r>
        <w:rPr>
          <w:rFonts w:hint="eastAsia" w:ascii="仿宋_GB2312" w:hAnsi="仿宋_GB2312" w:eastAsia="仿宋_GB2312" w:cs="仿宋_GB2312"/>
          <w:b w:val="0"/>
          <w:bCs w:val="0"/>
          <w:sz w:val="32"/>
          <w:szCs w:val="32"/>
        </w:rPr>
        <w:t>执法检查过程中积极与生产经营单位主要负责人或安全管理人员进行沟通，宣传安全生产相关法律法规，通报当前安全生产形势</w:t>
      </w:r>
      <w:r>
        <w:rPr>
          <w:rFonts w:hint="eastAsia" w:ascii="仿宋_GB2312" w:hAnsi="仿宋_GB2312" w:eastAsia="仿宋_GB2312" w:cs="仿宋_GB2312"/>
          <w:b w:val="0"/>
          <w:bCs w:val="0"/>
          <w:sz w:val="32"/>
          <w:szCs w:val="32"/>
          <w:lang w:eastAsia="zh-CN"/>
        </w:rPr>
        <w:t>；</w:t>
      </w:r>
      <w:r>
        <w:rPr>
          <w:rFonts w:hint="eastAsia" w:ascii="仿宋_GB2312" w:hAnsi="仿宋_GB2312" w:eastAsia="仿宋_GB2312" w:cs="仿宋_GB2312"/>
          <w:b w:val="0"/>
          <w:bCs w:val="0"/>
          <w:sz w:val="32"/>
          <w:szCs w:val="32"/>
        </w:rPr>
        <w:t>发现存在的一般性问题隐患，告知其主要负责人对隐患限期整改</w:t>
      </w:r>
      <w:r>
        <w:rPr>
          <w:rFonts w:hint="eastAsia" w:ascii="仿宋_GB2312" w:hAnsi="仿宋_GB2312" w:eastAsia="仿宋_GB2312" w:cs="仿宋_GB2312"/>
          <w:b w:val="0"/>
          <w:bCs w:val="0"/>
          <w:sz w:val="32"/>
          <w:szCs w:val="32"/>
          <w:lang w:eastAsia="zh-CN"/>
        </w:rPr>
        <w:t>；以巡代查，</w:t>
      </w:r>
      <w:r>
        <w:rPr>
          <w:rFonts w:hint="eastAsia" w:ascii="仿宋_GB2312" w:hAnsi="仿宋_GB2312" w:eastAsia="仿宋_GB2312" w:cs="仿宋_GB2312"/>
          <w:b w:val="0"/>
          <w:bCs w:val="0"/>
          <w:sz w:val="32"/>
          <w:szCs w:val="32"/>
        </w:rPr>
        <w:t>帮助生产经营单位</w:t>
      </w:r>
      <w:r>
        <w:rPr>
          <w:rFonts w:hint="eastAsia" w:ascii="仿宋_GB2312" w:hAnsi="仿宋_GB2312" w:eastAsia="仿宋_GB2312" w:cs="仿宋_GB2312"/>
          <w:b w:val="0"/>
          <w:bCs w:val="0"/>
          <w:sz w:val="32"/>
          <w:szCs w:val="32"/>
          <w:lang w:eastAsia="zh-CN"/>
        </w:rPr>
        <w:t>履行安全生产主体责任，</w:t>
      </w:r>
      <w:r>
        <w:rPr>
          <w:rFonts w:hint="eastAsia" w:ascii="仿宋_GB2312" w:hAnsi="仿宋_GB2312" w:eastAsia="仿宋_GB2312" w:cs="仿宋_GB2312"/>
          <w:b w:val="0"/>
          <w:bCs w:val="0"/>
          <w:sz w:val="32"/>
          <w:szCs w:val="32"/>
        </w:rPr>
        <w:t>查找</w:t>
      </w:r>
      <w:r>
        <w:rPr>
          <w:rFonts w:hint="eastAsia" w:ascii="仿宋_GB2312" w:hAnsi="仿宋_GB2312" w:eastAsia="仿宋_GB2312" w:cs="仿宋_GB2312"/>
          <w:b w:val="0"/>
          <w:bCs w:val="0"/>
          <w:sz w:val="32"/>
          <w:szCs w:val="32"/>
          <w:lang w:eastAsia="zh-CN"/>
        </w:rPr>
        <w:t>问题</w:t>
      </w:r>
      <w:r>
        <w:rPr>
          <w:rFonts w:hint="eastAsia" w:ascii="仿宋_GB2312" w:hAnsi="仿宋_GB2312" w:eastAsia="仿宋_GB2312" w:cs="仿宋_GB2312"/>
          <w:b w:val="0"/>
          <w:bCs w:val="0"/>
          <w:sz w:val="32"/>
          <w:szCs w:val="32"/>
        </w:rPr>
        <w:t>、整改隐患，提升安全生产管理水平</w:t>
      </w:r>
      <w:r>
        <w:rPr>
          <w:rFonts w:hint="eastAsia" w:ascii="仿宋_GB2312" w:hAnsi="仿宋_GB2312" w:eastAsia="仿宋_GB2312" w:cs="仿宋_GB2312"/>
          <w:b w:val="0"/>
          <w:bCs w:val="0"/>
          <w:sz w:val="32"/>
          <w:szCs w:val="32"/>
          <w:lang w:eastAsia="zh-CN"/>
        </w:rPr>
        <w:t>。</w:t>
      </w:r>
    </w:p>
    <w:p w14:paraId="54B50723">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both"/>
        <w:textAlignment w:val="auto"/>
        <w:outlineLvl w:val="9"/>
        <w:rPr>
          <w:rFonts w:hint="eastAsia" w:ascii="仿宋_GB2312" w:hAnsi="仿宋_GB2312" w:eastAsia="仿宋_GB2312" w:cs="仿宋_GB2312"/>
          <w:b w:val="0"/>
          <w:bCs w:val="0"/>
          <w:color w:val="auto"/>
          <w:kern w:val="2"/>
          <w:sz w:val="32"/>
          <w:szCs w:val="32"/>
          <w:highlight w:val="none"/>
          <w:lang w:val="en-US" w:eastAsia="zh-CN" w:bidi="ar-SA"/>
        </w:rPr>
      </w:pPr>
      <w:r>
        <w:rPr>
          <w:rFonts w:hint="eastAsia" w:ascii="仿宋_GB2312" w:hAnsi="仿宋_GB2312" w:eastAsia="仿宋_GB2312" w:cs="仿宋_GB2312"/>
          <w:b/>
          <w:bCs/>
          <w:sz w:val="32"/>
          <w:szCs w:val="32"/>
          <w:lang w:val="en-US" w:eastAsia="zh-CN"/>
        </w:rPr>
        <w:t>五</w:t>
      </w:r>
      <w:r>
        <w:rPr>
          <w:rFonts w:hint="eastAsia" w:ascii="仿宋_GB2312" w:hAnsi="仿宋_GB2312" w:eastAsia="仿宋_GB2312" w:cs="仿宋_GB2312"/>
          <w:b/>
          <w:bCs/>
          <w:kern w:val="2"/>
          <w:sz w:val="32"/>
          <w:szCs w:val="32"/>
          <w:lang w:val="en-US" w:eastAsia="zh-CN" w:bidi="ar-SA"/>
        </w:rPr>
        <w:t>是落实“</w:t>
      </w:r>
      <w:r>
        <w:rPr>
          <w:rFonts w:hint="eastAsia" w:ascii="仿宋_GB2312" w:hAnsi="仿宋_GB2312" w:eastAsia="仿宋_GB2312" w:cs="仿宋_GB2312"/>
          <w:b/>
          <w:bCs/>
          <w:sz w:val="32"/>
          <w:szCs w:val="32"/>
          <w:lang w:eastAsia="zh-CN"/>
        </w:rPr>
        <w:t>谁执法谁普法”普法责任制。</w:t>
      </w:r>
      <w:r>
        <w:rPr>
          <w:rFonts w:hint="eastAsia" w:ascii="仿宋_GB2312" w:hAnsi="仿宋_GB2312" w:eastAsia="仿宋_GB2312" w:cs="仿宋_GB2312"/>
          <w:b w:val="0"/>
          <w:bCs w:val="0"/>
          <w:sz w:val="32"/>
          <w:szCs w:val="32"/>
          <w:lang w:val="en-US" w:eastAsia="zh-CN"/>
        </w:rPr>
        <w:t>街道各部室根据自身业务职责，主动作为通过讲座、法律咨询、巡查检查、设点宣传等形式积极开展法律进社区、进企业、进机关活动，开展民法典、安全生产、依法经营、扫黑除恶、消防安全、垃圾分类、疫情防控、大气治理各类专题宣传活动。强化各部室普法责任。</w:t>
      </w:r>
    </w:p>
    <w:p w14:paraId="1ADDFF34">
      <w:pPr>
        <w:keepNext w:val="0"/>
        <w:keepLines w:val="0"/>
        <w:pageBreakBefore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b w:val="0"/>
          <w:bCs w:val="0"/>
          <w:sz w:val="32"/>
          <w:szCs w:val="32"/>
          <w:lang w:eastAsia="zh-CN"/>
        </w:rPr>
      </w:pPr>
      <w:r>
        <w:rPr>
          <w:rFonts w:hint="eastAsia" w:ascii="楷体_GB2312" w:hAnsi="楷体_GB2312" w:eastAsia="楷体_GB2312" w:cs="楷体_GB2312"/>
          <w:b w:val="0"/>
          <w:bCs w:val="0"/>
          <w:sz w:val="32"/>
          <w:szCs w:val="32"/>
          <w:lang w:eastAsia="zh-CN"/>
        </w:rPr>
        <w:t>（</w:t>
      </w:r>
      <w:r>
        <w:rPr>
          <w:rFonts w:hint="eastAsia" w:ascii="楷体_GB2312" w:hAnsi="楷体_GB2312" w:eastAsia="楷体_GB2312" w:cs="楷体_GB2312"/>
          <w:b w:val="0"/>
          <w:bCs w:val="0"/>
          <w:sz w:val="32"/>
          <w:szCs w:val="32"/>
          <w:lang w:val="en-US" w:eastAsia="zh-CN"/>
        </w:rPr>
        <w:t>六</w:t>
      </w:r>
      <w:r>
        <w:rPr>
          <w:rFonts w:hint="eastAsia" w:ascii="楷体_GB2312" w:hAnsi="楷体_GB2312" w:eastAsia="楷体_GB2312" w:cs="楷体_GB2312"/>
          <w:b w:val="0"/>
          <w:bCs w:val="0"/>
          <w:sz w:val="32"/>
          <w:szCs w:val="32"/>
          <w:lang w:eastAsia="zh-CN"/>
        </w:rPr>
        <w:t>）社会矛盾纠纷依法有效化解</w:t>
      </w:r>
    </w:p>
    <w:p w14:paraId="3644C7A4">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leftChars="0" w:right="0" w:rightChars="0" w:firstLine="641" w:firstLineChars="0"/>
        <w:jc w:val="both"/>
        <w:textAlignment w:val="auto"/>
        <w:outlineLvl w:val="9"/>
        <w:rPr>
          <w:rFonts w:hint="eastAsia" w:ascii="仿宋_GB2312" w:eastAsia="仿宋_GB2312" w:cs="Times New Roman"/>
          <w:snapToGrid w:val="0"/>
          <w:color w:val="auto"/>
          <w:kern w:val="2"/>
          <w:sz w:val="32"/>
          <w:szCs w:val="32"/>
          <w:lang w:val="en-US" w:eastAsia="zh-CN" w:bidi="ar-SA"/>
        </w:rPr>
      </w:pPr>
      <w:r>
        <w:rPr>
          <w:rFonts w:hint="eastAsia" w:ascii="仿宋_GB2312" w:hAnsi="仿宋_GB2312" w:eastAsia="仿宋_GB2312" w:cs="仿宋_GB2312"/>
          <w:b w:val="0"/>
          <w:bCs w:val="0"/>
          <w:sz w:val="32"/>
          <w:szCs w:val="32"/>
          <w:lang w:val="en-US" w:eastAsia="zh-CN"/>
        </w:rPr>
        <w:t>坚持和发展新时代“枫桥经验”，完善社会矛盾纠纷多元预防调处化解综合机制。规范调委会设置和调解员管理，年度</w:t>
      </w:r>
      <w:r>
        <w:rPr>
          <w:rFonts w:hint="eastAsia" w:ascii="华文仿宋" w:hAnsi="华文仿宋" w:eastAsia="华文仿宋" w:cs="华文仿宋"/>
          <w:b w:val="0"/>
          <w:bCs w:val="0"/>
          <w:kern w:val="2"/>
          <w:sz w:val="32"/>
          <w:szCs w:val="32"/>
          <w:lang w:val="en-US" w:eastAsia="zh-CN" w:bidi="ar-SA"/>
        </w:rPr>
        <w:t>调解纠纷96件，涉及金额703500万元，形成口头协议92件，书面协议4件，上报调解案例4件。</w:t>
      </w:r>
    </w:p>
    <w:p w14:paraId="1482FC4B">
      <w:pPr>
        <w:keepNext w:val="0"/>
        <w:keepLines w:val="0"/>
        <w:pageBreakBefore w:val="0"/>
        <w:numPr>
          <w:ilvl w:val="0"/>
          <w:numId w:val="1"/>
        </w:numPr>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cs="黑体"/>
          <w:b w:val="0"/>
          <w:bCs w:val="0"/>
          <w:kern w:val="2"/>
          <w:sz w:val="32"/>
          <w:szCs w:val="32"/>
          <w:lang w:val="en-US" w:eastAsia="zh-CN" w:bidi="ar-SA"/>
        </w:rPr>
      </w:pPr>
      <w:r>
        <w:rPr>
          <w:rFonts w:hint="eastAsia" w:ascii="黑体" w:hAnsi="黑体" w:eastAsia="黑体" w:cs="黑体"/>
          <w:b w:val="0"/>
          <w:bCs w:val="0"/>
          <w:kern w:val="2"/>
          <w:sz w:val="32"/>
          <w:szCs w:val="32"/>
          <w:lang w:val="en-US" w:eastAsia="zh-CN" w:bidi="ar-SA"/>
        </w:rPr>
        <w:t>推进法治政府建设存在的不足</w:t>
      </w:r>
    </w:p>
    <w:p w14:paraId="43C3EA55">
      <w:pPr>
        <w:pStyle w:val="2"/>
        <w:keepNext w:val="0"/>
        <w:keepLines w:val="0"/>
        <w:pageBreakBefore w:val="0"/>
        <w:widowControl w:val="0"/>
        <w:numPr>
          <w:ilvl w:val="0"/>
          <w:numId w:val="0"/>
        </w:numPr>
        <w:kinsoku/>
        <w:wordWrap/>
        <w:overflowPunct/>
        <w:topLinePunct w:val="0"/>
        <w:autoSpaceDE/>
        <w:autoSpaceDN/>
        <w:bidi w:val="0"/>
        <w:adjustRightInd/>
        <w:snapToGrid/>
        <w:spacing w:before="0" w:after="0" w:line="560" w:lineRule="exact"/>
        <w:ind w:left="0" w:leftChars="0" w:right="0" w:rightChars="0" w:firstLine="640"/>
        <w:jc w:val="both"/>
        <w:textAlignment w:val="auto"/>
        <w:rPr>
          <w:rFonts w:hint="eastAsia" w:ascii="楷体_GB2312" w:hAnsi="楷体_GB2312" w:eastAsia="楷体_GB2312" w:cs="楷体_GB2312"/>
          <w:b w:val="0"/>
          <w:bCs w:val="0"/>
          <w:color w:val="000000"/>
          <w:kern w:val="2"/>
          <w:sz w:val="32"/>
          <w:szCs w:val="32"/>
          <w:lang w:val="en-US" w:eastAsia="zh-CN" w:bidi="ar-SA"/>
        </w:rPr>
      </w:pPr>
      <w:r>
        <w:rPr>
          <w:rFonts w:hint="eastAsia" w:ascii="楷体_GB2312" w:hAnsi="楷体_GB2312" w:eastAsia="楷体_GB2312" w:cs="楷体_GB2312"/>
          <w:b w:val="0"/>
          <w:bCs w:val="0"/>
          <w:color w:val="000000"/>
          <w:kern w:val="2"/>
          <w:sz w:val="32"/>
          <w:szCs w:val="32"/>
          <w:lang w:val="en-US" w:eastAsia="zh-CN" w:bidi="ar-SA"/>
        </w:rPr>
        <w:t>（一）在思想学习上不够深入</w:t>
      </w:r>
    </w:p>
    <w:p w14:paraId="1BC8EBA4">
      <w:pPr>
        <w:keepNext w:val="0"/>
        <w:keepLines w:val="0"/>
        <w:pageBreakBefore w:val="0"/>
        <w:numPr>
          <w:ilvl w:val="0"/>
          <w:numId w:val="0"/>
        </w:numPr>
        <w:kinsoku/>
        <w:wordWrap/>
        <w:overflowPunct/>
        <w:topLinePunct w:val="0"/>
        <w:autoSpaceDE/>
        <w:autoSpaceDN/>
        <w:bidi w:val="0"/>
        <w:adjustRightInd/>
        <w:snapToGrid/>
        <w:spacing w:line="560" w:lineRule="exact"/>
        <w:ind w:right="0" w:rightChars="0" w:firstLine="640" w:firstLineChars="200"/>
        <w:jc w:val="left"/>
        <w:textAlignment w:val="auto"/>
        <w:outlineLvl w:val="9"/>
        <w:rPr>
          <w:rFonts w:hint="eastAsia" w:ascii="华文仿宋" w:hAnsi="华文仿宋" w:eastAsia="华文仿宋" w:cs="仿宋_GB2312"/>
          <w:sz w:val="32"/>
          <w:szCs w:val="32"/>
        </w:rPr>
      </w:pPr>
      <w:r>
        <w:rPr>
          <w:rFonts w:hint="eastAsia" w:ascii="华文仿宋" w:hAnsi="华文仿宋" w:eastAsia="华文仿宋" w:cs="仿宋_GB2312"/>
          <w:sz w:val="32"/>
          <w:szCs w:val="32"/>
          <w:lang w:val="en-US" w:eastAsia="zh-CN"/>
        </w:rPr>
        <w:t>机关工作人员贯彻习近平新时代中国特色社会主义思想，对党的路线方针政策和党中央重大决策部署的组织学习上还不够系统。完成了学习规定的动作，但在决策部署中逻辑内涵的掌握上，应用上还不够透彻，停留在书本层面。此外对社区干部层面的学习引领还不够深入，社区干部思想学习、法治素养没有同步提升。</w:t>
      </w:r>
    </w:p>
    <w:p w14:paraId="011FBA62">
      <w:pPr>
        <w:keepNext w:val="0"/>
        <w:keepLines w:val="0"/>
        <w:pageBreakBefore w:val="0"/>
        <w:numPr>
          <w:ilvl w:val="0"/>
          <w:numId w:val="0"/>
        </w:numPr>
        <w:kinsoku/>
        <w:wordWrap/>
        <w:overflowPunct/>
        <w:topLinePunct w:val="0"/>
        <w:autoSpaceDE/>
        <w:autoSpaceDN/>
        <w:bidi w:val="0"/>
        <w:adjustRightInd/>
        <w:snapToGrid/>
        <w:spacing w:line="560" w:lineRule="exact"/>
        <w:ind w:right="0" w:rightChars="0" w:firstLine="640" w:firstLineChars="200"/>
        <w:jc w:val="left"/>
        <w:textAlignment w:val="auto"/>
        <w:outlineLvl w:val="9"/>
        <w:rPr>
          <w:rFonts w:hint="eastAsia" w:ascii="楷体_GB2312" w:hAnsi="楷体_GB2312" w:eastAsia="楷体_GB2312" w:cs="楷体_GB2312"/>
          <w:b w:val="0"/>
          <w:bCs w:val="0"/>
          <w:color w:val="000000"/>
          <w:kern w:val="2"/>
          <w:sz w:val="32"/>
          <w:szCs w:val="32"/>
          <w:lang w:val="en-US" w:eastAsia="zh-CN" w:bidi="ar-SA"/>
        </w:rPr>
      </w:pPr>
      <w:r>
        <w:rPr>
          <w:rFonts w:hint="eastAsia" w:ascii="楷体_GB2312" w:hAnsi="楷体_GB2312" w:eastAsia="楷体_GB2312" w:cs="楷体_GB2312"/>
          <w:b w:val="0"/>
          <w:bCs w:val="0"/>
          <w:color w:val="000000"/>
          <w:kern w:val="2"/>
          <w:sz w:val="32"/>
          <w:szCs w:val="32"/>
          <w:lang w:val="en-US" w:eastAsia="zh-CN" w:bidi="ar-SA"/>
        </w:rPr>
        <w:t>（二）在政法领域实践问题中调查研究不足</w:t>
      </w:r>
    </w:p>
    <w:p w14:paraId="2047EF5D">
      <w:pPr>
        <w:pStyle w:val="4"/>
        <w:keepNext w:val="0"/>
        <w:keepLines w:val="0"/>
        <w:pageBreakBefore w:val="0"/>
        <w:kinsoku/>
        <w:wordWrap/>
        <w:overflowPunct/>
        <w:topLinePunct w:val="0"/>
        <w:autoSpaceDE/>
        <w:autoSpaceDN/>
        <w:bidi w:val="0"/>
        <w:adjustRightInd/>
        <w:snapToGrid/>
        <w:spacing w:before="0" w:after="0" w:line="560" w:lineRule="exact"/>
        <w:textAlignment w:val="auto"/>
        <w:rPr>
          <w:rFonts w:hint="eastAsia" w:ascii="华文仿宋" w:hAnsi="华文仿宋" w:eastAsia="华文仿宋" w:cs="仿宋_GB2312"/>
          <w:sz w:val="32"/>
          <w:szCs w:val="32"/>
          <w:lang w:val="en-US" w:eastAsia="zh-CN"/>
        </w:rPr>
      </w:pPr>
      <w:r>
        <w:rPr>
          <w:rFonts w:hint="eastAsia" w:ascii="仿宋_GB2312" w:hAnsi="仿宋_GB2312" w:eastAsia="仿宋_GB2312" w:cs="仿宋_GB2312"/>
          <w:b w:val="0"/>
          <w:bCs w:val="0"/>
          <w:kern w:val="2"/>
          <w:sz w:val="32"/>
          <w:szCs w:val="32"/>
          <w:lang w:val="en-US" w:eastAsia="zh-CN" w:bidi="ar"/>
        </w:rPr>
        <w:t>缺乏创新实践的能力和勇气，对法治政府建设的重视程度不够，没有投入充足精力研究思考基层治理中政法单位相互协调中的问题及破解方法。尚不能满足</w:t>
      </w:r>
      <w:r>
        <w:rPr>
          <w:rFonts w:hint="eastAsia" w:ascii="华文仿宋" w:hAnsi="华文仿宋" w:eastAsia="华文仿宋" w:cs="仿宋_GB2312"/>
          <w:sz w:val="32"/>
          <w:szCs w:val="32"/>
          <w:lang w:val="en-US" w:eastAsia="zh-CN"/>
        </w:rPr>
        <w:t>在工作中提出重大决策部署和改革措施的有突破的意见和建议，尚没有协助统筹推进政法改革等各项工作的能力。</w:t>
      </w:r>
    </w:p>
    <w:p w14:paraId="03823F8C">
      <w:pPr>
        <w:pStyle w:val="4"/>
        <w:keepNext w:val="0"/>
        <w:keepLines w:val="0"/>
        <w:pageBreakBefore w:val="0"/>
        <w:numPr>
          <w:ilvl w:val="0"/>
          <w:numId w:val="2"/>
        </w:numPr>
        <w:kinsoku/>
        <w:wordWrap/>
        <w:overflowPunct/>
        <w:topLinePunct w:val="0"/>
        <w:autoSpaceDE/>
        <w:autoSpaceDN/>
        <w:bidi w:val="0"/>
        <w:adjustRightInd/>
        <w:snapToGrid/>
        <w:spacing w:before="0" w:after="0" w:line="560" w:lineRule="exact"/>
        <w:ind w:right="0" w:rightChars="0" w:firstLine="640" w:firstLineChars="200"/>
        <w:textAlignment w:val="auto"/>
        <w:rPr>
          <w:rFonts w:hint="eastAsia" w:ascii="楷体_GB2312" w:hAnsi="楷体_GB2312" w:eastAsia="楷体_GB2312" w:cs="楷体_GB2312"/>
          <w:b w:val="0"/>
          <w:bCs w:val="0"/>
          <w:color w:val="000000"/>
          <w:kern w:val="2"/>
          <w:sz w:val="32"/>
          <w:szCs w:val="32"/>
          <w:lang w:val="en-US" w:eastAsia="zh-CN" w:bidi="ar-SA"/>
        </w:rPr>
      </w:pPr>
      <w:r>
        <w:rPr>
          <w:rFonts w:hint="eastAsia" w:ascii="楷体_GB2312" w:hAnsi="楷体_GB2312" w:eastAsia="楷体_GB2312" w:cs="楷体_GB2312"/>
          <w:b w:val="0"/>
          <w:bCs w:val="0"/>
          <w:color w:val="000000"/>
          <w:kern w:val="2"/>
          <w:sz w:val="32"/>
          <w:szCs w:val="32"/>
          <w:lang w:val="en-US" w:eastAsia="zh-CN" w:bidi="ar-SA"/>
        </w:rPr>
        <w:t>法治建设基层基础还比较薄弱</w:t>
      </w:r>
    </w:p>
    <w:p w14:paraId="2BCAD4CD">
      <w:pPr>
        <w:pStyle w:val="4"/>
        <w:keepNext w:val="0"/>
        <w:keepLines w:val="0"/>
        <w:pageBreakBefore w:val="0"/>
        <w:kinsoku/>
        <w:wordWrap/>
        <w:overflowPunct/>
        <w:topLinePunct w:val="0"/>
        <w:autoSpaceDE/>
        <w:autoSpaceDN/>
        <w:bidi w:val="0"/>
        <w:adjustRightInd/>
        <w:snapToGrid/>
        <w:spacing w:before="0" w:after="0" w:line="560" w:lineRule="exact"/>
        <w:textAlignment w:val="auto"/>
        <w:rPr>
          <w:rFonts w:hint="eastAsia" w:ascii="仿宋_GB2312" w:hAnsi="仿宋_GB2312" w:eastAsia="仿宋_GB2312" w:cs="仿宋_GB2312"/>
          <w:b w:val="0"/>
          <w:bCs w:val="0"/>
          <w:kern w:val="2"/>
          <w:sz w:val="32"/>
          <w:szCs w:val="32"/>
          <w:lang w:val="en-US" w:eastAsia="zh-CN" w:bidi="ar"/>
        </w:rPr>
      </w:pPr>
      <w:r>
        <w:rPr>
          <w:rFonts w:ascii="仿宋_GB2312" w:hAnsi="宋体" w:eastAsia="仿宋_GB2312" w:cs="仿宋_GB2312"/>
          <w:i w:val="0"/>
          <w:caps w:val="0"/>
          <w:color w:val="333333"/>
          <w:spacing w:val="0"/>
          <w:sz w:val="31"/>
          <w:szCs w:val="31"/>
          <w:shd w:val="clear" w:fill="FFFFFF"/>
        </w:rPr>
        <w:t>机构改革后出现的新情况、新问题，职权划出部门与综合执法机构职责界限和分工还需进一步理顺。法治建设基层基础还比较薄弱，基层执法力量还需进一步加强，执法</w:t>
      </w:r>
      <w:r>
        <w:rPr>
          <w:rFonts w:hint="eastAsia" w:ascii="仿宋_GB2312" w:hAnsi="宋体" w:eastAsia="仿宋_GB2312" w:cs="仿宋_GB2312"/>
          <w:i w:val="0"/>
          <w:caps w:val="0"/>
          <w:color w:val="333333"/>
          <w:spacing w:val="0"/>
          <w:sz w:val="31"/>
          <w:szCs w:val="31"/>
          <w:shd w:val="clear" w:fill="FFFFFF"/>
          <w:lang w:eastAsia="zh-CN"/>
        </w:rPr>
        <w:t>程序</w:t>
      </w:r>
      <w:r>
        <w:rPr>
          <w:rFonts w:ascii="仿宋_GB2312" w:hAnsi="宋体" w:eastAsia="仿宋_GB2312" w:cs="仿宋_GB2312"/>
          <w:i w:val="0"/>
          <w:caps w:val="0"/>
          <w:color w:val="333333"/>
          <w:spacing w:val="0"/>
          <w:sz w:val="31"/>
          <w:szCs w:val="31"/>
          <w:shd w:val="clear" w:fill="FFFFFF"/>
        </w:rPr>
        <w:t>不</w:t>
      </w:r>
      <w:r>
        <w:rPr>
          <w:rFonts w:hint="eastAsia" w:ascii="仿宋_GB2312" w:hAnsi="宋体" w:eastAsia="仿宋_GB2312" w:cs="仿宋_GB2312"/>
          <w:i w:val="0"/>
          <w:caps w:val="0"/>
          <w:color w:val="333333"/>
          <w:spacing w:val="0"/>
          <w:sz w:val="31"/>
          <w:szCs w:val="31"/>
          <w:shd w:val="clear" w:fill="FFFFFF"/>
        </w:rPr>
        <w:t>规范</w:t>
      </w:r>
      <w:r>
        <w:rPr>
          <w:rFonts w:hint="eastAsia" w:ascii="仿宋_GB2312" w:hAnsi="宋体" w:eastAsia="仿宋_GB2312" w:cs="仿宋_GB2312"/>
          <w:i w:val="0"/>
          <w:caps w:val="0"/>
          <w:color w:val="333333"/>
          <w:spacing w:val="0"/>
          <w:sz w:val="31"/>
          <w:szCs w:val="31"/>
          <w:shd w:val="clear" w:fill="FFFFFF"/>
          <w:lang w:eastAsia="zh-CN"/>
        </w:rPr>
        <w:t>等问题时有发生。此外</w:t>
      </w:r>
      <w:r>
        <w:rPr>
          <w:rFonts w:hint="eastAsia" w:ascii="仿宋_GB2312" w:hAnsi="仿宋_GB2312" w:eastAsia="仿宋_GB2312" w:cs="仿宋_GB2312"/>
          <w:b w:val="0"/>
          <w:bCs w:val="0"/>
          <w:kern w:val="2"/>
          <w:sz w:val="32"/>
          <w:szCs w:val="32"/>
          <w:lang w:val="en-US" w:eastAsia="zh-CN" w:bidi="ar"/>
        </w:rPr>
        <w:t>大台街道司法行政编制4人，现有3人，空编率25%，持法律职业资格证书行政人尚未达标。</w:t>
      </w:r>
    </w:p>
    <w:p w14:paraId="5ECEDB28">
      <w:pPr>
        <w:keepNext w:val="0"/>
        <w:keepLines w:val="0"/>
        <w:pageBreakBefore w:val="0"/>
        <w:numPr>
          <w:ilvl w:val="0"/>
          <w:numId w:val="1"/>
        </w:numPr>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cs="黑体"/>
          <w:b w:val="0"/>
          <w:bCs w:val="0"/>
          <w:kern w:val="2"/>
          <w:sz w:val="32"/>
          <w:szCs w:val="32"/>
          <w:lang w:val="en-US" w:eastAsia="zh-CN" w:bidi="ar-SA"/>
        </w:rPr>
      </w:pPr>
      <w:r>
        <w:rPr>
          <w:rFonts w:hint="eastAsia" w:ascii="黑体" w:hAnsi="黑体" w:eastAsia="黑体" w:cs="黑体"/>
          <w:b w:val="0"/>
          <w:bCs w:val="0"/>
          <w:kern w:val="2"/>
          <w:sz w:val="32"/>
          <w:szCs w:val="32"/>
          <w:lang w:val="en-US" w:eastAsia="zh-CN" w:bidi="ar-SA"/>
        </w:rPr>
        <w:t>党政主要负责人履行推进法治建设第一责任人职责情况</w:t>
      </w:r>
    </w:p>
    <w:p w14:paraId="5D58C97C">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sz w:val="32"/>
          <w:szCs w:val="32"/>
          <w:lang w:eastAsia="zh-CN"/>
        </w:rPr>
        <w:t>街道</w:t>
      </w:r>
      <w:r>
        <w:rPr>
          <w:rFonts w:hint="eastAsia" w:ascii="仿宋_GB2312" w:hAnsi="仿宋_GB2312" w:eastAsia="仿宋_GB2312" w:cs="仿宋_GB2312"/>
          <w:color w:val="auto"/>
          <w:sz w:val="32"/>
          <w:szCs w:val="32"/>
          <w:lang w:eastAsia="zh-CN"/>
        </w:rPr>
        <w:t>主要领导</w:t>
      </w:r>
      <w:r>
        <w:rPr>
          <w:rFonts w:hint="eastAsia" w:ascii="仿宋_GB2312" w:hAnsi="仿宋_GB2312" w:eastAsia="仿宋_GB2312" w:cs="仿宋_GB2312"/>
          <w:color w:val="auto"/>
          <w:sz w:val="32"/>
          <w:szCs w:val="32"/>
        </w:rPr>
        <w:t>认真落实《党政主要负责人履行推进法治建设第一责任人职责规定》，在推进法治政府建设中积极履职，全面落实各项责任</w:t>
      </w:r>
      <w:r>
        <w:rPr>
          <w:rFonts w:hint="eastAsia" w:ascii="仿宋_GB2312" w:hAnsi="仿宋_GB2312" w:eastAsia="仿宋_GB2312" w:cs="仿宋_GB2312"/>
          <w:color w:val="auto"/>
          <w:sz w:val="32"/>
          <w:szCs w:val="32"/>
          <w:lang w:eastAsia="zh-CN"/>
        </w:rPr>
        <w:t>。</w:t>
      </w:r>
    </w:p>
    <w:p w14:paraId="01F0BF95">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eastAsia="zh-CN"/>
        </w:rPr>
        <w:t>一是推进司法所机构改革，推动街道法制部门建设；二是</w:t>
      </w:r>
      <w:r>
        <w:rPr>
          <w:rFonts w:hint="eastAsia" w:ascii="仿宋_GB2312" w:hAnsi="仿宋_GB2312" w:eastAsia="仿宋_GB2312" w:cs="仿宋_GB2312"/>
          <w:color w:val="auto"/>
          <w:sz w:val="32"/>
          <w:szCs w:val="32"/>
          <w:highlight w:val="none"/>
          <w:u w:val="none"/>
          <w:lang w:val="en-US" w:eastAsia="zh-CN"/>
        </w:rPr>
        <w:t>严格依法依规决策</w:t>
      </w:r>
      <w:r>
        <w:rPr>
          <w:rFonts w:hint="eastAsia" w:ascii="仿宋_GB2312" w:hAnsi="仿宋_GB2312" w:eastAsia="仿宋_GB2312" w:cs="仿宋_GB2312"/>
          <w:color w:val="auto"/>
          <w:kern w:val="2"/>
          <w:sz w:val="32"/>
          <w:szCs w:val="32"/>
          <w:lang w:val="en-US" w:eastAsia="zh-CN" w:bidi="ar-SA"/>
        </w:rPr>
        <w:t>，建立了街道合同法制审核制度；三是充分利用好</w:t>
      </w:r>
      <w:r>
        <w:rPr>
          <w:rFonts w:hint="eastAsia" w:ascii="仿宋_GB2312" w:hAnsi="仿宋_GB2312" w:eastAsia="仿宋_GB2312" w:cs="仿宋_GB2312"/>
          <w:color w:val="auto"/>
          <w:sz w:val="32"/>
          <w:szCs w:val="32"/>
          <w:highlight w:val="none"/>
          <w:u w:val="none"/>
          <w:lang w:val="en-US" w:eastAsia="zh-CN"/>
        </w:rPr>
        <w:t>法律顾问机制工作，引入律师参与社区大额合同审核制度，开展线上律师普法讲座1次，开展律师参与12345疑难案件调处1次，均效果显著；四是</w:t>
      </w:r>
      <w:r>
        <w:rPr>
          <w:rFonts w:hint="eastAsia" w:ascii="仿宋_GB2312" w:hAnsi="仿宋_GB2312" w:eastAsia="仿宋_GB2312" w:cs="仿宋_GB2312"/>
          <w:color w:val="auto"/>
          <w:sz w:val="32"/>
          <w:szCs w:val="32"/>
          <w:lang w:eastAsia="zh-CN"/>
        </w:rPr>
        <w:t>主要领导</w:t>
      </w:r>
      <w:r>
        <w:rPr>
          <w:rFonts w:hint="eastAsia" w:ascii="仿宋_GB2312" w:hAnsi="仿宋_GB2312" w:eastAsia="仿宋_GB2312" w:cs="仿宋_GB2312"/>
          <w:color w:val="auto"/>
          <w:sz w:val="32"/>
          <w:szCs w:val="32"/>
        </w:rPr>
        <w:t>经常到</w:t>
      </w:r>
      <w:r>
        <w:rPr>
          <w:rFonts w:hint="eastAsia" w:ascii="仿宋_GB2312" w:hAnsi="仿宋_GB2312" w:eastAsia="仿宋_GB2312" w:cs="仿宋_GB2312"/>
          <w:color w:val="auto"/>
          <w:sz w:val="32"/>
          <w:szCs w:val="32"/>
          <w:lang w:eastAsia="zh-CN"/>
        </w:rPr>
        <w:t>重要监管</w:t>
      </w:r>
      <w:r>
        <w:rPr>
          <w:rFonts w:hint="eastAsia" w:ascii="仿宋_GB2312" w:hAnsi="仿宋_GB2312" w:eastAsia="仿宋_GB2312" w:cs="仿宋_GB2312"/>
          <w:color w:val="auto"/>
          <w:sz w:val="32"/>
          <w:szCs w:val="32"/>
        </w:rPr>
        <w:t>领域、重点执法地区</w:t>
      </w:r>
      <w:r>
        <w:rPr>
          <w:rFonts w:hint="eastAsia" w:ascii="仿宋_GB2312" w:hAnsi="仿宋_GB2312" w:eastAsia="仿宋_GB2312" w:cs="仿宋_GB2312"/>
          <w:color w:val="auto"/>
          <w:sz w:val="32"/>
          <w:szCs w:val="32"/>
          <w:lang w:eastAsia="zh-CN"/>
        </w:rPr>
        <w:t>开展调研、</w:t>
      </w:r>
      <w:r>
        <w:rPr>
          <w:rFonts w:hint="eastAsia" w:ascii="仿宋_GB2312" w:hAnsi="仿宋_GB2312" w:eastAsia="仿宋_GB2312" w:cs="仿宋_GB2312"/>
          <w:color w:val="auto"/>
          <w:sz w:val="32"/>
          <w:szCs w:val="32"/>
        </w:rPr>
        <w:t>巡查，督促</w:t>
      </w:r>
      <w:r>
        <w:rPr>
          <w:rFonts w:hint="eastAsia" w:ascii="仿宋_GB2312" w:hAnsi="仿宋_GB2312" w:eastAsia="仿宋_GB2312" w:cs="仿宋_GB2312"/>
          <w:color w:val="auto"/>
          <w:sz w:val="32"/>
          <w:szCs w:val="32"/>
          <w:lang w:eastAsia="zh-CN"/>
        </w:rPr>
        <w:t>相关</w:t>
      </w:r>
      <w:r>
        <w:rPr>
          <w:rFonts w:hint="eastAsia" w:ascii="仿宋_GB2312" w:hAnsi="仿宋_GB2312" w:eastAsia="仿宋_GB2312" w:cs="仿宋_GB2312"/>
          <w:color w:val="auto"/>
          <w:sz w:val="32"/>
          <w:szCs w:val="32"/>
        </w:rPr>
        <w:t>部门</w:t>
      </w:r>
      <w:r>
        <w:rPr>
          <w:rFonts w:hint="eastAsia" w:ascii="仿宋_GB2312" w:hAnsi="仿宋_GB2312" w:eastAsia="仿宋_GB2312" w:cs="仿宋_GB2312"/>
          <w:color w:val="auto"/>
          <w:sz w:val="32"/>
          <w:szCs w:val="32"/>
          <w:lang w:eastAsia="zh-CN"/>
        </w:rPr>
        <w:t>严格依法履职。</w:t>
      </w:r>
    </w:p>
    <w:p w14:paraId="06B9B145">
      <w:pPr>
        <w:keepNext w:val="0"/>
        <w:keepLines w:val="0"/>
        <w:pageBreakBefore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二是综合执法队推行“双随机”联合执法，解决运动式、“一刀切”执法问题，并根据要求落实执法事项信息公开；严格落实行政执法“三项制度”，努力解决执法不作为、乱作为等问题。</w:t>
      </w:r>
    </w:p>
    <w:p w14:paraId="4D71D7D2">
      <w:pPr>
        <w:keepNext w:val="0"/>
        <w:keepLines w:val="0"/>
        <w:pageBreakBefore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三是着力提升党政机关工作人员法治思维和依法行政能力。为</w:t>
      </w:r>
      <w:r>
        <w:rPr>
          <w:rFonts w:hint="eastAsia" w:ascii="仿宋_GB2312" w:hAnsi="仿宋_GB2312" w:eastAsia="仿宋_GB2312" w:cs="仿宋_GB2312"/>
          <w:sz w:val="32"/>
          <w:szCs w:val="32"/>
          <w:lang w:val="en-US" w:eastAsia="zh-CN"/>
        </w:rPr>
        <w:t>落实领导干部学法用法制度，我街道</w:t>
      </w:r>
      <w:r>
        <w:rPr>
          <w:rFonts w:hint="eastAsia" w:ascii="仿宋_GB2312" w:hAnsi="仿宋_GB2312" w:eastAsia="仿宋_GB2312" w:cs="仿宋_GB2312"/>
          <w:sz w:val="32"/>
          <w:szCs w:val="32"/>
          <w:lang w:eastAsia="zh-CN"/>
        </w:rPr>
        <w:t>组织</w:t>
      </w:r>
      <w:r>
        <w:rPr>
          <w:rFonts w:hint="eastAsia" w:ascii="仿宋_GB2312" w:hAnsi="仿宋_GB2312" w:eastAsia="仿宋_GB2312" w:cs="仿宋_GB2312"/>
          <w:sz w:val="32"/>
          <w:szCs w:val="32"/>
          <w:lang w:val="en-US" w:eastAsia="zh-CN"/>
        </w:rPr>
        <w:t>街道各职能部室负责人参加主任办公会会前学法。</w:t>
      </w:r>
      <w:r>
        <w:rPr>
          <w:rFonts w:hint="eastAsia" w:ascii="仿宋_GB2312" w:hAnsi="仿宋_GB2312" w:eastAsia="仿宋_GB2312" w:cs="仿宋_GB2312"/>
          <w:color w:val="auto"/>
          <w:sz w:val="32"/>
          <w:szCs w:val="32"/>
          <w:lang w:val="en-US" w:eastAsia="zh-CN"/>
        </w:rPr>
        <w:t>2022年组织干部学法15场次，</w:t>
      </w:r>
      <w:r>
        <w:rPr>
          <w:rFonts w:hint="eastAsia" w:ascii="仿宋_GB2312" w:hAnsi="仿宋_GB2312" w:eastAsia="仿宋_GB2312" w:cs="仿宋_GB2312"/>
          <w:color w:val="auto"/>
          <w:sz w:val="32"/>
          <w:szCs w:val="32"/>
          <w:lang w:eastAsia="zh-CN"/>
        </w:rPr>
        <w:t>切实加强干部的</w:t>
      </w:r>
      <w:r>
        <w:rPr>
          <w:rFonts w:hint="eastAsia" w:ascii="仿宋_GB2312" w:hAnsi="仿宋_GB2312" w:eastAsia="仿宋_GB2312" w:cs="仿宋_GB2312"/>
          <w:sz w:val="32"/>
          <w:szCs w:val="32"/>
          <w:lang w:eastAsia="zh-CN"/>
        </w:rPr>
        <w:t>法律素养。</w:t>
      </w:r>
    </w:p>
    <w:p w14:paraId="56B454BC">
      <w:pPr>
        <w:pStyle w:val="4"/>
        <w:keepNext w:val="0"/>
        <w:keepLines w:val="0"/>
        <w:pageBreakBefore w:val="0"/>
        <w:kinsoku/>
        <w:wordWrap/>
        <w:overflowPunct/>
        <w:topLinePunct w:val="0"/>
        <w:autoSpaceDE/>
        <w:autoSpaceDN/>
        <w:bidi w:val="0"/>
        <w:adjustRightInd/>
        <w:snapToGrid/>
        <w:spacing w:before="0" w:after="0" w:line="560" w:lineRule="exact"/>
        <w:ind w:firstLine="960" w:firstLineChars="300"/>
        <w:textAlignment w:val="auto"/>
        <w:rPr>
          <w:rFonts w:hint="eastAsia" w:ascii="黑体" w:hAnsi="黑体" w:eastAsia="黑体" w:cs="黑体"/>
          <w:i w:val="0"/>
          <w:color w:val="auto"/>
          <w:kern w:val="0"/>
          <w:sz w:val="32"/>
          <w:szCs w:val="32"/>
          <w:u w:val="none"/>
          <w:lang w:val="en-US" w:eastAsia="zh-CN" w:bidi="ar"/>
        </w:rPr>
      </w:pPr>
      <w:r>
        <w:rPr>
          <w:rFonts w:hint="eastAsia" w:ascii="黑体" w:hAnsi="黑体" w:eastAsia="黑体" w:cs="黑体"/>
          <w:i w:val="0"/>
          <w:color w:val="auto"/>
          <w:kern w:val="0"/>
          <w:sz w:val="32"/>
          <w:szCs w:val="32"/>
          <w:u w:val="none"/>
          <w:lang w:val="en-US" w:eastAsia="zh-CN" w:bidi="ar"/>
        </w:rPr>
        <w:t>四、2023年度推进法治政府建设计划</w:t>
      </w:r>
    </w:p>
    <w:p w14:paraId="1AB41ABE">
      <w:pPr>
        <w:pStyle w:val="5"/>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hint="eastAsia" w:ascii="楷体_GB2312" w:hAnsi="楷体_GB2312" w:eastAsia="楷体_GB2312" w:cs="楷体_GB2312"/>
          <w:b w:val="0"/>
          <w:bCs w:val="0"/>
          <w:color w:val="000000"/>
          <w:kern w:val="2"/>
          <w:sz w:val="32"/>
          <w:szCs w:val="32"/>
          <w:lang w:val="en-US" w:eastAsia="zh-CN" w:bidi="ar-SA"/>
        </w:rPr>
      </w:pPr>
      <w:r>
        <w:rPr>
          <w:rFonts w:hint="eastAsia" w:ascii="楷体_GB2312" w:hAnsi="楷体_GB2312" w:eastAsia="楷体_GB2312" w:cs="楷体_GB2312"/>
          <w:b w:val="0"/>
          <w:bCs w:val="0"/>
          <w:color w:val="000000"/>
          <w:kern w:val="2"/>
          <w:sz w:val="32"/>
          <w:szCs w:val="32"/>
          <w:lang w:val="en-US" w:eastAsia="zh-CN" w:bidi="ar-SA"/>
        </w:rPr>
        <w:t>（一）发挥市民诉求中心、综治中心一体优势，加强平安建设统筹协调</w:t>
      </w:r>
    </w:p>
    <w:p w14:paraId="47054055">
      <w:pPr>
        <w:pStyle w:val="5"/>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hint="eastAsia" w:ascii="仿宋_GB2312" w:hAnsi="仿宋_GB2312" w:eastAsia="仿宋_GB2312" w:cs="仿宋_GB2312"/>
          <w:b w:val="0"/>
          <w:bCs w:val="0"/>
          <w:kern w:val="2"/>
          <w:sz w:val="32"/>
          <w:szCs w:val="32"/>
          <w:lang w:val="en-US" w:eastAsia="zh-CN" w:bidi="ar"/>
        </w:rPr>
      </w:pPr>
      <w:r>
        <w:rPr>
          <w:rFonts w:hint="eastAsia" w:ascii="仿宋_GB2312" w:hAnsi="仿宋_GB2312" w:eastAsia="仿宋_GB2312" w:cs="仿宋_GB2312"/>
          <w:b w:val="0"/>
          <w:bCs w:val="0"/>
          <w:kern w:val="2"/>
          <w:sz w:val="32"/>
          <w:szCs w:val="32"/>
          <w:lang w:val="en-US" w:eastAsia="zh-CN" w:bidi="ar"/>
        </w:rPr>
        <w:t>整合两中心资源、充分提高机构运行效率。以市民诉求、不稳定苗头化解稳控为指挥棒，充分调动街道内政法执法部门，调动政治素质过硬、法律知识完备的干部，调动辖区政法单位力量，协调一致完善大台平安建设格局。</w:t>
      </w:r>
    </w:p>
    <w:p w14:paraId="203297F2">
      <w:pPr>
        <w:pStyle w:val="5"/>
        <w:keepNext w:val="0"/>
        <w:keepLines w:val="0"/>
        <w:pageBreakBefore w:val="0"/>
        <w:widowControl w:val="0"/>
        <w:numPr>
          <w:ilvl w:val="0"/>
          <w:numId w:val="3"/>
        </w:numPr>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hint="eastAsia" w:ascii="楷体_GB2312" w:hAnsi="楷体_GB2312" w:eastAsia="楷体_GB2312" w:cs="楷体_GB2312"/>
          <w:b w:val="0"/>
          <w:bCs w:val="0"/>
          <w:color w:val="000000"/>
          <w:kern w:val="2"/>
          <w:sz w:val="32"/>
          <w:szCs w:val="32"/>
          <w:lang w:val="en-US" w:eastAsia="zh-CN" w:bidi="ar-SA"/>
        </w:rPr>
      </w:pPr>
      <w:r>
        <w:rPr>
          <w:rFonts w:hint="eastAsia" w:ascii="楷体_GB2312" w:hAnsi="楷体_GB2312" w:eastAsia="楷体_GB2312" w:cs="楷体_GB2312"/>
          <w:b w:val="0"/>
          <w:bCs w:val="0"/>
          <w:color w:val="000000"/>
          <w:kern w:val="2"/>
          <w:sz w:val="32"/>
          <w:szCs w:val="32"/>
          <w:lang w:val="en-US" w:eastAsia="zh-CN" w:bidi="ar-SA"/>
        </w:rPr>
        <w:t>配齐人员编制，加强政法队伍建设</w:t>
      </w:r>
    </w:p>
    <w:p w14:paraId="2791F905">
      <w:pPr>
        <w:pStyle w:val="5"/>
        <w:keepNext w:val="0"/>
        <w:keepLines w:val="0"/>
        <w:pageBreakBefore w:val="0"/>
        <w:widowControl w:val="0"/>
        <w:numPr>
          <w:ilvl w:val="0"/>
          <w:numId w:val="0"/>
        </w:numPr>
        <w:kinsoku/>
        <w:wordWrap/>
        <w:overflowPunct/>
        <w:topLinePunct w:val="0"/>
        <w:autoSpaceDE/>
        <w:autoSpaceDN/>
        <w:bidi w:val="0"/>
        <w:adjustRightInd/>
        <w:snapToGrid/>
        <w:spacing w:line="560" w:lineRule="exact"/>
        <w:ind w:right="0" w:rightChars="0"/>
        <w:jc w:val="both"/>
        <w:textAlignment w:val="auto"/>
        <w:outlineLvl w:val="9"/>
        <w:rPr>
          <w:rFonts w:hint="eastAsia" w:ascii="楷体_GB2312" w:hAnsi="楷体_GB2312" w:eastAsia="楷体_GB2312" w:cs="楷体_GB2312"/>
          <w:b w:val="0"/>
          <w:bCs w:val="0"/>
          <w:color w:val="000000"/>
          <w:kern w:val="2"/>
          <w:sz w:val="32"/>
          <w:szCs w:val="32"/>
          <w:lang w:val="en-US" w:eastAsia="zh-CN" w:bidi="ar-SA"/>
        </w:rPr>
      </w:pPr>
      <w:r>
        <w:rPr>
          <w:rFonts w:hint="eastAsia" w:ascii="楷体_GB2312" w:hAnsi="楷体_GB2312" w:eastAsia="楷体_GB2312" w:cs="楷体_GB2312"/>
          <w:b w:val="0"/>
          <w:bCs w:val="0"/>
          <w:color w:val="000000"/>
          <w:kern w:val="2"/>
          <w:sz w:val="32"/>
          <w:szCs w:val="32"/>
          <w:lang w:val="en-US" w:eastAsia="zh-CN" w:bidi="ar-SA"/>
        </w:rPr>
        <w:t xml:space="preserve">    </w:t>
      </w:r>
      <w:r>
        <w:rPr>
          <w:rFonts w:hint="eastAsia" w:ascii="仿宋_GB2312" w:hAnsi="仿宋_GB2312" w:eastAsia="仿宋_GB2312" w:cs="仿宋_GB2312"/>
          <w:b w:val="0"/>
          <w:bCs w:val="0"/>
          <w:kern w:val="2"/>
          <w:sz w:val="32"/>
          <w:szCs w:val="32"/>
          <w:lang w:val="en-US" w:eastAsia="zh-CN" w:bidi="ar"/>
        </w:rPr>
        <w:t>目前司法所作为街道法治部门，空编率为25%，法律职业资格持证人员空缺。下一年度着力健全政法队伍人员建制；同时统筹派出所、法庭等政法单位，深入开展定期会商、培训，提升街道政法干部法律素养，形成辖区政法队伍素养齐头并进、政法工作协调发展。</w:t>
      </w:r>
    </w:p>
    <w:p w14:paraId="52A91327">
      <w:pPr>
        <w:pStyle w:val="5"/>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hint="eastAsia" w:ascii="楷体_GB2312" w:hAnsi="楷体_GB2312" w:eastAsia="楷体_GB2312" w:cs="楷体_GB2312"/>
          <w:b w:val="0"/>
          <w:bCs w:val="0"/>
          <w:color w:val="000000"/>
          <w:kern w:val="2"/>
          <w:sz w:val="32"/>
          <w:szCs w:val="32"/>
          <w:lang w:val="en-US" w:eastAsia="zh-CN" w:bidi="ar-SA"/>
        </w:rPr>
      </w:pPr>
      <w:r>
        <w:rPr>
          <w:rFonts w:hint="eastAsia" w:ascii="楷体_GB2312" w:hAnsi="楷体_GB2312" w:eastAsia="楷体_GB2312" w:cs="楷体_GB2312"/>
          <w:b w:val="0"/>
          <w:bCs w:val="0"/>
          <w:color w:val="000000"/>
          <w:kern w:val="2"/>
          <w:sz w:val="32"/>
          <w:szCs w:val="32"/>
          <w:lang w:val="en-US" w:eastAsia="zh-CN" w:bidi="ar-SA"/>
        </w:rPr>
        <w:t>（三）统筹人防技防，筑牢基层治理基石</w:t>
      </w:r>
    </w:p>
    <w:p w14:paraId="423B76E3">
      <w:pPr>
        <w:pStyle w:val="5"/>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3" w:firstLineChars="200"/>
        <w:jc w:val="both"/>
        <w:textAlignment w:val="auto"/>
        <w:outlineLvl w:val="9"/>
        <w:rPr>
          <w:rFonts w:hint="eastAsia" w:ascii="华文仿宋" w:hAnsi="华文仿宋" w:eastAsia="华文仿宋" w:cs="仿宋_GB2312"/>
          <w:b w:val="0"/>
          <w:bCs w:val="0"/>
          <w:kern w:val="0"/>
          <w:sz w:val="32"/>
          <w:szCs w:val="32"/>
          <w:lang w:val="en-US" w:eastAsia="zh-CN" w:bidi="ar"/>
        </w:rPr>
      </w:pPr>
      <w:r>
        <w:rPr>
          <w:rFonts w:hint="eastAsia" w:ascii="华文仿宋" w:hAnsi="华文仿宋" w:eastAsia="华文仿宋" w:cs="仿宋_GB2312"/>
          <w:b/>
          <w:bCs/>
          <w:kern w:val="0"/>
          <w:sz w:val="32"/>
          <w:szCs w:val="32"/>
          <w:lang w:val="en-US" w:eastAsia="zh-CN" w:bidi="ar"/>
        </w:rPr>
        <w:t>一是</w:t>
      </w:r>
      <w:r>
        <w:rPr>
          <w:rFonts w:hint="eastAsia" w:ascii="华文仿宋" w:hAnsi="华文仿宋" w:eastAsia="华文仿宋" w:cs="仿宋_GB2312"/>
          <w:b w:val="0"/>
          <w:bCs w:val="0"/>
          <w:kern w:val="0"/>
          <w:sz w:val="32"/>
          <w:szCs w:val="32"/>
          <w:lang w:val="en-US" w:eastAsia="zh-CN" w:bidi="ar"/>
        </w:rPr>
        <w:t>加强矛盾纠纷排查调处工作。细化人员网格，区域网格，房屋网格、辖区单位网格梳理，加强平安户长、调解员、治安志愿者等网格员调度培训，充分发挥维稳信息联络作用，在矛盾纠纷化解中发挥实效。</w:t>
      </w:r>
      <w:r>
        <w:rPr>
          <w:rFonts w:hint="eastAsia" w:ascii="华文仿宋" w:hAnsi="华文仿宋" w:eastAsia="华文仿宋" w:cs="仿宋_GB2312"/>
          <w:b/>
          <w:bCs/>
          <w:kern w:val="0"/>
          <w:sz w:val="32"/>
          <w:szCs w:val="32"/>
          <w:lang w:val="en-US" w:eastAsia="zh-CN" w:bidi="ar"/>
        </w:rPr>
        <w:t>二是</w:t>
      </w:r>
      <w:r>
        <w:rPr>
          <w:rFonts w:hint="eastAsia" w:ascii="华文仿宋" w:hAnsi="华文仿宋" w:eastAsia="华文仿宋" w:cs="仿宋_GB2312"/>
          <w:b w:val="0"/>
          <w:bCs w:val="0"/>
          <w:kern w:val="0"/>
          <w:sz w:val="32"/>
          <w:szCs w:val="32"/>
          <w:lang w:val="en-US" w:eastAsia="zh-CN" w:bidi="ar"/>
        </w:rPr>
        <w:t>充分发挥智慧小区配套设施的堡垒作用，为传统治安志愿者常态化值守添翼增力，完善社区治安防控体系建设，不断增强人民群众安全感。</w:t>
      </w:r>
    </w:p>
    <w:p w14:paraId="3EB8B46B">
      <w:pPr>
        <w:pStyle w:val="5"/>
        <w:keepNext w:val="0"/>
        <w:keepLines w:val="0"/>
        <w:pageBreakBefore w:val="0"/>
        <w:widowControl w:val="0"/>
        <w:kinsoku/>
        <w:wordWrap/>
        <w:overflowPunct/>
        <w:topLinePunct w:val="0"/>
        <w:autoSpaceDE/>
        <w:autoSpaceDN/>
        <w:bidi w:val="0"/>
        <w:adjustRightInd/>
        <w:snapToGrid/>
        <w:spacing w:line="560" w:lineRule="exact"/>
        <w:ind w:left="0" w:leftChars="0" w:right="0" w:rightChars="0"/>
        <w:jc w:val="both"/>
        <w:textAlignment w:val="auto"/>
        <w:outlineLvl w:val="9"/>
        <w:rPr>
          <w:rFonts w:hint="eastAsia" w:ascii="楷体_GB2312" w:hAnsi="楷体_GB2312" w:eastAsia="楷体_GB2312" w:cs="楷体_GB2312"/>
          <w:b w:val="0"/>
          <w:bCs w:val="0"/>
          <w:color w:val="000000"/>
          <w:kern w:val="2"/>
          <w:sz w:val="32"/>
          <w:szCs w:val="32"/>
          <w:lang w:val="en-US" w:eastAsia="zh-CN" w:bidi="ar-SA"/>
        </w:rPr>
      </w:pPr>
      <w:r>
        <w:rPr>
          <w:rFonts w:hint="eastAsia" w:ascii="华文仿宋" w:hAnsi="华文仿宋" w:eastAsia="华文仿宋" w:cs="仿宋_GB2312"/>
          <w:b w:val="0"/>
          <w:bCs w:val="0"/>
          <w:kern w:val="0"/>
          <w:sz w:val="32"/>
          <w:szCs w:val="32"/>
          <w:lang w:val="en-US" w:eastAsia="zh-CN" w:bidi="ar"/>
        </w:rPr>
        <w:t xml:space="preserve">    </w:t>
      </w:r>
      <w:r>
        <w:rPr>
          <w:rFonts w:hint="eastAsia" w:ascii="楷体_GB2312" w:hAnsi="楷体_GB2312" w:eastAsia="楷体_GB2312" w:cs="楷体_GB2312"/>
          <w:b w:val="0"/>
          <w:bCs w:val="0"/>
          <w:color w:val="000000"/>
          <w:kern w:val="2"/>
          <w:sz w:val="32"/>
          <w:szCs w:val="32"/>
          <w:lang w:val="en-US" w:eastAsia="zh-CN" w:bidi="ar-SA"/>
        </w:rPr>
        <w:t xml:space="preserve"> （四）重点精准施策，持续加强依法综合治理</w:t>
      </w:r>
    </w:p>
    <w:p w14:paraId="0A71F88C">
      <w:pPr>
        <w:pStyle w:val="5"/>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hint="eastAsia" w:ascii="华文仿宋" w:hAnsi="华文仿宋" w:eastAsia="华文仿宋" w:cs="仿宋_GB2312"/>
          <w:b w:val="0"/>
          <w:bCs w:val="0"/>
          <w:kern w:val="0"/>
          <w:sz w:val="32"/>
          <w:szCs w:val="32"/>
          <w:lang w:val="en-US" w:eastAsia="zh-CN" w:bidi="ar"/>
        </w:rPr>
      </w:pPr>
      <w:r>
        <w:rPr>
          <w:rFonts w:hint="eastAsia" w:ascii="华文仿宋" w:hAnsi="华文仿宋" w:eastAsia="华文仿宋" w:cs="仿宋_GB2312"/>
          <w:b w:val="0"/>
          <w:bCs w:val="0"/>
          <w:kern w:val="0"/>
          <w:sz w:val="32"/>
          <w:szCs w:val="32"/>
          <w:lang w:val="en-US" w:eastAsia="zh-CN" w:bidi="ar"/>
        </w:rPr>
        <w:t xml:space="preserve">一是强化刑释解教人员、社区戒毒等重点人群管控帮扶工作。达到帮教社会化、就业市场化、管理信息化，完善帮教转化环节。 </w:t>
      </w:r>
    </w:p>
    <w:p w14:paraId="4DC3E305">
      <w:pPr>
        <w:pStyle w:val="5"/>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hint="eastAsia" w:ascii="华文仿宋" w:hAnsi="华文仿宋" w:eastAsia="华文仿宋" w:cs="仿宋_GB2312"/>
          <w:b w:val="0"/>
          <w:bCs w:val="0"/>
          <w:kern w:val="0"/>
          <w:sz w:val="32"/>
          <w:szCs w:val="32"/>
          <w:lang w:val="en-US" w:eastAsia="zh-CN" w:bidi="ar"/>
        </w:rPr>
      </w:pPr>
      <w:r>
        <w:rPr>
          <w:rFonts w:hint="eastAsia" w:ascii="华文仿宋" w:hAnsi="华文仿宋" w:eastAsia="华文仿宋" w:cs="仿宋_GB2312"/>
          <w:b w:val="0"/>
          <w:bCs w:val="0"/>
          <w:kern w:val="0"/>
          <w:sz w:val="32"/>
          <w:szCs w:val="32"/>
          <w:lang w:val="en-US" w:eastAsia="zh-CN" w:bidi="ar"/>
        </w:rPr>
        <w:t xml:space="preserve">二是抓牢宣传阵地不松劲。围绕平安建设，突出节点重点，丰富载体和形式，持续巩固法律“十进”成果，在扫黑除恶、电信、金融反诈、宪法、民法典等着力，送法进社区送法进家门。  </w:t>
      </w:r>
    </w:p>
    <w:p w14:paraId="299A1912">
      <w:pPr>
        <w:pStyle w:val="5"/>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hint="eastAsia" w:ascii="华文仿宋" w:hAnsi="华文仿宋" w:eastAsia="华文仿宋" w:cs="仿宋_GB2312"/>
          <w:b w:val="0"/>
          <w:bCs w:val="0"/>
          <w:kern w:val="0"/>
          <w:sz w:val="32"/>
          <w:szCs w:val="32"/>
          <w:lang w:val="en-US" w:eastAsia="zh-CN" w:bidi="ar"/>
        </w:rPr>
      </w:pPr>
      <w:r>
        <w:rPr>
          <w:rFonts w:hint="eastAsia" w:ascii="华文仿宋" w:hAnsi="华文仿宋" w:eastAsia="华文仿宋" w:cs="仿宋_GB2312"/>
          <w:b w:val="0"/>
          <w:bCs w:val="0"/>
          <w:kern w:val="0"/>
          <w:sz w:val="32"/>
          <w:szCs w:val="32"/>
          <w:lang w:val="en-US" w:eastAsia="zh-CN" w:bidi="ar"/>
        </w:rPr>
        <w:t>三是深耕不辍深入开展信访排查化解，开展打击非法盗采、铁路护路联防、反邪教、反邪教等常态化平安建设工作。</w:t>
      </w:r>
    </w:p>
    <w:p w14:paraId="1C946B4E">
      <w:pPr>
        <w:keepNext w:val="0"/>
        <w:keepLines w:val="0"/>
        <w:pageBreakBefore w:val="0"/>
        <w:widowControl/>
        <w:suppressLineNumbers w:val="0"/>
        <w:shd w:val="clear" w:color="auto" w:fill="FFFFFF"/>
        <w:kinsoku/>
        <w:wordWrap/>
        <w:overflowPunct/>
        <w:topLinePunct w:val="0"/>
        <w:autoSpaceDE/>
        <w:autoSpaceDN/>
        <w:bidi w:val="0"/>
        <w:adjustRightInd/>
        <w:snapToGrid/>
        <w:spacing w:before="157" w:beforeLines="50" w:after="157" w:afterLines="50" w:afterAutospacing="0" w:line="560" w:lineRule="exact"/>
        <w:ind w:right="0" w:rightChars="0" w:firstLine="640" w:firstLineChars="200"/>
        <w:jc w:val="both"/>
        <w:textAlignment w:val="auto"/>
        <w:outlineLvl w:val="9"/>
        <w:rPr>
          <w:rFonts w:hint="eastAsia" w:ascii="华文仿宋" w:hAnsi="华文仿宋" w:eastAsia="华文仿宋" w:cs="仿宋_GB2312"/>
          <w:b w:val="0"/>
          <w:bCs w:val="0"/>
          <w:color w:val="000000"/>
          <w:kern w:val="0"/>
          <w:sz w:val="32"/>
          <w:szCs w:val="32"/>
          <w:lang w:val="en-US" w:eastAsia="zh-CN" w:bidi="ar"/>
        </w:rPr>
      </w:pPr>
      <w:r>
        <w:rPr>
          <w:rFonts w:hint="eastAsia" w:ascii="华文仿宋" w:hAnsi="华文仿宋" w:eastAsia="华文仿宋" w:cs="仿宋_GB2312"/>
          <w:b w:val="0"/>
          <w:bCs w:val="0"/>
          <w:color w:val="000000"/>
          <w:kern w:val="0"/>
          <w:sz w:val="32"/>
          <w:szCs w:val="32"/>
          <w:lang w:val="en-US" w:eastAsia="zh-CN" w:bidi="ar"/>
        </w:rPr>
        <w:t>大台正处于历史转型关键期，新形势下，基层治理点多面广。大台街道将持续推进平安大台、法治大台，推动政法领域改革，加强队伍建设，深化法治政府建设，为大台的新生创造更安全的政治环境、更稳定的社会环境、更公正的法治环境、更优质的服务环境，提升人民群众获得感、幸福感、安全感。</w:t>
      </w:r>
    </w:p>
    <w:p w14:paraId="5442833E">
      <w:pPr>
        <w:pStyle w:val="4"/>
        <w:keepNext w:val="0"/>
        <w:keepLines w:val="0"/>
        <w:pageBreakBefore w:val="0"/>
        <w:widowControl w:val="0"/>
        <w:kinsoku/>
        <w:wordWrap/>
        <w:overflowPunct/>
        <w:topLinePunct w:val="0"/>
        <w:autoSpaceDE/>
        <w:autoSpaceDN/>
        <w:bidi w:val="0"/>
        <w:snapToGrid/>
        <w:spacing w:line="560" w:lineRule="exact"/>
        <w:ind w:left="0" w:leftChars="0" w:right="0" w:rightChars="0" w:firstLine="0" w:firstLineChars="0"/>
        <w:jc w:val="both"/>
        <w:rPr>
          <w:rFonts w:hint="eastAsia" w:ascii="仿宋_GB2312" w:hAnsi="仿宋_GB2312" w:eastAsia="仿宋_GB2312" w:cs="仿宋_GB2312"/>
          <w:sz w:val="32"/>
          <w:szCs w:val="32"/>
          <w:lang w:val="en-US" w:eastAsia="zh-CN"/>
        </w:rPr>
      </w:pPr>
    </w:p>
    <w:p w14:paraId="6413838D">
      <w:pPr>
        <w:pStyle w:val="4"/>
        <w:keepNext w:val="0"/>
        <w:keepLines w:val="0"/>
        <w:pageBreakBefore w:val="0"/>
        <w:widowControl w:val="0"/>
        <w:kinsoku/>
        <w:wordWrap/>
        <w:overflowPunct/>
        <w:topLinePunct w:val="0"/>
        <w:autoSpaceDE/>
        <w:autoSpaceDN/>
        <w:bidi w:val="0"/>
        <w:snapToGrid/>
        <w:spacing w:line="560" w:lineRule="exact"/>
        <w:ind w:left="0" w:leftChars="0" w:right="0" w:rightChars="0" w:firstLine="0" w:firstLineChars="0"/>
        <w:jc w:val="both"/>
        <w:rPr>
          <w:rFonts w:hint="eastAsia" w:ascii="仿宋_GB2312" w:hAnsi="仿宋_GB2312" w:eastAsia="仿宋_GB2312" w:cs="仿宋_GB2312"/>
          <w:sz w:val="32"/>
          <w:szCs w:val="32"/>
          <w:lang w:val="en-US" w:eastAsia="zh-CN"/>
        </w:rPr>
      </w:pPr>
    </w:p>
    <w:p w14:paraId="4C582677">
      <w:pPr>
        <w:pStyle w:val="4"/>
        <w:keepNext w:val="0"/>
        <w:keepLines w:val="0"/>
        <w:pageBreakBefore w:val="0"/>
        <w:widowControl w:val="0"/>
        <w:kinsoku/>
        <w:wordWrap/>
        <w:overflowPunct/>
        <w:topLinePunct w:val="0"/>
        <w:autoSpaceDE/>
        <w:autoSpaceDN/>
        <w:bidi w:val="0"/>
        <w:snapToGrid/>
        <w:spacing w:line="560" w:lineRule="exact"/>
        <w:ind w:left="0" w:leftChars="0" w:right="0" w:rightChars="0" w:firstLine="0" w:firstLineChars="0"/>
        <w:jc w:val="both"/>
        <w:rPr>
          <w:rFonts w:hint="eastAsia" w:ascii="仿宋_GB2312" w:hAnsi="仿宋_GB2312" w:eastAsia="仿宋_GB2312" w:cs="仿宋_GB2312"/>
          <w:sz w:val="32"/>
          <w:szCs w:val="32"/>
          <w:lang w:val="en-US" w:eastAsia="zh-CN"/>
        </w:rPr>
      </w:pPr>
    </w:p>
    <w:p w14:paraId="4C940948">
      <w:pPr>
        <w:pStyle w:val="4"/>
        <w:keepNext w:val="0"/>
        <w:keepLines w:val="0"/>
        <w:pageBreakBefore w:val="0"/>
        <w:widowControl w:val="0"/>
        <w:kinsoku/>
        <w:wordWrap/>
        <w:overflowPunct/>
        <w:topLinePunct w:val="0"/>
        <w:autoSpaceDE/>
        <w:autoSpaceDN/>
        <w:bidi w:val="0"/>
        <w:snapToGrid/>
        <w:spacing w:line="560" w:lineRule="exact"/>
        <w:ind w:left="0" w:leftChars="0" w:right="0" w:rightChars="0"/>
        <w:jc w:val="center"/>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xml:space="preserve">                    大台街道办事处</w:t>
      </w:r>
    </w:p>
    <w:p w14:paraId="51F4C31D">
      <w:pPr>
        <w:pStyle w:val="4"/>
        <w:keepNext w:val="0"/>
        <w:keepLines w:val="0"/>
        <w:pageBreakBefore w:val="0"/>
        <w:widowControl w:val="0"/>
        <w:kinsoku/>
        <w:wordWrap/>
        <w:overflowPunct/>
        <w:topLinePunct w:val="0"/>
        <w:autoSpaceDE/>
        <w:autoSpaceDN/>
        <w:bidi w:val="0"/>
        <w:snapToGrid/>
        <w:spacing w:line="560" w:lineRule="exact"/>
        <w:ind w:right="0" w:rightChars="0" w:firstLine="4480" w:firstLineChars="1400"/>
        <w:jc w:val="both"/>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2022年12月30日</w:t>
      </w:r>
    </w:p>
    <w:p w14:paraId="042C6342">
      <w:pPr>
        <w:keepNext w:val="0"/>
        <w:keepLines w:val="0"/>
        <w:pageBreakBefore w:val="0"/>
        <w:widowControl w:val="0"/>
        <w:kinsoku/>
        <w:wordWrap/>
        <w:overflowPunct/>
        <w:topLinePunct w:val="0"/>
        <w:autoSpaceDE/>
        <w:autoSpaceDN/>
        <w:bidi w:val="0"/>
        <w:snapToGrid/>
        <w:spacing w:line="560" w:lineRule="exact"/>
        <w:ind w:left="0" w:leftChars="0" w:right="0" w:rightChars="0"/>
        <w:rPr>
          <w:rFonts w:hint="eastAsia" w:ascii="仿宋_GB2312" w:hAnsi="仿宋_GB2312" w:eastAsia="仿宋_GB2312" w:cs="仿宋_GB2312"/>
          <w:sz w:val="28"/>
          <w:szCs w:val="28"/>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auto"/>
    <w:pitch w:val="default"/>
    <w:sig w:usb0="00000001" w:usb1="080E0000" w:usb2="00000000" w:usb3="00000000" w:csb0="00040000" w:csb1="00000000"/>
  </w:font>
  <w:font w:name="Calibri Light">
    <w:panose1 w:val="020F0302020204030204"/>
    <w:charset w:val="00"/>
    <w:family w:val="swiss"/>
    <w:pitch w:val="default"/>
    <w:sig w:usb0="A00002EF" w:usb1="4000207B" w:usb2="00000000" w:usb3="00000000" w:csb0="2000019F" w:csb1="00000000"/>
  </w:font>
  <w:font w:name="等线">
    <w:altName w:val="宋体"/>
    <w:panose1 w:val="02010600030101010101"/>
    <w:charset w:val="86"/>
    <w:family w:val="auto"/>
    <w:pitch w:val="default"/>
    <w:sig w:usb0="00000000" w:usb1="00000000" w:usb2="00000016" w:usb3="00000000" w:csb0="0004000F" w:csb1="00000000"/>
  </w:font>
  <w:font w:name="华文中宋">
    <w:altName w:val="宋体"/>
    <w:panose1 w:val="02010600040101010101"/>
    <w:charset w:val="86"/>
    <w:family w:val="auto"/>
    <w:pitch w:val="default"/>
    <w:sig w:usb0="00000000" w:usb1="00000000" w:usb2="00000000" w:usb3="00000000" w:csb0="0004009F" w:csb1="DFD70000"/>
  </w:font>
  <w:font w:name="方正小标宋简体">
    <w:panose1 w:val="03000509000000000000"/>
    <w:charset w:val="86"/>
    <w:family w:val="auto"/>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华文仿宋">
    <w:altName w:val="仿宋"/>
    <w:panose1 w:val="02010600040101010101"/>
    <w:charset w:val="86"/>
    <w:family w:val="auto"/>
    <w:pitch w:val="default"/>
    <w:sig w:usb0="00000000" w:usb1="00000000" w:usb2="00000000" w:usb3="00000000" w:csb0="0004009F" w:csb1="DFD7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638B2158"/>
    <w:multiLevelType w:val="singleLevel"/>
    <w:tmpl w:val="638B2158"/>
    <w:lvl w:ilvl="0" w:tentative="0">
      <w:start w:val="2"/>
      <w:numFmt w:val="chineseCounting"/>
      <w:suff w:val="nothing"/>
      <w:lvlText w:val="（%1）"/>
      <w:lvlJc w:val="left"/>
    </w:lvl>
  </w:abstractNum>
  <w:abstractNum w:abstractNumId="1">
    <w:nsid w:val="63DB37AF"/>
    <w:multiLevelType w:val="singleLevel"/>
    <w:tmpl w:val="63DB37AF"/>
    <w:lvl w:ilvl="0" w:tentative="0">
      <w:start w:val="2"/>
      <w:numFmt w:val="chineseCounting"/>
      <w:suff w:val="nothing"/>
      <w:lvlText w:val="%1、"/>
      <w:lvlJc w:val="left"/>
    </w:lvl>
  </w:abstractNum>
  <w:abstractNum w:abstractNumId="2">
    <w:nsid w:val="63DB3E1D"/>
    <w:multiLevelType w:val="singleLevel"/>
    <w:tmpl w:val="63DB3E1D"/>
    <w:lvl w:ilvl="0" w:tentative="0">
      <w:start w:val="3"/>
      <w:numFmt w:val="chineseCounting"/>
      <w:suff w:val="nothing"/>
      <w:lvlText w:val="（%1）"/>
      <w:lvlJc w:val="left"/>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Y2Y2JhZjViZGY1NjFjNDNkYjU2YjQ5NThjZWZlYzUifQ=="/>
  </w:docVars>
  <w:rsids>
    <w:rsidRoot w:val="00000000"/>
    <w:rsid w:val="0677559F"/>
    <w:rsid w:val="08D132DE"/>
    <w:rsid w:val="19BE50E2"/>
    <w:rsid w:val="20205C4B"/>
    <w:rsid w:val="2DD257AE"/>
    <w:rsid w:val="2E356100"/>
    <w:rsid w:val="2E4661F8"/>
    <w:rsid w:val="33DF7F94"/>
    <w:rsid w:val="388D6C2D"/>
    <w:rsid w:val="4A774D21"/>
    <w:rsid w:val="591F15CA"/>
    <w:rsid w:val="59F40CA9"/>
    <w:rsid w:val="5D9D5DC0"/>
    <w:rsid w:val="6CA85C0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qFormat="1"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semiHidden="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semiHidden="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paragraph" w:styleId="3">
    <w:name w:val="heading 3"/>
    <w:basedOn w:val="1"/>
    <w:next w:val="1"/>
    <w:qFormat/>
    <w:uiPriority w:val="0"/>
    <w:pPr>
      <w:spacing w:before="0" w:beforeAutospacing="1" w:after="0" w:afterAutospacing="1"/>
      <w:jc w:val="left"/>
    </w:pPr>
    <w:rPr>
      <w:rFonts w:hint="eastAsia" w:ascii="宋体" w:hAnsi="宋体" w:eastAsia="宋体" w:cs="宋体"/>
      <w:b/>
      <w:kern w:val="0"/>
      <w:sz w:val="27"/>
      <w:szCs w:val="27"/>
      <w:lang w:val="en-US" w:eastAsia="zh-CN"/>
    </w:rPr>
  </w:style>
  <w:style w:type="character" w:default="1" w:styleId="9">
    <w:name w:val="Default Paragraph Font"/>
    <w:qFormat/>
    <w:uiPriority w:val="0"/>
  </w:style>
  <w:style w:type="table" w:default="1" w:styleId="8">
    <w:name w:val="Normal Table"/>
    <w:qFormat/>
    <w:uiPriority w:val="0"/>
    <w:tblPr>
      <w:tblCellMar>
        <w:top w:w="0" w:type="dxa"/>
        <w:left w:w="108" w:type="dxa"/>
        <w:bottom w:w="0" w:type="dxa"/>
        <w:right w:w="108" w:type="dxa"/>
      </w:tblCellMar>
    </w:tblPr>
  </w:style>
  <w:style w:type="paragraph" w:styleId="2">
    <w:name w:val="Title"/>
    <w:basedOn w:val="1"/>
    <w:next w:val="1"/>
    <w:qFormat/>
    <w:uiPriority w:val="0"/>
    <w:pPr>
      <w:spacing w:before="240" w:after="60"/>
      <w:jc w:val="center"/>
      <w:outlineLvl w:val="0"/>
    </w:pPr>
    <w:rPr>
      <w:rFonts w:ascii="Calibri Light" w:hAnsi="Calibri Light" w:cs="黑体"/>
      <w:b/>
      <w:bCs/>
      <w:sz w:val="32"/>
      <w:szCs w:val="32"/>
    </w:rPr>
  </w:style>
  <w:style w:type="paragraph" w:styleId="4">
    <w:name w:val="Normal Indent"/>
    <w:basedOn w:val="1"/>
    <w:qFormat/>
    <w:uiPriority w:val="0"/>
    <w:pPr>
      <w:ind w:firstLine="420"/>
    </w:pPr>
    <w:rPr>
      <w:rFonts w:ascii="Times New Roman" w:hAnsi="Times New Roman" w:eastAsia="宋体" w:cs="Times New Roman"/>
      <w:szCs w:val="20"/>
    </w:rPr>
  </w:style>
  <w:style w:type="paragraph" w:styleId="5">
    <w:name w:val="Body Text"/>
    <w:basedOn w:val="1"/>
    <w:qFormat/>
    <w:uiPriority w:val="0"/>
    <w:pPr>
      <w:spacing w:line="300" w:lineRule="atLeast"/>
      <w:jc w:val="center"/>
    </w:pPr>
    <w:rPr>
      <w:rFonts w:ascii="Times New Roman" w:hAnsi="Times New Roman" w:eastAsia="Times New Roman" w:cs="Times New Roman"/>
      <w:color w:val="000000"/>
      <w:sz w:val="44"/>
      <w:szCs w:val="20"/>
    </w:rPr>
  </w:style>
  <w:style w:type="paragraph" w:styleId="6">
    <w:name w:val="toc 3"/>
    <w:basedOn w:val="1"/>
    <w:next w:val="1"/>
    <w:qFormat/>
    <w:uiPriority w:val="0"/>
    <w:pPr>
      <w:ind w:left="420"/>
    </w:pPr>
    <w:rPr>
      <w:rFonts w:ascii="等线" w:hAnsi="等线" w:eastAsia="等线"/>
      <w:b/>
      <w:sz w:val="30"/>
      <w:szCs w:val="30"/>
    </w:rPr>
  </w:style>
  <w:style w:type="paragraph" w:styleId="7">
    <w:name w:val="Normal (Web)"/>
    <w:basedOn w:val="1"/>
    <w:qFormat/>
    <w:uiPriority w:val="0"/>
    <w:pPr>
      <w:spacing w:before="100" w:beforeAutospacing="1" w:after="100" w:afterAutospacing="1"/>
      <w:ind w:left="0" w:right="0"/>
      <w:jc w:val="left"/>
    </w:pPr>
    <w:rPr>
      <w:rFonts w:ascii="宋体" w:hAnsi="宋体" w:cs="宋体"/>
      <w:kern w:val="0"/>
      <w:sz w:val="24"/>
      <w:szCs w:val="24"/>
      <w:lang w:val="en-US" w:eastAsia="zh-CN"/>
    </w:rPr>
  </w:style>
  <w:style w:type="character" w:styleId="10">
    <w:name w:val="Emphasis"/>
    <w:basedOn w:val="9"/>
    <w:qFormat/>
    <w:uiPriority w:val="0"/>
    <w:rPr>
      <w:i/>
    </w:rPr>
  </w:style>
  <w:style w:type="paragraph" w:customStyle="1" w:styleId="11">
    <w:name w:val="列出段落1"/>
    <w:basedOn w:val="1"/>
    <w:qFormat/>
    <w:uiPriority w:val="34"/>
    <w:pPr>
      <w:ind w:firstLine="420" w:firstLineChars="200"/>
    </w:p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9</Pages>
  <Words>2075</Words>
  <Characters>2134</Characters>
  <Paragraphs>18</Paragraphs>
  <TotalTime>4</TotalTime>
  <ScaleCrop>false</ScaleCrop>
  <LinksUpToDate>false</LinksUpToDate>
  <CharactersWithSpaces>2134</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2022-03-11T03:54:00Z</dcterms:created>
  <dc:creator>SYSTEM</dc:creator>
  <cp:lastModifiedBy>Vera.</cp:lastModifiedBy>
  <cp:lastPrinted>2023-02-20T01:55:00Z</cp:lastPrinted>
  <dcterms:modified xsi:type="dcterms:W3CDTF">2025-03-26T01:55:33Z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5220EA3D0AA848ADA500DEDADCE0F6E5</vt:lpwstr>
  </property>
  <property fmtid="{D5CDD505-2E9C-101B-9397-08002B2CF9AE}" pid="4" name="KSOTemplateDocerSaveRecord">
    <vt:lpwstr>eyJoZGlkIjoiOTUxMDkyZTY0MDgzMjBmYjUxNzk2MTFmZDE2NzVhZGYiLCJ1c2VySWQiOiIyODI0NzYyMDcifQ==</vt:lpwstr>
  </property>
</Properties>
</file>