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</w:rPr>
        <w:t>行政处罚裁量基准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技术市场行政处罚裁量基准：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违反《北京市技术市场条例》第九条规定，提供虚假技术或者技术信息，其行为属于“违法行为本身社会危害性一般的”。依据《北京市技术市场条例》第三十三条的规定，上述违法行为的裁量幅度为“没收违法所得，可以并处违法所得一倍以上五倍以下的罚款”，按照不同违法情节划分为“没收违法所得”“没收违法所得，并处违法所得一倍以上、低于三倍的罚款”“没收违法所得，并处违法所得三倍以上五倍以下的罚款”三个基础裁量阶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C03FE"/>
    <w:rsid w:val="0A051C23"/>
    <w:rsid w:val="238A4457"/>
    <w:rsid w:val="4AFC03FE"/>
    <w:rsid w:val="6984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微软雅黑" w:asciiTheme="minorHAnsi" w:hAnsiTheme="minorHAnsi" w:eastAsiaTheme="minorEastAsia"/>
      <w:kern w:val="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2026-03-20T07:37:00Z</dcterms:created>
  <dc:creator>bgs</dc:creator>
  <cp:lastModifiedBy>bgs</cp:lastModifiedBy>
  <dcterms:modified xsi:type="dcterms:W3CDTF">2026-03-20T07:38:00Z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E01D714C78824CFC9E8FB6F688EA9D24</vt:lpwstr>
  </property>
</Properties>
</file>