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2112"/>
        <w:gridCol w:w="1800"/>
        <w:gridCol w:w="2160"/>
        <w:gridCol w:w="2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32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门头沟区科学技术委员会双随机抽查事项清单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检查事项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检查依据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检查对象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是否为双随机事项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1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技术交易中虚假技术或者虚假技术信息</w:t>
            </w:r>
          </w:p>
        </w:tc>
        <w:tc>
          <w:tcPr>
            <w:tcW w:w="18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北京市技术市场条例</w:t>
            </w:r>
          </w:p>
        </w:tc>
        <w:tc>
          <w:tcPr>
            <w:tcW w:w="21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技术交易主体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404040"/>
                <w:spacing w:val="0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B8115F"/>
    <w:rsid w:val="3A954295"/>
    <w:rsid w:val="5DC6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JXW-LY</dc:creator>
  <cp:lastModifiedBy>魏立童</cp:lastModifiedBy>
  <dcterms:modified xsi:type="dcterms:W3CDTF">2026-03-05T08:17:45Z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94F32F9935FF489B89816F95BC8846C4</vt:lpwstr>
  </property>
</Properties>
</file>