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firstLineChars="200"/>
      </w:pPr>
      <w:bookmarkStart w:id="0" w:name="_GoBack"/>
      <w:bookmarkEnd w:id="0"/>
      <w:r>
        <w:rPr>
          <w:rFonts w:ascii="Helvetica" w:hAnsi="Helvetica" w:eastAsia="Helvetica" w:cs="Helvetica"/>
          <w:i w:val="0"/>
          <w:iCs w:val="0"/>
          <w:caps w:val="0"/>
          <w:color w:val="404040"/>
          <w:spacing w:val="0"/>
          <w:sz w:val="24"/>
          <w:szCs w:val="24"/>
          <w:bdr w:val="none" w:color="auto" w:sz="0" w:space="0"/>
          <w:shd w:val="clear" w:fill="FFFFFF"/>
        </w:rPr>
        <w:t>《中华人民共和国行政处罚法》</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第二十二条　行政处罚由违法行为发生地的行政机关管辖。法律、行政法规、部门规章另有规定的，从其规定。</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第二十三条　行政处罚由县级以上地方人民政府具有行政处罚权的行政机关管辖。法律、行政法规另有规定的，从其规定。</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第五十一条　违法事实确凿并有法定依据，对公民处以二百元以下、对法人或者其他组织处以三千元以下罚款或者警告的行政处罚的，可以当场作出行政处罚决定。法律另有规定的，从其规定。</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第五十四条　除本法第五十一条规定的可以当场作出的行政处罚外，行政机关发现公民、法人或者其他组织有依法应当给予行政处罚的行为的，必须全面、客观、公正地调查，收集有关证据；必要时，依照法律、法规的规定，可以进行检查。</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符合立案标准的，行政机关应当及时立案。</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《北京市实施行政处罚程序若干规定》</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第三条　除法律、行政法规另有规定的外，行政处罚由违法行为发生地的市、区、县人民政府及其所属行政机关依照职权管辖。</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对当事人的同一违法行为，根据不同法律、法规、规章规定，两个以上的行政机关都有管辖权的，应当由先立案的行政机关处罚，但是行政机关在决定行政处罚时，不得给予当事人两次以上罚款的处罚。</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行政机关之间对管辖权发生争议时，应当协商解决或者提请共同的上级行政机关指定管辖。</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一个行政机关对违法行为实施行政处罚后，依法应当移送有关行政机关处理的，应当及时将案件及有关材料移送相应机关，被移送的机关应当接收。</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第八条　除依法可以当场决定行政处罚的外，执法人员发现公民、法人或者其他组织有违法行为依法应当给予行政处罚的，应当报行政机关负责人批准立案。</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《城市管理执法办法》</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第二条　城市、县人民政府所在地镇建成区内的城市管理执法活动以及执法监督活动，适用本办法。</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本办法所称城市管理执法，是指城市管理执法主管部门在城市管理领域根据法律法规规章规定履行行政处罚、行政强制等行政执法职责的行为。</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八条 城市管理执法的行政处罚权范围依照法律法规和国务院有关规定确定，包括住房城乡建设领域法律法规规章规定的行政处罚权，以及环境保护管理、工商管理、交通管理、水务管理、食品药品监管方面与城市管理相关部分的行政处罚权。</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第十四条 直辖市、设区的市城市管理执法推行市级执法或者区级执法。</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直辖市、设区的市的城市管理执法事项，市辖区人民政府城市管理执法主管部门能够承担的，可以实行区级执法。</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直辖市、设区的市人民政府城市管理执法主管部门可以承担跨区域和重大复杂违法案件的查处。</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第十五条 市辖区人民政府城市管理执法主管部门可以向街道派出执法机构。直辖市、设区的市人民政府城市管理执法主管部门可以向市辖区或者街道派出执法机构。</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派出机构以设立该派出机构的城市管理执法主管部门的名义，在所辖区域范围内履行城市管理执法职责。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302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worker0880</dc:creator>
  <cp:lastModifiedBy>worker0880</cp:lastModifiedBy>
  <dcterms:modified xsi:type="dcterms:W3CDTF">2026-01-26T06:44:28Z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F83C2E8ACC2C4D3F8048430FD70C2CD1</vt:lpwstr>
  </property>
</Properties>
</file>