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2E4C09">
      <w:pPr>
        <w:spacing w:line="0" w:lineRule="atLeast"/>
        <w:jc w:val="both"/>
        <w:rPr>
          <w:rFonts w:hint="default"/>
          <w:color w:val="auto"/>
          <w:highlight w:val="none"/>
          <w:lang w:val="en-US"/>
        </w:rPr>
      </w:pPr>
      <w:bookmarkStart w:id="400" w:name="_GoBack"/>
      <w:bookmarkEnd w:id="400"/>
      <w:r>
        <w:rPr>
          <w:rFonts w:hint="eastAsia" w:ascii="黑体" w:hAnsi="黑体" w:eastAsia="黑体" w:cs="黑体"/>
          <w:color w:val="auto"/>
          <w:sz w:val="28"/>
          <w:szCs w:val="28"/>
          <w:highlight w:val="none"/>
          <w:lang w:eastAsia="zh-CN"/>
        </w:rPr>
        <w:t>附件</w:t>
      </w:r>
      <w:r>
        <w:rPr>
          <w:rFonts w:hint="eastAsia" w:ascii="黑体" w:hAnsi="黑体" w:eastAsia="黑体" w:cs="黑体"/>
          <w:color w:val="auto"/>
          <w:sz w:val="28"/>
          <w:szCs w:val="28"/>
          <w:highlight w:val="none"/>
          <w:lang w:val="en-US" w:eastAsia="zh-CN"/>
        </w:rPr>
        <w:t>1</w:t>
      </w:r>
    </w:p>
    <w:p w14:paraId="4DFF60A2">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北京市</w:t>
      </w:r>
      <w:r>
        <w:rPr>
          <w:rFonts w:hint="eastAsia" w:ascii="方正小标宋简体" w:hAnsi="方正小标宋简体" w:eastAsia="方正小标宋简体" w:cs="方正小标宋简体"/>
          <w:color w:val="auto"/>
          <w:sz w:val="44"/>
          <w:szCs w:val="44"/>
          <w:highlight w:val="none"/>
          <w:lang w:val="en-US" w:eastAsia="zh-CN"/>
        </w:rPr>
        <w:t>城市管理综合行政</w:t>
      </w:r>
      <w:r>
        <w:rPr>
          <w:rFonts w:hint="eastAsia" w:ascii="方正小标宋简体" w:hAnsi="方正小标宋简体" w:eastAsia="方正小标宋简体" w:cs="方正小标宋简体"/>
          <w:color w:val="auto"/>
          <w:sz w:val="44"/>
          <w:szCs w:val="44"/>
          <w:highlight w:val="none"/>
        </w:rPr>
        <w:t>执法</w:t>
      </w:r>
    </w:p>
    <w:p w14:paraId="611094AA">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行政</w:t>
      </w:r>
      <w:r>
        <w:rPr>
          <w:rFonts w:hint="eastAsia" w:ascii="方正小标宋简体" w:hAnsi="方正小标宋简体" w:eastAsia="方正小标宋简体" w:cs="方正小标宋简体"/>
          <w:color w:val="auto"/>
          <w:sz w:val="44"/>
          <w:szCs w:val="44"/>
          <w:highlight w:val="none"/>
        </w:rPr>
        <w:t>处罚裁量基准表</w:t>
      </w:r>
    </w:p>
    <w:p w14:paraId="12A4888F">
      <w:pPr>
        <w:bidi w:val="0"/>
        <w:jc w:val="center"/>
        <w:rPr>
          <w:rFonts w:hint="eastAsia" w:ascii="仿宋_GB2312" w:hAnsi="仿宋_GB2312" w:eastAsia="仿宋_GB2312" w:cs="仿宋_GB2312"/>
          <w:color w:val="auto"/>
          <w:sz w:val="32"/>
          <w:szCs w:val="32"/>
          <w:highlight w:val="none"/>
        </w:rPr>
      </w:pPr>
    </w:p>
    <w:sdt>
      <w:sdtPr>
        <w:rPr>
          <w:rFonts w:hint="default" w:ascii="宋体" w:hAnsi="宋体" w:eastAsia="宋体" w:cs="Times New Roman"/>
          <w:color w:val="auto"/>
          <w:kern w:val="2"/>
          <w:sz w:val="21"/>
          <w:szCs w:val="24"/>
          <w:highlight w:val="none"/>
          <w:lang w:val="en-US" w:eastAsia="zh-CN" w:bidi="ar-SA"/>
        </w:rPr>
        <w:id w:val="227737608"/>
        <w:docPartObj>
          <w:docPartGallery w:val="Table of Contents"/>
          <w:docPartUnique/>
        </w:docPartObj>
      </w:sdtPr>
      <w:sdtEndPr>
        <w:rPr>
          <w:rFonts w:hint="default" w:ascii="Times New Roman" w:hAnsi="Times New Roman" w:eastAsia="宋体" w:cs="Times New Roman"/>
          <w:color w:val="auto"/>
          <w:kern w:val="2"/>
          <w:sz w:val="21"/>
          <w:szCs w:val="24"/>
          <w:highlight w:val="none"/>
          <w:lang w:val="en-US" w:eastAsia="zh-CN" w:bidi="ar-SA"/>
        </w:rPr>
      </w:sdtEndPr>
      <w:sdtContent>
        <w:p w14:paraId="3F440BD9">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14:paraId="654AF41A">
          <w:pPr>
            <w:pStyle w:val="17"/>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_Toc1934318464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_Toc1934318464 \h </w:instrText>
          </w:r>
          <w:r>
            <w:fldChar w:fldCharType="separate"/>
          </w:r>
          <w:r>
            <w:t>1</w:t>
          </w:r>
          <w:r>
            <w:fldChar w:fldCharType="end"/>
          </w:r>
          <w:r>
            <w:rPr>
              <w:color w:val="auto"/>
              <w:highlight w:val="none"/>
            </w:rPr>
            <w:fldChar w:fldCharType="end"/>
          </w:r>
        </w:p>
        <w:p w14:paraId="70B14DE8">
          <w:pPr>
            <w:pStyle w:val="19"/>
            <w:tabs>
              <w:tab w:val="right" w:leader="dot" w:pos="9582"/>
            </w:tabs>
          </w:pPr>
          <w:r>
            <w:rPr>
              <w:color w:val="auto"/>
              <w:highlight w:val="none"/>
            </w:rPr>
            <w:fldChar w:fldCharType="begin"/>
          </w:r>
          <w:r>
            <w:rPr>
              <w:highlight w:val="none"/>
            </w:rPr>
            <w:instrText xml:space="preserve"> HYPERLINK \l _Toc1760535330 </w:instrText>
          </w:r>
          <w:r>
            <w:rPr>
              <w:highlight w:val="none"/>
            </w:rPr>
            <w:fldChar w:fldCharType="separate"/>
          </w:r>
          <w:r>
            <w:rPr>
              <w:rFonts w:hint="eastAsia" w:asciiTheme="minorEastAsia" w:hAnsiTheme="minorEastAsia" w:eastAsiaTheme="minorEastAsia"/>
              <w:szCs w:val="21"/>
              <w:highlight w:val="none"/>
            </w:rPr>
            <w:t>《北京市市容环境卫生条例》案由56项</w:t>
          </w:r>
          <w:r>
            <w:tab/>
          </w:r>
          <w:r>
            <w:fldChar w:fldCharType="begin"/>
          </w:r>
          <w:r>
            <w:instrText xml:space="preserve"> PAGEREF _Toc1760535330 \h </w:instrText>
          </w:r>
          <w:r>
            <w:fldChar w:fldCharType="separate"/>
          </w:r>
          <w:r>
            <w:t>1</w:t>
          </w:r>
          <w:r>
            <w:fldChar w:fldCharType="end"/>
          </w:r>
          <w:r>
            <w:rPr>
              <w:color w:val="auto"/>
              <w:highlight w:val="none"/>
            </w:rPr>
            <w:fldChar w:fldCharType="end"/>
          </w:r>
        </w:p>
        <w:p w14:paraId="1E65BF53">
          <w:pPr>
            <w:pStyle w:val="19"/>
            <w:tabs>
              <w:tab w:val="right" w:leader="dot" w:pos="9582"/>
            </w:tabs>
          </w:pPr>
          <w:r>
            <w:rPr>
              <w:color w:val="auto"/>
              <w:highlight w:val="none"/>
            </w:rPr>
            <w:fldChar w:fldCharType="begin"/>
          </w:r>
          <w:r>
            <w:rPr>
              <w:highlight w:val="none"/>
            </w:rPr>
            <w:instrText xml:space="preserve"> HYPERLINK \l _Toc1020847667 </w:instrText>
          </w:r>
          <w:r>
            <w:rPr>
              <w:highlight w:val="none"/>
            </w:rPr>
            <w:fldChar w:fldCharType="separate"/>
          </w:r>
          <w:r>
            <w:rPr>
              <w:rFonts w:hint="eastAsia" w:asciiTheme="minorEastAsia" w:hAnsiTheme="minorEastAsia" w:eastAsiaTheme="minorEastAsia"/>
              <w:szCs w:val="21"/>
              <w:highlight w:val="none"/>
            </w:rPr>
            <w:t>《北京市生活垃圾管理条例》案由</w:t>
          </w:r>
          <w:r>
            <w:rPr>
              <w:rFonts w:asciiTheme="minorEastAsia" w:hAnsiTheme="minorEastAsia" w:eastAsiaTheme="minorEastAsia"/>
              <w:szCs w:val="21"/>
              <w:highlight w:val="none"/>
            </w:rPr>
            <w:t>36</w:t>
          </w:r>
          <w:r>
            <w:rPr>
              <w:rFonts w:hint="eastAsia" w:asciiTheme="minorEastAsia" w:hAnsiTheme="minorEastAsia" w:eastAsiaTheme="minorEastAsia"/>
              <w:szCs w:val="21"/>
              <w:highlight w:val="none"/>
            </w:rPr>
            <w:t>项</w:t>
          </w:r>
          <w:r>
            <w:tab/>
          </w:r>
          <w:r>
            <w:fldChar w:fldCharType="begin"/>
          </w:r>
          <w:r>
            <w:instrText xml:space="preserve"> PAGEREF _Toc1020847667 \h </w:instrText>
          </w:r>
          <w:r>
            <w:fldChar w:fldCharType="separate"/>
          </w:r>
          <w:r>
            <w:t>10</w:t>
          </w:r>
          <w:r>
            <w:fldChar w:fldCharType="end"/>
          </w:r>
          <w:r>
            <w:rPr>
              <w:color w:val="auto"/>
              <w:highlight w:val="none"/>
            </w:rPr>
            <w:fldChar w:fldCharType="end"/>
          </w:r>
        </w:p>
        <w:p w14:paraId="11B3CFBD">
          <w:pPr>
            <w:pStyle w:val="19"/>
            <w:tabs>
              <w:tab w:val="right" w:leader="dot" w:pos="9582"/>
            </w:tabs>
          </w:pPr>
          <w:r>
            <w:rPr>
              <w:color w:val="auto"/>
              <w:highlight w:val="none"/>
            </w:rPr>
            <w:fldChar w:fldCharType="begin"/>
          </w:r>
          <w:r>
            <w:rPr>
              <w:highlight w:val="none"/>
            </w:rPr>
            <w:instrText xml:space="preserve"> HYPERLINK \l _Toc1852724472 </w:instrText>
          </w:r>
          <w:r>
            <w:rPr>
              <w:highlight w:val="none"/>
            </w:rPr>
            <w:fldChar w:fldCharType="separate"/>
          </w:r>
          <w:r>
            <w:rPr>
              <w:rFonts w:hint="eastAsia" w:asciiTheme="minorEastAsia" w:hAnsiTheme="minorEastAsia" w:eastAsiaTheme="minorEastAsia"/>
              <w:szCs w:val="21"/>
              <w:highlight w:val="none"/>
            </w:rPr>
            <w:t>《城市生活垃圾管理办法》案由11项</w:t>
          </w:r>
          <w:r>
            <w:tab/>
          </w:r>
          <w:r>
            <w:fldChar w:fldCharType="begin"/>
          </w:r>
          <w:r>
            <w:instrText xml:space="preserve"> PAGEREF _Toc1852724472 \h </w:instrText>
          </w:r>
          <w:r>
            <w:fldChar w:fldCharType="separate"/>
          </w:r>
          <w:r>
            <w:t>21</w:t>
          </w:r>
          <w:r>
            <w:fldChar w:fldCharType="end"/>
          </w:r>
          <w:r>
            <w:rPr>
              <w:color w:val="auto"/>
              <w:highlight w:val="none"/>
            </w:rPr>
            <w:fldChar w:fldCharType="end"/>
          </w:r>
        </w:p>
        <w:p w14:paraId="53F9873D">
          <w:pPr>
            <w:pStyle w:val="19"/>
            <w:tabs>
              <w:tab w:val="right" w:leader="dot" w:pos="9582"/>
            </w:tabs>
          </w:pPr>
          <w:r>
            <w:rPr>
              <w:color w:val="auto"/>
              <w:highlight w:val="none"/>
            </w:rPr>
            <w:fldChar w:fldCharType="begin"/>
          </w:r>
          <w:r>
            <w:rPr>
              <w:highlight w:val="none"/>
            </w:rPr>
            <w:instrText xml:space="preserve"> HYPERLINK \l _Toc515097220 </w:instrText>
          </w:r>
          <w:r>
            <w:rPr>
              <w:highlight w:val="none"/>
            </w:rPr>
            <w:fldChar w:fldCharType="separate"/>
          </w:r>
          <w:r>
            <w:rPr>
              <w:rFonts w:hint="eastAsia" w:asciiTheme="minorEastAsia" w:hAnsiTheme="minorEastAsia" w:eastAsiaTheme="minorEastAsia"/>
              <w:szCs w:val="21"/>
              <w:highlight w:val="none"/>
            </w:rPr>
            <w:t>《城市建筑垃圾管理规定》案由11项</w:t>
          </w:r>
          <w:r>
            <w:tab/>
          </w:r>
          <w:r>
            <w:fldChar w:fldCharType="begin"/>
          </w:r>
          <w:r>
            <w:instrText xml:space="preserve"> PAGEREF _Toc515097220 \h </w:instrText>
          </w:r>
          <w:r>
            <w:fldChar w:fldCharType="separate"/>
          </w:r>
          <w:r>
            <w:t>24</w:t>
          </w:r>
          <w:r>
            <w:fldChar w:fldCharType="end"/>
          </w:r>
          <w:r>
            <w:rPr>
              <w:color w:val="auto"/>
              <w:highlight w:val="none"/>
            </w:rPr>
            <w:fldChar w:fldCharType="end"/>
          </w:r>
        </w:p>
        <w:p w14:paraId="3C3D1BA5">
          <w:pPr>
            <w:pStyle w:val="19"/>
            <w:tabs>
              <w:tab w:val="right" w:leader="dot" w:pos="9582"/>
            </w:tabs>
          </w:pPr>
          <w:r>
            <w:rPr>
              <w:color w:val="auto"/>
              <w:highlight w:val="none"/>
            </w:rPr>
            <w:fldChar w:fldCharType="begin"/>
          </w:r>
          <w:r>
            <w:rPr>
              <w:highlight w:val="none"/>
            </w:rPr>
            <w:instrText xml:space="preserve"> HYPERLINK \l _Toc1596148479 </w:instrText>
          </w:r>
          <w:r>
            <w:rPr>
              <w:highlight w:val="none"/>
            </w:rPr>
            <w:fldChar w:fldCharType="separate"/>
          </w:r>
          <w:r>
            <w:rPr>
              <w:rFonts w:hint="eastAsia" w:asciiTheme="minorEastAsia" w:hAnsiTheme="minorEastAsia" w:eastAsiaTheme="minorEastAsia"/>
              <w:szCs w:val="21"/>
              <w:highlight w:val="none"/>
            </w:rPr>
            <w:t>《中华人民共和国固体废物污染环境防治法》案由</w:t>
          </w:r>
          <w:r>
            <w:rPr>
              <w:rFonts w:asciiTheme="minorEastAsia" w:hAnsiTheme="minorEastAsia" w:eastAsiaTheme="minorEastAsia"/>
              <w:szCs w:val="21"/>
              <w:highlight w:val="none"/>
            </w:rPr>
            <w:t>10</w:t>
          </w:r>
          <w:r>
            <w:rPr>
              <w:rFonts w:hint="eastAsia" w:asciiTheme="minorEastAsia" w:hAnsiTheme="minorEastAsia" w:eastAsiaTheme="minorEastAsia"/>
              <w:szCs w:val="21"/>
              <w:highlight w:val="none"/>
            </w:rPr>
            <w:t>项</w:t>
          </w:r>
          <w:r>
            <w:tab/>
          </w:r>
          <w:r>
            <w:fldChar w:fldCharType="begin"/>
          </w:r>
          <w:r>
            <w:instrText xml:space="preserve"> PAGEREF _Toc1596148479 \h </w:instrText>
          </w:r>
          <w:r>
            <w:fldChar w:fldCharType="separate"/>
          </w:r>
          <w:r>
            <w:t>27</w:t>
          </w:r>
          <w:r>
            <w:fldChar w:fldCharType="end"/>
          </w:r>
          <w:r>
            <w:rPr>
              <w:color w:val="auto"/>
              <w:highlight w:val="none"/>
            </w:rPr>
            <w:fldChar w:fldCharType="end"/>
          </w:r>
        </w:p>
        <w:p w14:paraId="5120C613">
          <w:pPr>
            <w:pStyle w:val="19"/>
            <w:tabs>
              <w:tab w:val="right" w:leader="dot" w:pos="9582"/>
            </w:tabs>
          </w:pPr>
          <w:r>
            <w:rPr>
              <w:color w:val="auto"/>
              <w:highlight w:val="none"/>
            </w:rPr>
            <w:fldChar w:fldCharType="begin"/>
          </w:r>
          <w:r>
            <w:rPr>
              <w:highlight w:val="none"/>
            </w:rPr>
            <w:instrText xml:space="preserve"> HYPERLINK \l _Toc1983411474 </w:instrText>
          </w:r>
          <w:r>
            <w:rPr>
              <w:highlight w:val="none"/>
            </w:rPr>
            <w:fldChar w:fldCharType="separate"/>
          </w:r>
          <w:r>
            <w:rPr>
              <w:rFonts w:hint="eastAsia" w:asciiTheme="minorEastAsia" w:hAnsiTheme="minorEastAsia" w:eastAsiaTheme="minorEastAsia"/>
              <w:szCs w:val="21"/>
              <w:highlight w:val="none"/>
            </w:rPr>
            <w:t>《北京市人民政府关于扫雪铲冰管理的规定》案由1项</w:t>
          </w:r>
          <w:r>
            <w:tab/>
          </w:r>
          <w:r>
            <w:fldChar w:fldCharType="begin"/>
          </w:r>
          <w:r>
            <w:instrText xml:space="preserve"> PAGEREF _Toc1983411474 \h </w:instrText>
          </w:r>
          <w:r>
            <w:fldChar w:fldCharType="separate"/>
          </w:r>
          <w:r>
            <w:t>30</w:t>
          </w:r>
          <w:r>
            <w:fldChar w:fldCharType="end"/>
          </w:r>
          <w:r>
            <w:rPr>
              <w:color w:val="auto"/>
              <w:highlight w:val="none"/>
            </w:rPr>
            <w:fldChar w:fldCharType="end"/>
          </w:r>
        </w:p>
        <w:p w14:paraId="7C626687">
          <w:pPr>
            <w:pStyle w:val="19"/>
            <w:tabs>
              <w:tab w:val="right" w:leader="dot" w:pos="9582"/>
            </w:tabs>
          </w:pPr>
          <w:r>
            <w:rPr>
              <w:color w:val="auto"/>
              <w:highlight w:val="none"/>
            </w:rPr>
            <w:fldChar w:fldCharType="begin"/>
          </w:r>
          <w:r>
            <w:rPr>
              <w:highlight w:val="none"/>
            </w:rPr>
            <w:instrText xml:space="preserve"> HYPERLINK \l _Toc1850212723 </w:instrText>
          </w:r>
          <w:r>
            <w:rPr>
              <w:highlight w:val="none"/>
            </w:rPr>
            <w:fldChar w:fldCharType="separate"/>
          </w:r>
          <w:r>
            <w:rPr>
              <w:rFonts w:hint="eastAsia" w:asciiTheme="minorEastAsia" w:hAnsiTheme="minorEastAsia" w:eastAsiaTheme="minorEastAsia"/>
              <w:szCs w:val="21"/>
              <w:highlight w:val="none"/>
            </w:rPr>
            <w:t>《北京市户外广告设施、牌匾标识和标语宣传品设置管理条例》案由14项</w:t>
          </w:r>
          <w:r>
            <w:tab/>
          </w:r>
          <w:r>
            <w:fldChar w:fldCharType="begin"/>
          </w:r>
          <w:r>
            <w:instrText xml:space="preserve"> PAGEREF _Toc1850212723 \h </w:instrText>
          </w:r>
          <w:r>
            <w:fldChar w:fldCharType="separate"/>
          </w:r>
          <w:r>
            <w:t>31</w:t>
          </w:r>
          <w:r>
            <w:fldChar w:fldCharType="end"/>
          </w:r>
          <w:r>
            <w:rPr>
              <w:color w:val="auto"/>
              <w:highlight w:val="none"/>
            </w:rPr>
            <w:fldChar w:fldCharType="end"/>
          </w:r>
        </w:p>
        <w:p w14:paraId="13780754">
          <w:pPr>
            <w:pStyle w:val="19"/>
            <w:tabs>
              <w:tab w:val="right" w:leader="dot" w:pos="9582"/>
            </w:tabs>
          </w:pPr>
          <w:r>
            <w:rPr>
              <w:color w:val="auto"/>
              <w:highlight w:val="none"/>
            </w:rPr>
            <w:fldChar w:fldCharType="begin"/>
          </w:r>
          <w:r>
            <w:rPr>
              <w:highlight w:val="none"/>
            </w:rPr>
            <w:instrText xml:space="preserve"> HYPERLINK \l _Toc1250529057 </w:instrText>
          </w:r>
          <w:r>
            <w:rPr>
              <w:highlight w:val="none"/>
            </w:rPr>
            <w:fldChar w:fldCharType="separate"/>
          </w:r>
          <w:r>
            <w:rPr>
              <w:rFonts w:hint="eastAsia" w:asciiTheme="minorEastAsia" w:hAnsiTheme="minorEastAsia" w:eastAsiaTheme="minorEastAsia"/>
              <w:szCs w:val="21"/>
              <w:highlight w:val="none"/>
            </w:rPr>
            <w:t>《北京市标语宣传品设置管理规定》案由6项</w:t>
          </w:r>
          <w:r>
            <w:tab/>
          </w:r>
          <w:r>
            <w:fldChar w:fldCharType="begin"/>
          </w:r>
          <w:r>
            <w:instrText xml:space="preserve"> PAGEREF _Toc1250529057 \h </w:instrText>
          </w:r>
          <w:r>
            <w:fldChar w:fldCharType="separate"/>
          </w:r>
          <w:r>
            <w:t>33</w:t>
          </w:r>
          <w:r>
            <w:fldChar w:fldCharType="end"/>
          </w:r>
          <w:r>
            <w:rPr>
              <w:color w:val="auto"/>
              <w:highlight w:val="none"/>
            </w:rPr>
            <w:fldChar w:fldCharType="end"/>
          </w:r>
        </w:p>
        <w:p w14:paraId="3C43D205">
          <w:pPr>
            <w:pStyle w:val="19"/>
            <w:tabs>
              <w:tab w:val="right" w:leader="dot" w:pos="9582"/>
            </w:tabs>
          </w:pPr>
          <w:r>
            <w:rPr>
              <w:color w:val="auto"/>
              <w:highlight w:val="none"/>
            </w:rPr>
            <w:fldChar w:fldCharType="begin"/>
          </w:r>
          <w:r>
            <w:rPr>
              <w:highlight w:val="none"/>
            </w:rPr>
            <w:instrText xml:space="preserve"> HYPERLINK \l _Toc1032338365 </w:instrText>
          </w:r>
          <w:r>
            <w:rPr>
              <w:highlight w:val="none"/>
            </w:rPr>
            <w:fldChar w:fldCharType="separate"/>
          </w:r>
          <w:r>
            <w:rPr>
              <w:rFonts w:hint="eastAsia" w:asciiTheme="minorEastAsia" w:hAnsiTheme="minorEastAsia" w:eastAsiaTheme="minorEastAsia"/>
              <w:szCs w:val="21"/>
              <w:highlight w:val="none"/>
            </w:rPr>
            <w:t>《北京市城市道路和公共场所环境卫生管理若干规定》案由7项</w:t>
          </w:r>
          <w:r>
            <w:tab/>
          </w:r>
          <w:r>
            <w:fldChar w:fldCharType="begin"/>
          </w:r>
          <w:r>
            <w:instrText xml:space="preserve"> PAGEREF _Toc1032338365 \h </w:instrText>
          </w:r>
          <w:r>
            <w:fldChar w:fldCharType="separate"/>
          </w:r>
          <w:r>
            <w:t>34</w:t>
          </w:r>
          <w:r>
            <w:fldChar w:fldCharType="end"/>
          </w:r>
          <w:r>
            <w:rPr>
              <w:color w:val="auto"/>
              <w:highlight w:val="none"/>
            </w:rPr>
            <w:fldChar w:fldCharType="end"/>
          </w:r>
        </w:p>
        <w:p w14:paraId="60E169D3">
          <w:pPr>
            <w:pStyle w:val="19"/>
            <w:tabs>
              <w:tab w:val="right" w:leader="dot" w:pos="9582"/>
            </w:tabs>
          </w:pPr>
          <w:r>
            <w:rPr>
              <w:color w:val="auto"/>
              <w:highlight w:val="none"/>
            </w:rPr>
            <w:fldChar w:fldCharType="begin"/>
          </w:r>
          <w:r>
            <w:rPr>
              <w:highlight w:val="none"/>
            </w:rPr>
            <w:instrText xml:space="preserve"> HYPERLINK \l _Toc239881210 </w:instrText>
          </w:r>
          <w:r>
            <w:rPr>
              <w:highlight w:val="none"/>
            </w:rPr>
            <w:fldChar w:fldCharType="separate"/>
          </w:r>
          <w:r>
            <w:rPr>
              <w:rFonts w:hint="eastAsia" w:asciiTheme="minorEastAsia" w:hAnsiTheme="minorEastAsia" w:eastAsiaTheme="minorEastAsia"/>
              <w:szCs w:val="21"/>
              <w:highlight w:val="none"/>
            </w:rPr>
            <w:t>《北京市建筑</w:t>
          </w:r>
          <w:r>
            <w:rPr>
              <w:rFonts w:asciiTheme="minorEastAsia" w:hAnsiTheme="minorEastAsia" w:eastAsiaTheme="minorEastAsia"/>
              <w:szCs w:val="21"/>
              <w:highlight w:val="none"/>
            </w:rPr>
            <w:t>垃圾处置管理规定</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24</w:t>
          </w:r>
          <w:r>
            <w:rPr>
              <w:rFonts w:hint="eastAsia" w:asciiTheme="minorEastAsia" w:hAnsiTheme="minorEastAsia" w:eastAsiaTheme="minorEastAsia"/>
              <w:szCs w:val="21"/>
              <w:highlight w:val="none"/>
            </w:rPr>
            <w:t>项</w:t>
          </w:r>
          <w:r>
            <w:tab/>
          </w:r>
          <w:r>
            <w:fldChar w:fldCharType="begin"/>
          </w:r>
          <w:r>
            <w:instrText xml:space="preserve"> PAGEREF _Toc239881210 \h </w:instrText>
          </w:r>
          <w:r>
            <w:fldChar w:fldCharType="separate"/>
          </w:r>
          <w:r>
            <w:t>36</w:t>
          </w:r>
          <w:r>
            <w:fldChar w:fldCharType="end"/>
          </w:r>
          <w:r>
            <w:rPr>
              <w:color w:val="auto"/>
              <w:highlight w:val="none"/>
            </w:rPr>
            <w:fldChar w:fldCharType="end"/>
          </w:r>
        </w:p>
        <w:p w14:paraId="54790E0D">
          <w:pPr>
            <w:pStyle w:val="19"/>
            <w:tabs>
              <w:tab w:val="right" w:leader="dot" w:pos="9582"/>
            </w:tabs>
          </w:pPr>
          <w:r>
            <w:rPr>
              <w:color w:val="auto"/>
              <w:highlight w:val="none"/>
            </w:rPr>
            <w:fldChar w:fldCharType="begin"/>
          </w:r>
          <w:r>
            <w:rPr>
              <w:highlight w:val="none"/>
            </w:rPr>
            <w:instrText xml:space="preserve"> HYPERLINK \l _Toc1480001712 </w:instrText>
          </w:r>
          <w:r>
            <w:rPr>
              <w:highlight w:val="none"/>
            </w:rPr>
            <w:fldChar w:fldCharType="separate"/>
          </w:r>
          <w:r>
            <w:rPr>
              <w:rFonts w:hint="eastAsia" w:asciiTheme="minorEastAsia" w:hAnsiTheme="minorEastAsia" w:eastAsiaTheme="minorEastAsia"/>
              <w:szCs w:val="21"/>
              <w:highlight w:val="none"/>
            </w:rPr>
            <w:t>《北京市养犬管理规定》案由1项</w:t>
          </w:r>
          <w:r>
            <w:tab/>
          </w:r>
          <w:r>
            <w:fldChar w:fldCharType="begin"/>
          </w:r>
          <w:r>
            <w:instrText xml:space="preserve"> PAGEREF _Toc1480001712 \h </w:instrText>
          </w:r>
          <w:r>
            <w:fldChar w:fldCharType="separate"/>
          </w:r>
          <w:r>
            <w:t>45</w:t>
          </w:r>
          <w:r>
            <w:fldChar w:fldCharType="end"/>
          </w:r>
          <w:r>
            <w:rPr>
              <w:color w:val="auto"/>
              <w:highlight w:val="none"/>
            </w:rPr>
            <w:fldChar w:fldCharType="end"/>
          </w:r>
        </w:p>
        <w:p w14:paraId="274DA74F">
          <w:pPr>
            <w:pStyle w:val="19"/>
            <w:tabs>
              <w:tab w:val="right" w:leader="dot" w:pos="9582"/>
            </w:tabs>
          </w:pPr>
          <w:r>
            <w:rPr>
              <w:color w:val="auto"/>
              <w:highlight w:val="none"/>
            </w:rPr>
            <w:fldChar w:fldCharType="begin"/>
          </w:r>
          <w:r>
            <w:rPr>
              <w:highlight w:val="none"/>
            </w:rPr>
            <w:instrText xml:space="preserve"> HYPERLINK \l _Toc243278611 </w:instrText>
          </w:r>
          <w:r>
            <w:rPr>
              <w:highlight w:val="none"/>
            </w:rPr>
            <w:fldChar w:fldCharType="separate"/>
          </w:r>
          <w:r>
            <w:rPr>
              <w:rFonts w:hint="eastAsia" w:asciiTheme="minorEastAsia" w:hAnsiTheme="minorEastAsia" w:eastAsiaTheme="minorEastAsia"/>
              <w:szCs w:val="21"/>
              <w:highlight w:val="none"/>
            </w:rPr>
            <w:t>《北京市长城保护管理办法》案由1项</w:t>
          </w:r>
          <w:r>
            <w:tab/>
          </w:r>
          <w:r>
            <w:fldChar w:fldCharType="begin"/>
          </w:r>
          <w:r>
            <w:instrText xml:space="preserve"> PAGEREF _Toc243278611 \h </w:instrText>
          </w:r>
          <w:r>
            <w:fldChar w:fldCharType="separate"/>
          </w:r>
          <w:r>
            <w:t>45</w:t>
          </w:r>
          <w:r>
            <w:fldChar w:fldCharType="end"/>
          </w:r>
          <w:r>
            <w:rPr>
              <w:color w:val="auto"/>
              <w:highlight w:val="none"/>
            </w:rPr>
            <w:fldChar w:fldCharType="end"/>
          </w:r>
        </w:p>
        <w:p w14:paraId="2F4AAD27">
          <w:pPr>
            <w:pStyle w:val="19"/>
            <w:tabs>
              <w:tab w:val="right" w:leader="dot" w:pos="9582"/>
            </w:tabs>
          </w:pPr>
          <w:r>
            <w:rPr>
              <w:color w:val="auto"/>
              <w:highlight w:val="none"/>
            </w:rPr>
            <w:fldChar w:fldCharType="begin"/>
          </w:r>
          <w:r>
            <w:rPr>
              <w:highlight w:val="none"/>
            </w:rPr>
            <w:instrText xml:space="preserve"> HYPERLINK \l _Toc1427991038 </w:instrText>
          </w:r>
          <w:r>
            <w:rPr>
              <w:highlight w:val="none"/>
            </w:rPr>
            <w:fldChar w:fldCharType="separate"/>
          </w:r>
          <w:r>
            <w:rPr>
              <w:rFonts w:hint="eastAsia" w:asciiTheme="minorEastAsia" w:hAnsiTheme="minorEastAsia" w:eastAsiaTheme="minorEastAsia"/>
              <w:szCs w:val="21"/>
              <w:highlight w:val="none"/>
            </w:rPr>
            <w:t>《北京历史文化名城保护条例》案由1项</w:t>
          </w:r>
          <w:r>
            <w:tab/>
          </w:r>
          <w:r>
            <w:fldChar w:fldCharType="begin"/>
          </w:r>
          <w:r>
            <w:instrText xml:space="preserve"> PAGEREF _Toc1427991038 \h </w:instrText>
          </w:r>
          <w:r>
            <w:fldChar w:fldCharType="separate"/>
          </w:r>
          <w:r>
            <w:t>46</w:t>
          </w:r>
          <w:r>
            <w:fldChar w:fldCharType="end"/>
          </w:r>
          <w:r>
            <w:rPr>
              <w:color w:val="auto"/>
              <w:highlight w:val="none"/>
            </w:rPr>
            <w:fldChar w:fldCharType="end"/>
          </w:r>
        </w:p>
        <w:p w14:paraId="654A5608">
          <w:pPr>
            <w:pStyle w:val="19"/>
            <w:tabs>
              <w:tab w:val="right" w:leader="dot" w:pos="9582"/>
            </w:tabs>
          </w:pPr>
          <w:r>
            <w:rPr>
              <w:color w:val="auto"/>
              <w:highlight w:val="none"/>
            </w:rPr>
            <w:fldChar w:fldCharType="begin"/>
          </w:r>
          <w:r>
            <w:rPr>
              <w:highlight w:val="none"/>
            </w:rPr>
            <w:instrText xml:space="preserve"> HYPERLINK \l _Toc734628716 </w:instrText>
          </w:r>
          <w:r>
            <w:rPr>
              <w:highlight w:val="none"/>
            </w:rPr>
            <w:fldChar w:fldCharType="separate"/>
          </w:r>
          <w:r>
            <w:rPr>
              <w:rFonts w:hint="eastAsia" w:asciiTheme="minorEastAsia" w:hAnsiTheme="minorEastAsia" w:eastAsiaTheme="minorEastAsia"/>
              <w:szCs w:val="21"/>
              <w:highlight w:val="none"/>
            </w:rPr>
            <w:t>《北京市架空线管理若干规定》案由</w:t>
          </w:r>
          <w:r>
            <w:rPr>
              <w:rFonts w:asciiTheme="minorEastAsia" w:hAnsiTheme="minorEastAsia" w:eastAsiaTheme="minorEastAsia"/>
              <w:szCs w:val="21"/>
              <w:highlight w:val="none"/>
            </w:rPr>
            <w:t>7</w:t>
          </w:r>
          <w:r>
            <w:rPr>
              <w:rFonts w:hint="eastAsia" w:asciiTheme="minorEastAsia" w:hAnsiTheme="minorEastAsia" w:eastAsiaTheme="minorEastAsia"/>
              <w:szCs w:val="21"/>
              <w:highlight w:val="none"/>
            </w:rPr>
            <w:t>项</w:t>
          </w:r>
          <w:r>
            <w:tab/>
          </w:r>
          <w:r>
            <w:fldChar w:fldCharType="begin"/>
          </w:r>
          <w:r>
            <w:instrText xml:space="preserve"> PAGEREF _Toc734628716 \h </w:instrText>
          </w:r>
          <w:r>
            <w:fldChar w:fldCharType="separate"/>
          </w:r>
          <w:r>
            <w:t>46</w:t>
          </w:r>
          <w:r>
            <w:fldChar w:fldCharType="end"/>
          </w:r>
          <w:r>
            <w:rPr>
              <w:color w:val="auto"/>
              <w:highlight w:val="none"/>
            </w:rPr>
            <w:fldChar w:fldCharType="end"/>
          </w:r>
        </w:p>
        <w:p w14:paraId="7A899693">
          <w:pPr>
            <w:pStyle w:val="19"/>
            <w:tabs>
              <w:tab w:val="right" w:leader="dot" w:pos="9582"/>
            </w:tabs>
          </w:pPr>
          <w:r>
            <w:rPr>
              <w:color w:val="auto"/>
              <w:highlight w:val="none"/>
            </w:rPr>
            <w:fldChar w:fldCharType="begin"/>
          </w:r>
          <w:r>
            <w:rPr>
              <w:highlight w:val="none"/>
            </w:rPr>
            <w:instrText xml:space="preserve"> HYPERLINK \l _Toc512378857 </w:instrText>
          </w:r>
          <w:r>
            <w:rPr>
              <w:highlight w:val="none"/>
            </w:rPr>
            <w:fldChar w:fldCharType="separate"/>
          </w:r>
          <w:r>
            <w:rPr>
              <w:rFonts w:hint="eastAsia" w:asciiTheme="minorEastAsia" w:hAnsiTheme="minorEastAsia" w:eastAsiaTheme="minorEastAsia"/>
              <w:szCs w:val="21"/>
              <w:highlight w:val="none"/>
            </w:rPr>
            <w:t>《城市照明管理规定》案由2项</w:t>
          </w:r>
          <w:r>
            <w:tab/>
          </w:r>
          <w:r>
            <w:fldChar w:fldCharType="begin"/>
          </w:r>
          <w:r>
            <w:instrText xml:space="preserve"> PAGEREF _Toc512378857 \h </w:instrText>
          </w:r>
          <w:r>
            <w:fldChar w:fldCharType="separate"/>
          </w:r>
          <w:r>
            <w:t>47</w:t>
          </w:r>
          <w:r>
            <w:fldChar w:fldCharType="end"/>
          </w:r>
          <w:r>
            <w:rPr>
              <w:color w:val="auto"/>
              <w:highlight w:val="none"/>
            </w:rPr>
            <w:fldChar w:fldCharType="end"/>
          </w:r>
        </w:p>
        <w:p w14:paraId="1374834B">
          <w:pPr>
            <w:pStyle w:val="19"/>
            <w:tabs>
              <w:tab w:val="right" w:leader="dot" w:pos="9582"/>
            </w:tabs>
          </w:pPr>
          <w:r>
            <w:rPr>
              <w:color w:val="auto"/>
              <w:highlight w:val="none"/>
            </w:rPr>
            <w:fldChar w:fldCharType="begin"/>
          </w:r>
          <w:r>
            <w:rPr>
              <w:highlight w:val="none"/>
            </w:rPr>
            <w:instrText xml:space="preserve"> HYPERLINK \l _Toc836022440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物业管理条例</w:t>
          </w:r>
          <w:r>
            <w:rPr>
              <w:rFonts w:hint="eastAsia" w:asciiTheme="minorEastAsia" w:hAnsiTheme="minorEastAsia" w:eastAsiaTheme="minorEastAsia"/>
              <w:szCs w:val="21"/>
              <w:highlight w:val="none"/>
            </w:rPr>
            <w:t>》案由1项</w:t>
          </w:r>
          <w:r>
            <w:tab/>
          </w:r>
          <w:r>
            <w:fldChar w:fldCharType="begin"/>
          </w:r>
          <w:r>
            <w:instrText xml:space="preserve"> PAGEREF _Toc836022440 \h </w:instrText>
          </w:r>
          <w:r>
            <w:fldChar w:fldCharType="separate"/>
          </w:r>
          <w:r>
            <w:t>47</w:t>
          </w:r>
          <w:r>
            <w:fldChar w:fldCharType="end"/>
          </w:r>
          <w:r>
            <w:rPr>
              <w:color w:val="auto"/>
              <w:highlight w:val="none"/>
            </w:rPr>
            <w:fldChar w:fldCharType="end"/>
          </w:r>
        </w:p>
        <w:p w14:paraId="75673EDA">
          <w:pPr>
            <w:pStyle w:val="17"/>
            <w:tabs>
              <w:tab w:val="right" w:leader="dot" w:pos="9582"/>
            </w:tabs>
          </w:pPr>
          <w:r>
            <w:rPr>
              <w:color w:val="auto"/>
              <w:highlight w:val="none"/>
            </w:rPr>
            <w:fldChar w:fldCharType="begin"/>
          </w:r>
          <w:r>
            <w:rPr>
              <w:highlight w:val="none"/>
            </w:rPr>
            <w:instrText xml:space="preserve"> HYPERLINK \l _Toc1422951986 </w:instrText>
          </w:r>
          <w:r>
            <w:rPr>
              <w:highlight w:val="none"/>
            </w:rPr>
            <w:fldChar w:fldCharType="separate"/>
          </w:r>
          <w:r>
            <w:rPr>
              <w:rFonts w:hint="eastAsia" w:ascii="黑体" w:hAnsi="黑体" w:eastAsia="黑体" w:cs="黑体"/>
              <w:bCs w:val="0"/>
              <w:szCs w:val="28"/>
              <w:highlight w:val="none"/>
            </w:rPr>
            <w:t>市政管理方面</w:t>
          </w:r>
          <w:r>
            <w:tab/>
          </w:r>
          <w:r>
            <w:fldChar w:fldCharType="begin"/>
          </w:r>
          <w:r>
            <w:instrText xml:space="preserve"> PAGEREF _Toc1422951986 \h </w:instrText>
          </w:r>
          <w:r>
            <w:fldChar w:fldCharType="separate"/>
          </w:r>
          <w:r>
            <w:t>48</w:t>
          </w:r>
          <w:r>
            <w:fldChar w:fldCharType="end"/>
          </w:r>
          <w:r>
            <w:rPr>
              <w:color w:val="auto"/>
              <w:highlight w:val="none"/>
            </w:rPr>
            <w:fldChar w:fldCharType="end"/>
          </w:r>
        </w:p>
        <w:p w14:paraId="563A42FA">
          <w:pPr>
            <w:pStyle w:val="19"/>
            <w:tabs>
              <w:tab w:val="right" w:leader="dot" w:pos="9582"/>
            </w:tabs>
          </w:pPr>
          <w:r>
            <w:rPr>
              <w:color w:val="auto"/>
              <w:highlight w:val="none"/>
            </w:rPr>
            <w:fldChar w:fldCharType="begin"/>
          </w:r>
          <w:r>
            <w:rPr>
              <w:highlight w:val="none"/>
            </w:rPr>
            <w:instrText xml:space="preserve"> HYPERLINK \l _Toc1283746756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_Toc1283746756 \h </w:instrText>
          </w:r>
          <w:r>
            <w:fldChar w:fldCharType="separate"/>
          </w:r>
          <w:r>
            <w:t>48</w:t>
          </w:r>
          <w:r>
            <w:fldChar w:fldCharType="end"/>
          </w:r>
          <w:r>
            <w:rPr>
              <w:color w:val="auto"/>
              <w:highlight w:val="none"/>
            </w:rPr>
            <w:fldChar w:fldCharType="end"/>
          </w:r>
        </w:p>
        <w:p w14:paraId="09C5772F">
          <w:pPr>
            <w:pStyle w:val="19"/>
            <w:tabs>
              <w:tab w:val="right" w:leader="dot" w:pos="9582"/>
            </w:tabs>
          </w:pPr>
          <w:r>
            <w:rPr>
              <w:color w:val="auto"/>
              <w:highlight w:val="none"/>
            </w:rPr>
            <w:fldChar w:fldCharType="begin"/>
          </w:r>
          <w:r>
            <w:rPr>
              <w:highlight w:val="none"/>
            </w:rPr>
            <w:instrText xml:space="preserve"> HYPERLINK \l _Toc292616048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_Toc292616048 \h </w:instrText>
          </w:r>
          <w:r>
            <w:fldChar w:fldCharType="separate"/>
          </w:r>
          <w:r>
            <w:t>49</w:t>
          </w:r>
          <w:r>
            <w:fldChar w:fldCharType="end"/>
          </w:r>
          <w:r>
            <w:rPr>
              <w:color w:val="auto"/>
              <w:highlight w:val="none"/>
            </w:rPr>
            <w:fldChar w:fldCharType="end"/>
          </w:r>
        </w:p>
        <w:p w14:paraId="2CBD3B0C">
          <w:pPr>
            <w:pStyle w:val="19"/>
            <w:tabs>
              <w:tab w:val="right" w:leader="dot" w:pos="9582"/>
            </w:tabs>
          </w:pPr>
          <w:r>
            <w:rPr>
              <w:color w:val="auto"/>
              <w:highlight w:val="none"/>
            </w:rPr>
            <w:fldChar w:fldCharType="begin"/>
          </w:r>
          <w:r>
            <w:rPr>
              <w:highlight w:val="none"/>
            </w:rPr>
            <w:instrText xml:space="preserve"> HYPERLINK \l _Toc870328335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_Toc870328335 \h </w:instrText>
          </w:r>
          <w:r>
            <w:fldChar w:fldCharType="separate"/>
          </w:r>
          <w:r>
            <w:t>49</w:t>
          </w:r>
          <w:r>
            <w:fldChar w:fldCharType="end"/>
          </w:r>
          <w:r>
            <w:rPr>
              <w:color w:val="auto"/>
              <w:highlight w:val="none"/>
            </w:rPr>
            <w:fldChar w:fldCharType="end"/>
          </w:r>
        </w:p>
        <w:p w14:paraId="1978753D">
          <w:pPr>
            <w:pStyle w:val="19"/>
            <w:tabs>
              <w:tab w:val="right" w:leader="dot" w:pos="9582"/>
            </w:tabs>
          </w:pPr>
          <w:r>
            <w:rPr>
              <w:color w:val="auto"/>
              <w:highlight w:val="none"/>
            </w:rPr>
            <w:fldChar w:fldCharType="begin"/>
          </w:r>
          <w:r>
            <w:rPr>
              <w:highlight w:val="none"/>
            </w:rPr>
            <w:instrText xml:space="preserve"> HYPERLINK \l _Toc1235842021 </w:instrText>
          </w:r>
          <w:r>
            <w:rPr>
              <w:highlight w:val="none"/>
            </w:rPr>
            <w:fldChar w:fldCharType="separate"/>
          </w:r>
          <w:r>
            <w:rPr>
              <w:rFonts w:hint="eastAsia" w:asciiTheme="minorEastAsia" w:hAnsiTheme="minorEastAsia" w:eastAsiaTheme="minorEastAsia"/>
              <w:szCs w:val="21"/>
              <w:highlight w:val="none"/>
            </w:rPr>
            <w:t>《北京市地下设施检查井井盖管理规定》案由5项</w:t>
          </w:r>
          <w:r>
            <w:tab/>
          </w:r>
          <w:r>
            <w:fldChar w:fldCharType="begin"/>
          </w:r>
          <w:r>
            <w:instrText xml:space="preserve"> PAGEREF _Toc1235842021 \h </w:instrText>
          </w:r>
          <w:r>
            <w:fldChar w:fldCharType="separate"/>
          </w:r>
          <w:r>
            <w:t>52</w:t>
          </w:r>
          <w:r>
            <w:fldChar w:fldCharType="end"/>
          </w:r>
          <w:r>
            <w:rPr>
              <w:color w:val="auto"/>
              <w:highlight w:val="none"/>
            </w:rPr>
            <w:fldChar w:fldCharType="end"/>
          </w:r>
        </w:p>
        <w:p w14:paraId="5033AE2E">
          <w:pPr>
            <w:pStyle w:val="17"/>
            <w:tabs>
              <w:tab w:val="right" w:leader="dot" w:pos="9582"/>
            </w:tabs>
          </w:pPr>
          <w:r>
            <w:rPr>
              <w:color w:val="auto"/>
              <w:highlight w:val="none"/>
            </w:rPr>
            <w:fldChar w:fldCharType="begin"/>
          </w:r>
          <w:r>
            <w:rPr>
              <w:highlight w:val="none"/>
            </w:rPr>
            <w:instrText xml:space="preserve"> HYPERLINK \l _Toc1832948651 </w:instrText>
          </w:r>
          <w:r>
            <w:rPr>
              <w:highlight w:val="none"/>
            </w:rPr>
            <w:fldChar w:fldCharType="separate"/>
          </w:r>
          <w:r>
            <w:rPr>
              <w:rFonts w:hint="eastAsia" w:ascii="黑体" w:hAnsi="黑体" w:eastAsia="黑体"/>
              <w:szCs w:val="28"/>
              <w:highlight w:val="none"/>
            </w:rPr>
            <w:t>公用事业管理方面</w:t>
          </w:r>
          <w:r>
            <w:tab/>
          </w:r>
          <w:r>
            <w:fldChar w:fldCharType="begin"/>
          </w:r>
          <w:r>
            <w:instrText xml:space="preserve"> PAGEREF _Toc1832948651 \h </w:instrText>
          </w:r>
          <w:r>
            <w:fldChar w:fldCharType="separate"/>
          </w:r>
          <w:r>
            <w:t>53</w:t>
          </w:r>
          <w:r>
            <w:fldChar w:fldCharType="end"/>
          </w:r>
          <w:r>
            <w:rPr>
              <w:color w:val="auto"/>
              <w:highlight w:val="none"/>
            </w:rPr>
            <w:fldChar w:fldCharType="end"/>
          </w:r>
        </w:p>
        <w:p w14:paraId="7D21955C">
          <w:pPr>
            <w:pStyle w:val="19"/>
            <w:tabs>
              <w:tab w:val="right" w:leader="dot" w:pos="9582"/>
            </w:tabs>
          </w:pPr>
          <w:r>
            <w:rPr>
              <w:color w:val="auto"/>
              <w:highlight w:val="none"/>
            </w:rPr>
            <w:fldChar w:fldCharType="begin"/>
          </w:r>
          <w:r>
            <w:rPr>
              <w:highlight w:val="none"/>
            </w:rPr>
            <w:instrText xml:space="preserve"> HYPERLINK \l _Toc249493279 </w:instrText>
          </w:r>
          <w:r>
            <w:rPr>
              <w:highlight w:val="none"/>
            </w:rPr>
            <w:fldChar w:fldCharType="separate"/>
          </w:r>
          <w:r>
            <w:rPr>
              <w:rFonts w:hint="eastAsia" w:asciiTheme="minorEastAsia" w:hAnsiTheme="minorEastAsia" w:eastAsiaTheme="minorEastAsia"/>
              <w:szCs w:val="21"/>
              <w:highlight w:val="none"/>
            </w:rPr>
            <w:t>《城镇燃气管理条例》案由30项</w:t>
          </w:r>
          <w:r>
            <w:tab/>
          </w:r>
          <w:r>
            <w:fldChar w:fldCharType="begin"/>
          </w:r>
          <w:r>
            <w:instrText xml:space="preserve"> PAGEREF _Toc249493279 \h </w:instrText>
          </w:r>
          <w:r>
            <w:fldChar w:fldCharType="separate"/>
          </w:r>
          <w:r>
            <w:t>53</w:t>
          </w:r>
          <w:r>
            <w:fldChar w:fldCharType="end"/>
          </w:r>
          <w:r>
            <w:rPr>
              <w:color w:val="auto"/>
              <w:highlight w:val="none"/>
            </w:rPr>
            <w:fldChar w:fldCharType="end"/>
          </w:r>
        </w:p>
        <w:p w14:paraId="5F440418">
          <w:pPr>
            <w:pStyle w:val="19"/>
            <w:tabs>
              <w:tab w:val="right" w:leader="dot" w:pos="9582"/>
            </w:tabs>
          </w:pPr>
          <w:r>
            <w:rPr>
              <w:color w:val="auto"/>
              <w:highlight w:val="none"/>
            </w:rPr>
            <w:fldChar w:fldCharType="begin"/>
          </w:r>
          <w:r>
            <w:rPr>
              <w:highlight w:val="none"/>
            </w:rPr>
            <w:instrText xml:space="preserve"> HYPERLINK \l _Toc933264002 </w:instrText>
          </w:r>
          <w:r>
            <w:rPr>
              <w:highlight w:val="none"/>
            </w:rPr>
            <w:fldChar w:fldCharType="separate"/>
          </w:r>
          <w:r>
            <w:rPr>
              <w:rFonts w:hint="eastAsia" w:asciiTheme="minorEastAsia" w:hAnsiTheme="minorEastAsia" w:eastAsiaTheme="minorEastAsia"/>
              <w:szCs w:val="21"/>
              <w:highlight w:val="none"/>
            </w:rPr>
            <w:t>《北京市燃气管理条例》案由26项</w:t>
          </w:r>
          <w:r>
            <w:tab/>
          </w:r>
          <w:r>
            <w:fldChar w:fldCharType="begin"/>
          </w:r>
          <w:r>
            <w:instrText xml:space="preserve"> PAGEREF _Toc933264002 \h </w:instrText>
          </w:r>
          <w:r>
            <w:fldChar w:fldCharType="separate"/>
          </w:r>
          <w:r>
            <w:t>64</w:t>
          </w:r>
          <w:r>
            <w:fldChar w:fldCharType="end"/>
          </w:r>
          <w:r>
            <w:rPr>
              <w:color w:val="auto"/>
              <w:highlight w:val="none"/>
            </w:rPr>
            <w:fldChar w:fldCharType="end"/>
          </w:r>
        </w:p>
        <w:p w14:paraId="4CB98B01">
          <w:pPr>
            <w:pStyle w:val="19"/>
            <w:tabs>
              <w:tab w:val="right" w:leader="dot" w:pos="9582"/>
            </w:tabs>
          </w:pPr>
          <w:r>
            <w:rPr>
              <w:color w:val="auto"/>
              <w:highlight w:val="none"/>
            </w:rPr>
            <w:fldChar w:fldCharType="begin"/>
          </w:r>
          <w:r>
            <w:rPr>
              <w:highlight w:val="none"/>
            </w:rPr>
            <w:instrText xml:space="preserve"> HYPERLINK \l _Toc1007666294 </w:instrText>
          </w:r>
          <w:r>
            <w:rPr>
              <w:highlight w:val="none"/>
            </w:rPr>
            <w:fldChar w:fldCharType="separate"/>
          </w:r>
          <w:r>
            <w:rPr>
              <w:rFonts w:hint="eastAsia" w:asciiTheme="minorEastAsia" w:hAnsiTheme="minorEastAsia" w:eastAsiaTheme="minorEastAsia"/>
              <w:szCs w:val="21"/>
              <w:highlight w:val="none"/>
            </w:rPr>
            <w:t>《北京市消防条例》案由1项</w:t>
          </w:r>
          <w:r>
            <w:tab/>
          </w:r>
          <w:r>
            <w:fldChar w:fldCharType="begin"/>
          </w:r>
          <w:r>
            <w:instrText xml:space="preserve"> PAGEREF _Toc1007666294 \h </w:instrText>
          </w:r>
          <w:r>
            <w:fldChar w:fldCharType="separate"/>
          </w:r>
          <w:r>
            <w:t>75</w:t>
          </w:r>
          <w:r>
            <w:fldChar w:fldCharType="end"/>
          </w:r>
          <w:r>
            <w:rPr>
              <w:color w:val="auto"/>
              <w:highlight w:val="none"/>
            </w:rPr>
            <w:fldChar w:fldCharType="end"/>
          </w:r>
        </w:p>
        <w:p w14:paraId="11723905">
          <w:pPr>
            <w:pStyle w:val="19"/>
            <w:tabs>
              <w:tab w:val="right" w:leader="dot" w:pos="9582"/>
            </w:tabs>
          </w:pPr>
          <w:r>
            <w:rPr>
              <w:color w:val="auto"/>
              <w:highlight w:val="none"/>
            </w:rPr>
            <w:fldChar w:fldCharType="begin"/>
          </w:r>
          <w:r>
            <w:rPr>
              <w:highlight w:val="none"/>
            </w:rPr>
            <w:instrText xml:space="preserve"> HYPERLINK \l _Toc581212474 </w:instrText>
          </w:r>
          <w:r>
            <w:rPr>
              <w:highlight w:val="none"/>
            </w:rPr>
            <w:fldChar w:fldCharType="separate"/>
          </w:r>
          <w:r>
            <w:rPr>
              <w:rFonts w:hint="eastAsia" w:asciiTheme="minorEastAsia" w:hAnsiTheme="minorEastAsia" w:eastAsiaTheme="minorEastAsia"/>
              <w:szCs w:val="21"/>
              <w:highlight w:val="none"/>
            </w:rPr>
            <w:t>《北京市清洁燃料车辆加气站管理规定》案由7项</w:t>
          </w:r>
          <w:r>
            <w:tab/>
          </w:r>
          <w:r>
            <w:fldChar w:fldCharType="begin"/>
          </w:r>
          <w:r>
            <w:instrText xml:space="preserve"> PAGEREF _Toc581212474 \h </w:instrText>
          </w:r>
          <w:r>
            <w:fldChar w:fldCharType="separate"/>
          </w:r>
          <w:r>
            <w:t>75</w:t>
          </w:r>
          <w:r>
            <w:fldChar w:fldCharType="end"/>
          </w:r>
          <w:r>
            <w:rPr>
              <w:color w:val="auto"/>
              <w:highlight w:val="none"/>
            </w:rPr>
            <w:fldChar w:fldCharType="end"/>
          </w:r>
        </w:p>
        <w:p w14:paraId="421CCF85">
          <w:pPr>
            <w:pStyle w:val="19"/>
            <w:tabs>
              <w:tab w:val="right" w:leader="dot" w:pos="9582"/>
            </w:tabs>
          </w:pPr>
          <w:r>
            <w:rPr>
              <w:color w:val="auto"/>
              <w:highlight w:val="none"/>
            </w:rPr>
            <w:fldChar w:fldCharType="begin"/>
          </w:r>
          <w:r>
            <w:rPr>
              <w:highlight w:val="none"/>
            </w:rPr>
            <w:instrText xml:space="preserve"> HYPERLINK \l _Toc386706595 </w:instrText>
          </w:r>
          <w:r>
            <w:rPr>
              <w:highlight w:val="none"/>
            </w:rPr>
            <w:fldChar w:fldCharType="separate"/>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北京市供热采暖管理办法</w:t>
          </w:r>
          <w:r>
            <w:rPr>
              <w:rFonts w:hint="eastAsia" w:asciiTheme="minorEastAsia" w:hAnsiTheme="minorEastAsia" w:eastAsiaTheme="minorEastAsia"/>
              <w:szCs w:val="21"/>
              <w:highlight w:val="none"/>
            </w:rPr>
            <w:t>》案由19项</w:t>
          </w:r>
          <w:r>
            <w:tab/>
          </w:r>
          <w:r>
            <w:fldChar w:fldCharType="begin"/>
          </w:r>
          <w:r>
            <w:instrText xml:space="preserve"> PAGEREF _Toc386706595 \h </w:instrText>
          </w:r>
          <w:r>
            <w:fldChar w:fldCharType="separate"/>
          </w:r>
          <w:r>
            <w:t>76</w:t>
          </w:r>
          <w:r>
            <w:fldChar w:fldCharType="end"/>
          </w:r>
          <w:r>
            <w:rPr>
              <w:color w:val="auto"/>
              <w:highlight w:val="none"/>
            </w:rPr>
            <w:fldChar w:fldCharType="end"/>
          </w:r>
        </w:p>
        <w:p w14:paraId="12FE8EE3">
          <w:pPr>
            <w:pStyle w:val="19"/>
            <w:tabs>
              <w:tab w:val="right" w:leader="dot" w:pos="9582"/>
            </w:tabs>
          </w:pPr>
          <w:r>
            <w:rPr>
              <w:color w:val="auto"/>
              <w:highlight w:val="none"/>
            </w:rPr>
            <w:fldChar w:fldCharType="begin"/>
          </w:r>
          <w:r>
            <w:rPr>
              <w:highlight w:val="none"/>
            </w:rPr>
            <w:instrText xml:space="preserve"> HYPERLINK \l _Toc595556579 </w:instrText>
          </w:r>
          <w:r>
            <w:rPr>
              <w:highlight w:val="none"/>
            </w:rPr>
            <w:fldChar w:fldCharType="separate"/>
          </w:r>
          <w:r>
            <w:rPr>
              <w:rFonts w:hint="eastAsia" w:asciiTheme="minorEastAsia" w:hAnsiTheme="minorEastAsia" w:eastAsiaTheme="minorEastAsia"/>
              <w:szCs w:val="21"/>
              <w:highlight w:val="none"/>
            </w:rPr>
            <w:t>《北京市民用建筑节能管理办法》案由2项</w:t>
          </w:r>
          <w:r>
            <w:tab/>
          </w:r>
          <w:r>
            <w:fldChar w:fldCharType="begin"/>
          </w:r>
          <w:r>
            <w:instrText xml:space="preserve"> PAGEREF _Toc595556579 \h </w:instrText>
          </w:r>
          <w:r>
            <w:fldChar w:fldCharType="separate"/>
          </w:r>
          <w:r>
            <w:t>79</w:t>
          </w:r>
          <w:r>
            <w:fldChar w:fldCharType="end"/>
          </w:r>
          <w:r>
            <w:rPr>
              <w:color w:val="auto"/>
              <w:highlight w:val="none"/>
            </w:rPr>
            <w:fldChar w:fldCharType="end"/>
          </w:r>
        </w:p>
        <w:p w14:paraId="4B4CC30E">
          <w:pPr>
            <w:pStyle w:val="19"/>
            <w:tabs>
              <w:tab w:val="right" w:leader="dot" w:pos="9582"/>
            </w:tabs>
          </w:pPr>
          <w:r>
            <w:rPr>
              <w:color w:val="auto"/>
              <w:highlight w:val="none"/>
            </w:rPr>
            <w:fldChar w:fldCharType="begin"/>
          </w:r>
          <w:r>
            <w:rPr>
              <w:highlight w:val="none"/>
            </w:rPr>
            <w:instrText xml:space="preserve"> HYPERLINK \l _Toc2139406474 </w:instrText>
          </w:r>
          <w:r>
            <w:rPr>
              <w:highlight w:val="none"/>
            </w:rPr>
            <w:fldChar w:fldCharType="separate"/>
          </w:r>
          <w:r>
            <w:rPr>
              <w:rFonts w:hint="eastAsia" w:cs="宋体" w:asciiTheme="minorEastAsia" w:hAnsiTheme="minorEastAsia" w:eastAsiaTheme="minorEastAsia"/>
              <w:szCs w:val="21"/>
              <w:highlight w:val="none"/>
              <w:lang w:val="en-US" w:eastAsia="zh-CN"/>
            </w:rPr>
            <w:t>《北京市建筑绿色发展条例》案由1项</w:t>
          </w:r>
          <w:r>
            <w:tab/>
          </w:r>
          <w:r>
            <w:fldChar w:fldCharType="begin"/>
          </w:r>
          <w:r>
            <w:instrText xml:space="preserve"> PAGEREF _Toc2139406474 \h </w:instrText>
          </w:r>
          <w:r>
            <w:fldChar w:fldCharType="separate"/>
          </w:r>
          <w:r>
            <w:t>79</w:t>
          </w:r>
          <w:r>
            <w:fldChar w:fldCharType="end"/>
          </w:r>
          <w:r>
            <w:rPr>
              <w:color w:val="auto"/>
              <w:highlight w:val="none"/>
            </w:rPr>
            <w:fldChar w:fldCharType="end"/>
          </w:r>
        </w:p>
        <w:p w14:paraId="21B6D3AF">
          <w:pPr>
            <w:pStyle w:val="19"/>
            <w:tabs>
              <w:tab w:val="right" w:leader="dot" w:pos="9582"/>
            </w:tabs>
          </w:pPr>
          <w:r>
            <w:rPr>
              <w:color w:val="auto"/>
              <w:highlight w:val="none"/>
            </w:rPr>
            <w:fldChar w:fldCharType="begin"/>
          </w:r>
          <w:r>
            <w:rPr>
              <w:highlight w:val="none"/>
            </w:rPr>
            <w:instrText xml:space="preserve"> HYPERLINK \l _Toc1042078426 </w:instrText>
          </w:r>
          <w:r>
            <w:rPr>
              <w:highlight w:val="none"/>
            </w:rPr>
            <w:fldChar w:fldCharType="separate"/>
          </w:r>
          <w:r>
            <w:rPr>
              <w:rFonts w:hint="eastAsia" w:asciiTheme="minorEastAsia" w:hAnsiTheme="minorEastAsia" w:eastAsiaTheme="minorEastAsia"/>
              <w:szCs w:val="21"/>
              <w:highlight w:val="none"/>
            </w:rPr>
            <w:t>《北京市单用途预付卡管理条例》案由7项</w:t>
          </w:r>
          <w:r>
            <w:tab/>
          </w:r>
          <w:r>
            <w:fldChar w:fldCharType="begin"/>
          </w:r>
          <w:r>
            <w:instrText xml:space="preserve"> PAGEREF _Toc1042078426 \h </w:instrText>
          </w:r>
          <w:r>
            <w:fldChar w:fldCharType="separate"/>
          </w:r>
          <w:r>
            <w:t>79</w:t>
          </w:r>
          <w:r>
            <w:fldChar w:fldCharType="end"/>
          </w:r>
          <w:r>
            <w:rPr>
              <w:color w:val="auto"/>
              <w:highlight w:val="none"/>
            </w:rPr>
            <w:fldChar w:fldCharType="end"/>
          </w:r>
        </w:p>
        <w:p w14:paraId="1EB33FFB">
          <w:pPr>
            <w:pStyle w:val="17"/>
            <w:tabs>
              <w:tab w:val="right" w:leader="dot" w:pos="9582"/>
            </w:tabs>
          </w:pPr>
          <w:r>
            <w:rPr>
              <w:color w:val="auto"/>
              <w:highlight w:val="none"/>
            </w:rPr>
            <w:fldChar w:fldCharType="begin"/>
          </w:r>
          <w:r>
            <w:rPr>
              <w:highlight w:val="none"/>
            </w:rPr>
            <w:instrText xml:space="preserve"> HYPERLINK \l _Toc382391396 </w:instrText>
          </w:r>
          <w:r>
            <w:rPr>
              <w:highlight w:val="none"/>
            </w:rPr>
            <w:fldChar w:fldCharType="separate"/>
          </w:r>
          <w:r>
            <w:rPr>
              <w:rFonts w:hint="eastAsia" w:ascii="黑体" w:hAnsi="黑体" w:eastAsia="黑体"/>
              <w:szCs w:val="28"/>
              <w:highlight w:val="none"/>
            </w:rPr>
            <w:t>园林绿化管理方面</w:t>
          </w:r>
          <w:r>
            <w:tab/>
          </w:r>
          <w:r>
            <w:fldChar w:fldCharType="begin"/>
          </w:r>
          <w:r>
            <w:instrText xml:space="preserve"> PAGEREF _Toc382391396 \h </w:instrText>
          </w:r>
          <w:r>
            <w:fldChar w:fldCharType="separate"/>
          </w:r>
          <w:r>
            <w:t>81</w:t>
          </w:r>
          <w:r>
            <w:fldChar w:fldCharType="end"/>
          </w:r>
          <w:r>
            <w:rPr>
              <w:color w:val="auto"/>
              <w:highlight w:val="none"/>
            </w:rPr>
            <w:fldChar w:fldCharType="end"/>
          </w:r>
        </w:p>
        <w:p w14:paraId="05CF9A65">
          <w:pPr>
            <w:pStyle w:val="19"/>
            <w:tabs>
              <w:tab w:val="right" w:leader="dot" w:pos="9582"/>
            </w:tabs>
          </w:pPr>
          <w:r>
            <w:rPr>
              <w:color w:val="auto"/>
              <w:highlight w:val="none"/>
            </w:rPr>
            <w:fldChar w:fldCharType="begin"/>
          </w:r>
          <w:r>
            <w:rPr>
              <w:highlight w:val="none"/>
            </w:rPr>
            <w:instrText xml:space="preserve"> HYPERLINK \l _Toc1752458156 </w:instrText>
          </w:r>
          <w:r>
            <w:rPr>
              <w:highlight w:val="none"/>
            </w:rPr>
            <w:fldChar w:fldCharType="separate"/>
          </w:r>
          <w:r>
            <w:rPr>
              <w:rFonts w:hint="eastAsia" w:asciiTheme="minorEastAsia" w:hAnsiTheme="minorEastAsia" w:eastAsiaTheme="minorEastAsia"/>
              <w:szCs w:val="21"/>
              <w:highlight w:val="none"/>
            </w:rPr>
            <w:t>《北京市绿化条例》案由16项</w:t>
          </w:r>
          <w:r>
            <w:tab/>
          </w:r>
          <w:r>
            <w:fldChar w:fldCharType="begin"/>
          </w:r>
          <w:r>
            <w:instrText xml:space="preserve"> PAGEREF _Toc1752458156 \h </w:instrText>
          </w:r>
          <w:r>
            <w:fldChar w:fldCharType="separate"/>
          </w:r>
          <w:r>
            <w:t>81</w:t>
          </w:r>
          <w:r>
            <w:fldChar w:fldCharType="end"/>
          </w:r>
          <w:r>
            <w:rPr>
              <w:color w:val="auto"/>
              <w:highlight w:val="none"/>
            </w:rPr>
            <w:fldChar w:fldCharType="end"/>
          </w:r>
        </w:p>
        <w:p w14:paraId="6E671EC3">
          <w:pPr>
            <w:pStyle w:val="19"/>
            <w:tabs>
              <w:tab w:val="right" w:leader="dot" w:pos="9582"/>
            </w:tabs>
          </w:pPr>
          <w:r>
            <w:rPr>
              <w:color w:val="auto"/>
              <w:highlight w:val="none"/>
            </w:rPr>
            <w:fldChar w:fldCharType="begin"/>
          </w:r>
          <w:r>
            <w:rPr>
              <w:highlight w:val="none"/>
            </w:rPr>
            <w:instrText xml:space="preserve"> HYPERLINK \l _Toc2062926093 </w:instrText>
          </w:r>
          <w:r>
            <w:rPr>
              <w:highlight w:val="none"/>
            </w:rPr>
            <w:fldChar w:fldCharType="separate"/>
          </w:r>
          <w:r>
            <w:rPr>
              <w:rFonts w:hint="eastAsia" w:asciiTheme="minorEastAsia" w:hAnsiTheme="minorEastAsia" w:eastAsiaTheme="minorEastAsia"/>
              <w:szCs w:val="21"/>
              <w:highlight w:val="none"/>
            </w:rPr>
            <w:t>《北京市物业</w:t>
          </w:r>
          <w:r>
            <w:rPr>
              <w:rFonts w:asciiTheme="minorEastAsia" w:hAnsiTheme="minorEastAsia" w:eastAsiaTheme="minorEastAsia"/>
              <w:szCs w:val="21"/>
              <w:highlight w:val="none"/>
            </w:rPr>
            <w:t>管理条例</w:t>
          </w:r>
          <w:r>
            <w:rPr>
              <w:rFonts w:hint="eastAsia" w:asciiTheme="minorEastAsia" w:hAnsiTheme="minorEastAsia" w:eastAsiaTheme="minorEastAsia"/>
              <w:szCs w:val="21"/>
              <w:highlight w:val="none"/>
            </w:rPr>
            <w:t>》案由1项</w:t>
          </w:r>
          <w:r>
            <w:tab/>
          </w:r>
          <w:r>
            <w:fldChar w:fldCharType="begin"/>
          </w:r>
          <w:r>
            <w:instrText xml:space="preserve"> PAGEREF _Toc2062926093 \h </w:instrText>
          </w:r>
          <w:r>
            <w:fldChar w:fldCharType="separate"/>
          </w:r>
          <w:r>
            <w:t>83</w:t>
          </w:r>
          <w:r>
            <w:fldChar w:fldCharType="end"/>
          </w:r>
          <w:r>
            <w:rPr>
              <w:color w:val="auto"/>
              <w:highlight w:val="none"/>
            </w:rPr>
            <w:fldChar w:fldCharType="end"/>
          </w:r>
        </w:p>
        <w:p w14:paraId="19E56FAE">
          <w:pPr>
            <w:pStyle w:val="19"/>
            <w:tabs>
              <w:tab w:val="right" w:leader="dot" w:pos="9582"/>
            </w:tabs>
          </w:pPr>
          <w:r>
            <w:rPr>
              <w:color w:val="auto"/>
              <w:highlight w:val="none"/>
            </w:rPr>
            <w:fldChar w:fldCharType="begin"/>
          </w:r>
          <w:r>
            <w:rPr>
              <w:highlight w:val="none"/>
            </w:rPr>
            <w:instrText xml:space="preserve"> HYPERLINK \l _Toc87632220 </w:instrText>
          </w:r>
          <w:r>
            <w:rPr>
              <w:highlight w:val="none"/>
            </w:rPr>
            <w:fldChar w:fldCharType="separate"/>
          </w:r>
          <w:r>
            <w:rPr>
              <w:rFonts w:hint="eastAsia" w:cs="宋体" w:asciiTheme="minorEastAsia" w:hAnsiTheme="minorEastAsia" w:eastAsiaTheme="minorEastAsia"/>
              <w:szCs w:val="21"/>
              <w:highlight w:val="none"/>
            </w:rPr>
            <w:t>《古树名木保护条例》案由11项</w:t>
          </w:r>
          <w:r>
            <w:tab/>
          </w:r>
          <w:r>
            <w:fldChar w:fldCharType="begin"/>
          </w:r>
          <w:r>
            <w:instrText xml:space="preserve"> PAGEREF _Toc87632220 \h </w:instrText>
          </w:r>
          <w:r>
            <w:fldChar w:fldCharType="separate"/>
          </w:r>
          <w:r>
            <w:t>84</w:t>
          </w:r>
          <w:r>
            <w:fldChar w:fldCharType="end"/>
          </w:r>
          <w:r>
            <w:rPr>
              <w:color w:val="auto"/>
              <w:highlight w:val="none"/>
            </w:rPr>
            <w:fldChar w:fldCharType="end"/>
          </w:r>
        </w:p>
        <w:p w14:paraId="46347745">
          <w:pPr>
            <w:pStyle w:val="19"/>
            <w:tabs>
              <w:tab w:val="right" w:leader="dot" w:pos="9582"/>
            </w:tabs>
          </w:pPr>
          <w:r>
            <w:rPr>
              <w:color w:val="auto"/>
              <w:highlight w:val="none"/>
            </w:rPr>
            <w:fldChar w:fldCharType="begin"/>
          </w:r>
          <w:r>
            <w:rPr>
              <w:highlight w:val="none"/>
            </w:rPr>
            <w:instrText xml:space="preserve"> HYPERLINK \l _Toc120071728 </w:instrText>
          </w:r>
          <w:r>
            <w:rPr>
              <w:highlight w:val="none"/>
            </w:rPr>
            <w:fldChar w:fldCharType="separate"/>
          </w:r>
          <w:r>
            <w:rPr>
              <w:rFonts w:hint="eastAsia"/>
              <w:szCs w:val="21"/>
              <w:highlight w:val="none"/>
            </w:rPr>
            <w:t>《北京市古树名木保护管理条例》案由</w:t>
          </w:r>
          <w:r>
            <w:rPr>
              <w:rFonts w:hint="eastAsia"/>
              <w:szCs w:val="21"/>
              <w:highlight w:val="none"/>
              <w:lang w:val="en-US" w:eastAsia="zh-CN"/>
            </w:rPr>
            <w:t>3项</w:t>
          </w:r>
          <w:r>
            <w:tab/>
          </w:r>
          <w:r>
            <w:fldChar w:fldCharType="begin"/>
          </w:r>
          <w:r>
            <w:instrText xml:space="preserve"> PAGEREF _Toc120071728 \h </w:instrText>
          </w:r>
          <w:r>
            <w:fldChar w:fldCharType="separate"/>
          </w:r>
          <w:r>
            <w:t>88</w:t>
          </w:r>
          <w:r>
            <w:fldChar w:fldCharType="end"/>
          </w:r>
          <w:r>
            <w:rPr>
              <w:color w:val="auto"/>
              <w:highlight w:val="none"/>
            </w:rPr>
            <w:fldChar w:fldCharType="end"/>
          </w:r>
        </w:p>
        <w:p w14:paraId="51BBFC11">
          <w:pPr>
            <w:pStyle w:val="19"/>
            <w:tabs>
              <w:tab w:val="right" w:leader="dot" w:pos="9582"/>
            </w:tabs>
          </w:pPr>
          <w:r>
            <w:rPr>
              <w:color w:val="auto"/>
              <w:highlight w:val="none"/>
            </w:rPr>
            <w:fldChar w:fldCharType="begin"/>
          </w:r>
          <w:r>
            <w:rPr>
              <w:highlight w:val="none"/>
            </w:rPr>
            <w:instrText xml:space="preserve"> HYPERLINK \l _Toc1511590924 </w:instrText>
          </w:r>
          <w:r>
            <w:rPr>
              <w:highlight w:val="none"/>
            </w:rPr>
            <w:fldChar w:fldCharType="separate"/>
          </w:r>
          <w:r>
            <w:rPr>
              <w:rFonts w:hint="eastAsia" w:asciiTheme="minorEastAsia" w:hAnsiTheme="minorEastAsia" w:eastAsiaTheme="minorEastAsia"/>
              <w:szCs w:val="21"/>
              <w:highlight w:val="none"/>
            </w:rPr>
            <w:t>《北京市公园条例》案由</w:t>
          </w:r>
          <w:r>
            <w:rPr>
              <w:rFonts w:asciiTheme="minorEastAsia" w:hAnsiTheme="minorEastAsia" w:eastAsiaTheme="minorEastAsia"/>
              <w:szCs w:val="21"/>
              <w:highlight w:val="none"/>
            </w:rPr>
            <w:t xml:space="preserve"> 18</w:t>
          </w:r>
          <w:r>
            <w:rPr>
              <w:rFonts w:hint="eastAsia" w:asciiTheme="minorEastAsia" w:hAnsiTheme="minorEastAsia" w:eastAsiaTheme="minorEastAsia"/>
              <w:szCs w:val="21"/>
              <w:highlight w:val="none"/>
            </w:rPr>
            <w:t>项</w:t>
          </w:r>
          <w:r>
            <w:tab/>
          </w:r>
          <w:r>
            <w:fldChar w:fldCharType="begin"/>
          </w:r>
          <w:r>
            <w:instrText xml:space="preserve"> PAGEREF _Toc1511590924 \h </w:instrText>
          </w:r>
          <w:r>
            <w:fldChar w:fldCharType="separate"/>
          </w:r>
          <w:r>
            <w:t>89</w:t>
          </w:r>
          <w:r>
            <w:fldChar w:fldCharType="end"/>
          </w:r>
          <w:r>
            <w:rPr>
              <w:color w:val="auto"/>
              <w:highlight w:val="none"/>
            </w:rPr>
            <w:fldChar w:fldCharType="end"/>
          </w:r>
        </w:p>
        <w:p w14:paraId="429385BA">
          <w:pPr>
            <w:pStyle w:val="17"/>
            <w:tabs>
              <w:tab w:val="right" w:leader="dot" w:pos="9582"/>
            </w:tabs>
          </w:pPr>
          <w:r>
            <w:rPr>
              <w:color w:val="auto"/>
              <w:highlight w:val="none"/>
            </w:rPr>
            <w:fldChar w:fldCharType="begin"/>
          </w:r>
          <w:r>
            <w:rPr>
              <w:highlight w:val="none"/>
            </w:rPr>
            <w:instrText xml:space="preserve"> HYPERLINK \l _Toc2071043694 </w:instrText>
          </w:r>
          <w:r>
            <w:rPr>
              <w:highlight w:val="none"/>
            </w:rPr>
            <w:fldChar w:fldCharType="separate"/>
          </w:r>
          <w:r>
            <w:rPr>
              <w:rFonts w:hint="eastAsia" w:ascii="黑体" w:hAnsi="黑体" w:eastAsia="黑体" w:cs="黑体"/>
              <w:bCs w:val="0"/>
              <w:szCs w:val="28"/>
              <w:highlight w:val="none"/>
            </w:rPr>
            <w:t>环境保护管理方面</w:t>
          </w:r>
          <w:r>
            <w:tab/>
          </w:r>
          <w:r>
            <w:fldChar w:fldCharType="begin"/>
          </w:r>
          <w:r>
            <w:instrText xml:space="preserve"> PAGEREF _Toc2071043694 \h </w:instrText>
          </w:r>
          <w:r>
            <w:fldChar w:fldCharType="separate"/>
          </w:r>
          <w:r>
            <w:t>91</w:t>
          </w:r>
          <w:r>
            <w:fldChar w:fldCharType="end"/>
          </w:r>
          <w:r>
            <w:rPr>
              <w:color w:val="auto"/>
              <w:highlight w:val="none"/>
            </w:rPr>
            <w:fldChar w:fldCharType="end"/>
          </w:r>
        </w:p>
        <w:p w14:paraId="408B84D4">
          <w:pPr>
            <w:pStyle w:val="19"/>
            <w:tabs>
              <w:tab w:val="right" w:leader="dot" w:pos="9582"/>
            </w:tabs>
          </w:pPr>
          <w:r>
            <w:rPr>
              <w:color w:val="auto"/>
              <w:highlight w:val="none"/>
            </w:rPr>
            <w:fldChar w:fldCharType="begin"/>
          </w:r>
          <w:r>
            <w:rPr>
              <w:highlight w:val="none"/>
            </w:rPr>
            <w:instrText xml:space="preserve"> HYPERLINK \l _Toc1970284451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_Toc1970284451 \h </w:instrText>
          </w:r>
          <w:r>
            <w:fldChar w:fldCharType="separate"/>
          </w:r>
          <w:r>
            <w:t>91</w:t>
          </w:r>
          <w:r>
            <w:fldChar w:fldCharType="end"/>
          </w:r>
          <w:r>
            <w:rPr>
              <w:color w:val="auto"/>
              <w:highlight w:val="none"/>
            </w:rPr>
            <w:fldChar w:fldCharType="end"/>
          </w:r>
        </w:p>
        <w:p w14:paraId="75F4582F">
          <w:pPr>
            <w:pStyle w:val="19"/>
            <w:tabs>
              <w:tab w:val="right" w:leader="dot" w:pos="9582"/>
            </w:tabs>
          </w:pPr>
          <w:r>
            <w:rPr>
              <w:color w:val="auto"/>
              <w:highlight w:val="none"/>
            </w:rPr>
            <w:fldChar w:fldCharType="begin"/>
          </w:r>
          <w:r>
            <w:rPr>
              <w:highlight w:val="none"/>
            </w:rPr>
            <w:instrText xml:space="preserve"> HYPERLINK \l _Toc614636333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_Toc614636333 \h </w:instrText>
          </w:r>
          <w:r>
            <w:fldChar w:fldCharType="separate"/>
          </w:r>
          <w:r>
            <w:t>94</w:t>
          </w:r>
          <w:r>
            <w:fldChar w:fldCharType="end"/>
          </w:r>
          <w:r>
            <w:rPr>
              <w:color w:val="auto"/>
              <w:highlight w:val="none"/>
            </w:rPr>
            <w:fldChar w:fldCharType="end"/>
          </w:r>
        </w:p>
        <w:p w14:paraId="4A4C6D79">
          <w:pPr>
            <w:pStyle w:val="19"/>
            <w:tabs>
              <w:tab w:val="right" w:leader="dot" w:pos="9582"/>
            </w:tabs>
          </w:pPr>
          <w:r>
            <w:rPr>
              <w:color w:val="auto"/>
              <w:highlight w:val="none"/>
            </w:rPr>
            <w:fldChar w:fldCharType="begin"/>
          </w:r>
          <w:r>
            <w:rPr>
              <w:highlight w:val="none"/>
            </w:rPr>
            <w:instrText xml:space="preserve"> HYPERLINK \l _Toc955898411 </w:instrText>
          </w:r>
          <w:r>
            <w:rPr>
              <w:highlight w:val="none"/>
            </w:rPr>
            <w:fldChar w:fldCharType="separate"/>
          </w:r>
          <w:r>
            <w:rPr>
              <w:rFonts w:hint="eastAsia" w:asciiTheme="minorEastAsia" w:hAnsiTheme="minorEastAsia" w:eastAsiaTheme="minorEastAsia"/>
              <w:szCs w:val="21"/>
              <w:highlight w:val="none"/>
            </w:rPr>
            <w:t>《北京市环境噪声污染防治办法》案由</w:t>
          </w:r>
          <w:r>
            <w:rPr>
              <w:rFonts w:hint="eastAsia" w:asciiTheme="minorEastAsia" w:hAnsiTheme="minorEastAsia" w:eastAsiaTheme="minorEastAsia"/>
              <w:szCs w:val="21"/>
              <w:highlight w:val="none"/>
              <w:lang w:val="en-US" w:eastAsia="zh-CN"/>
            </w:rPr>
            <w:t>1</w:t>
          </w:r>
          <w:r>
            <w:rPr>
              <w:rFonts w:hint="eastAsia" w:asciiTheme="minorEastAsia" w:hAnsiTheme="minorEastAsia" w:eastAsiaTheme="minorEastAsia"/>
              <w:szCs w:val="21"/>
              <w:highlight w:val="none"/>
            </w:rPr>
            <w:t>项</w:t>
          </w:r>
          <w:r>
            <w:tab/>
          </w:r>
          <w:r>
            <w:fldChar w:fldCharType="begin"/>
          </w:r>
          <w:r>
            <w:instrText xml:space="preserve"> PAGEREF _Toc955898411 \h </w:instrText>
          </w:r>
          <w:r>
            <w:fldChar w:fldCharType="separate"/>
          </w:r>
          <w:r>
            <w:t>95</w:t>
          </w:r>
          <w:r>
            <w:fldChar w:fldCharType="end"/>
          </w:r>
          <w:r>
            <w:rPr>
              <w:color w:val="auto"/>
              <w:highlight w:val="none"/>
            </w:rPr>
            <w:fldChar w:fldCharType="end"/>
          </w:r>
        </w:p>
        <w:p w14:paraId="75D01E53">
          <w:pPr>
            <w:pStyle w:val="19"/>
            <w:tabs>
              <w:tab w:val="right" w:leader="dot" w:pos="9582"/>
            </w:tabs>
          </w:pPr>
          <w:r>
            <w:rPr>
              <w:color w:val="auto"/>
              <w:highlight w:val="none"/>
            </w:rPr>
            <w:fldChar w:fldCharType="begin"/>
          </w:r>
          <w:r>
            <w:rPr>
              <w:highlight w:val="none"/>
            </w:rPr>
            <w:instrText xml:space="preserve"> HYPERLINK \l _Toc62682014 </w:instrText>
          </w:r>
          <w:r>
            <w:rPr>
              <w:highlight w:val="none"/>
            </w:rPr>
            <w:fldChar w:fldCharType="separate"/>
          </w:r>
          <w:r>
            <w:rPr>
              <w:rFonts w:hint="eastAsia" w:asciiTheme="minorEastAsia" w:hAnsiTheme="minorEastAsia" w:eastAsiaTheme="minorEastAsia"/>
              <w:szCs w:val="21"/>
              <w:highlight w:val="none"/>
            </w:rPr>
            <w:t>《中华人民共和国噪声污染防治法》案由</w:t>
          </w:r>
          <w:r>
            <w:rPr>
              <w:rFonts w:hint="eastAsia" w:asciiTheme="minorEastAsia" w:hAnsiTheme="minorEastAsia" w:eastAsiaTheme="minorEastAsia"/>
              <w:szCs w:val="21"/>
              <w:highlight w:val="none"/>
              <w:lang w:val="en-US" w:eastAsia="zh-CN"/>
            </w:rPr>
            <w:t>6</w:t>
          </w:r>
          <w:r>
            <w:rPr>
              <w:rFonts w:hint="eastAsia" w:asciiTheme="minorEastAsia" w:hAnsiTheme="minorEastAsia" w:eastAsiaTheme="minorEastAsia"/>
              <w:szCs w:val="21"/>
              <w:highlight w:val="none"/>
            </w:rPr>
            <w:t>项</w:t>
          </w:r>
          <w:r>
            <w:tab/>
          </w:r>
          <w:r>
            <w:fldChar w:fldCharType="begin"/>
          </w:r>
          <w:r>
            <w:instrText xml:space="preserve"> PAGEREF _Toc62682014 \h </w:instrText>
          </w:r>
          <w:r>
            <w:fldChar w:fldCharType="separate"/>
          </w:r>
          <w:r>
            <w:t>96</w:t>
          </w:r>
          <w:r>
            <w:fldChar w:fldCharType="end"/>
          </w:r>
          <w:r>
            <w:rPr>
              <w:color w:val="auto"/>
              <w:highlight w:val="none"/>
            </w:rPr>
            <w:fldChar w:fldCharType="end"/>
          </w:r>
        </w:p>
        <w:p w14:paraId="495390FD">
          <w:pPr>
            <w:pStyle w:val="17"/>
            <w:tabs>
              <w:tab w:val="right" w:leader="dot" w:pos="9582"/>
            </w:tabs>
          </w:pPr>
          <w:r>
            <w:rPr>
              <w:color w:val="auto"/>
              <w:highlight w:val="none"/>
            </w:rPr>
            <w:fldChar w:fldCharType="begin"/>
          </w:r>
          <w:r>
            <w:rPr>
              <w:highlight w:val="none"/>
            </w:rPr>
            <w:instrText xml:space="preserve"> HYPERLINK \l _Toc2094638046 </w:instrText>
          </w:r>
          <w:r>
            <w:rPr>
              <w:highlight w:val="none"/>
            </w:rPr>
            <w:fldChar w:fldCharType="separate"/>
          </w:r>
          <w:r>
            <w:rPr>
              <w:rFonts w:hint="eastAsia" w:ascii="黑体" w:hAnsi="黑体" w:eastAsia="黑体"/>
              <w:szCs w:val="28"/>
              <w:highlight w:val="none"/>
            </w:rPr>
            <w:t>施工现场管理方面</w:t>
          </w:r>
          <w:r>
            <w:tab/>
          </w:r>
          <w:r>
            <w:fldChar w:fldCharType="begin"/>
          </w:r>
          <w:r>
            <w:instrText xml:space="preserve"> PAGEREF _Toc2094638046 \h </w:instrText>
          </w:r>
          <w:r>
            <w:fldChar w:fldCharType="separate"/>
          </w:r>
          <w:r>
            <w:t>98</w:t>
          </w:r>
          <w:r>
            <w:fldChar w:fldCharType="end"/>
          </w:r>
          <w:r>
            <w:rPr>
              <w:color w:val="auto"/>
              <w:highlight w:val="none"/>
            </w:rPr>
            <w:fldChar w:fldCharType="end"/>
          </w:r>
        </w:p>
        <w:p w14:paraId="02CF55C5">
          <w:pPr>
            <w:pStyle w:val="19"/>
            <w:tabs>
              <w:tab w:val="right" w:leader="dot" w:pos="9582"/>
            </w:tabs>
          </w:pPr>
          <w:r>
            <w:rPr>
              <w:color w:val="auto"/>
              <w:highlight w:val="none"/>
            </w:rPr>
            <w:fldChar w:fldCharType="begin"/>
          </w:r>
          <w:r>
            <w:rPr>
              <w:highlight w:val="none"/>
            </w:rPr>
            <w:instrText xml:space="preserve"> HYPERLINK \l _Toc1199177022 </w:instrText>
          </w:r>
          <w:r>
            <w:rPr>
              <w:highlight w:val="none"/>
            </w:rPr>
            <w:fldChar w:fldCharType="separate"/>
          </w:r>
          <w:r>
            <w:rPr>
              <w:rFonts w:hint="eastAsia" w:asciiTheme="minorEastAsia" w:hAnsiTheme="minorEastAsia" w:eastAsiaTheme="minorEastAsia"/>
              <w:szCs w:val="21"/>
              <w:highlight w:val="none"/>
            </w:rPr>
            <w:t>《北京市大气污染防治条例》施工现场执法案由16项</w:t>
          </w:r>
          <w:r>
            <w:tab/>
          </w:r>
          <w:r>
            <w:fldChar w:fldCharType="begin"/>
          </w:r>
          <w:r>
            <w:instrText xml:space="preserve"> PAGEREF _Toc1199177022 \h </w:instrText>
          </w:r>
          <w:r>
            <w:fldChar w:fldCharType="separate"/>
          </w:r>
          <w:r>
            <w:t>98</w:t>
          </w:r>
          <w:r>
            <w:fldChar w:fldCharType="end"/>
          </w:r>
          <w:r>
            <w:rPr>
              <w:color w:val="auto"/>
              <w:highlight w:val="none"/>
            </w:rPr>
            <w:fldChar w:fldCharType="end"/>
          </w:r>
        </w:p>
        <w:p w14:paraId="438CF460">
          <w:pPr>
            <w:pStyle w:val="19"/>
            <w:tabs>
              <w:tab w:val="right" w:leader="dot" w:pos="9582"/>
            </w:tabs>
          </w:pPr>
          <w:r>
            <w:rPr>
              <w:color w:val="auto"/>
              <w:highlight w:val="none"/>
            </w:rPr>
            <w:fldChar w:fldCharType="begin"/>
          </w:r>
          <w:r>
            <w:rPr>
              <w:highlight w:val="none"/>
            </w:rPr>
            <w:instrText xml:space="preserve"> HYPERLINK \l _Toc1490673052 </w:instrText>
          </w:r>
          <w:r>
            <w:rPr>
              <w:highlight w:val="none"/>
            </w:rPr>
            <w:fldChar w:fldCharType="separate"/>
          </w:r>
          <w:r>
            <w:rPr>
              <w:rFonts w:hint="eastAsia" w:asciiTheme="minorEastAsia" w:hAnsiTheme="minorEastAsia" w:eastAsiaTheme="minorEastAsia"/>
              <w:szCs w:val="21"/>
              <w:highlight w:val="none"/>
            </w:rPr>
            <w:t>《北京市建设工程施工现场管理办法》案由13项</w:t>
          </w:r>
          <w:r>
            <w:tab/>
          </w:r>
          <w:r>
            <w:fldChar w:fldCharType="begin"/>
          </w:r>
          <w:r>
            <w:instrText xml:space="preserve"> PAGEREF _Toc1490673052 \h </w:instrText>
          </w:r>
          <w:r>
            <w:fldChar w:fldCharType="separate"/>
          </w:r>
          <w:r>
            <w:t>100</w:t>
          </w:r>
          <w:r>
            <w:fldChar w:fldCharType="end"/>
          </w:r>
          <w:r>
            <w:rPr>
              <w:color w:val="auto"/>
              <w:highlight w:val="none"/>
            </w:rPr>
            <w:fldChar w:fldCharType="end"/>
          </w:r>
        </w:p>
        <w:p w14:paraId="0BFAD318">
          <w:pPr>
            <w:pStyle w:val="17"/>
            <w:tabs>
              <w:tab w:val="right" w:leader="dot" w:pos="9582"/>
            </w:tabs>
          </w:pPr>
          <w:r>
            <w:rPr>
              <w:color w:val="auto"/>
              <w:highlight w:val="none"/>
            </w:rPr>
            <w:fldChar w:fldCharType="begin"/>
          </w:r>
          <w:r>
            <w:rPr>
              <w:highlight w:val="none"/>
            </w:rPr>
            <w:instrText xml:space="preserve"> HYPERLINK \l _Toc681783114 </w:instrText>
          </w:r>
          <w:r>
            <w:rPr>
              <w:highlight w:val="none"/>
            </w:rPr>
            <w:fldChar w:fldCharType="separate"/>
          </w:r>
          <w:r>
            <w:rPr>
              <w:rFonts w:hint="eastAsia" w:ascii="黑体" w:hAnsi="黑体" w:eastAsia="黑体"/>
              <w:szCs w:val="28"/>
              <w:highlight w:val="none"/>
            </w:rPr>
            <w:t>停车场管理方面</w:t>
          </w:r>
          <w:r>
            <w:tab/>
          </w:r>
          <w:r>
            <w:fldChar w:fldCharType="begin"/>
          </w:r>
          <w:r>
            <w:instrText xml:space="preserve"> PAGEREF _Toc681783114 \h </w:instrText>
          </w:r>
          <w:r>
            <w:fldChar w:fldCharType="separate"/>
          </w:r>
          <w:r>
            <w:t>103</w:t>
          </w:r>
          <w:r>
            <w:fldChar w:fldCharType="end"/>
          </w:r>
          <w:r>
            <w:rPr>
              <w:color w:val="auto"/>
              <w:highlight w:val="none"/>
            </w:rPr>
            <w:fldChar w:fldCharType="end"/>
          </w:r>
        </w:p>
        <w:p w14:paraId="53F2150E">
          <w:pPr>
            <w:pStyle w:val="19"/>
            <w:tabs>
              <w:tab w:val="right" w:leader="dot" w:pos="9582"/>
            </w:tabs>
          </w:pPr>
          <w:r>
            <w:rPr>
              <w:color w:val="auto"/>
              <w:highlight w:val="none"/>
            </w:rPr>
            <w:fldChar w:fldCharType="begin"/>
          </w:r>
          <w:r>
            <w:rPr>
              <w:highlight w:val="none"/>
            </w:rPr>
            <w:instrText xml:space="preserve"> HYPERLINK \l _Toc1711555879 </w:instrText>
          </w:r>
          <w:r>
            <w:rPr>
              <w:highlight w:val="none"/>
            </w:rPr>
            <w:fldChar w:fldCharType="separate"/>
          </w:r>
          <w:r>
            <w:rPr>
              <w:rFonts w:hint="eastAsia" w:asciiTheme="minorEastAsia" w:hAnsiTheme="minorEastAsia" w:eastAsiaTheme="minorEastAsia"/>
              <w:szCs w:val="21"/>
              <w:highlight w:val="none"/>
            </w:rPr>
            <w:t>《北京市机动车停车管理办法》案由13项</w:t>
          </w:r>
          <w:r>
            <w:tab/>
          </w:r>
          <w:r>
            <w:fldChar w:fldCharType="begin"/>
          </w:r>
          <w:r>
            <w:instrText xml:space="preserve"> PAGEREF _Toc1711555879 \h </w:instrText>
          </w:r>
          <w:r>
            <w:fldChar w:fldCharType="separate"/>
          </w:r>
          <w:r>
            <w:t>103</w:t>
          </w:r>
          <w:r>
            <w:fldChar w:fldCharType="end"/>
          </w:r>
          <w:r>
            <w:rPr>
              <w:color w:val="auto"/>
              <w:highlight w:val="none"/>
            </w:rPr>
            <w:fldChar w:fldCharType="end"/>
          </w:r>
        </w:p>
        <w:p w14:paraId="0A5DB311">
          <w:pPr>
            <w:pStyle w:val="19"/>
            <w:tabs>
              <w:tab w:val="right" w:leader="dot" w:pos="9582"/>
            </w:tabs>
          </w:pPr>
          <w:r>
            <w:rPr>
              <w:color w:val="auto"/>
              <w:highlight w:val="none"/>
            </w:rPr>
            <w:fldChar w:fldCharType="begin"/>
          </w:r>
          <w:r>
            <w:rPr>
              <w:highlight w:val="none"/>
            </w:rPr>
            <w:instrText xml:space="preserve"> HYPERLINK \l _Toc179211844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机动车停车条例</w:t>
          </w:r>
          <w:r>
            <w:rPr>
              <w:rFonts w:hint="eastAsia" w:asciiTheme="minorEastAsia" w:hAnsiTheme="minorEastAsia" w:eastAsiaTheme="minorEastAsia"/>
              <w:szCs w:val="21"/>
              <w:highlight w:val="none"/>
            </w:rPr>
            <w:t>》案由6项</w:t>
          </w:r>
          <w:r>
            <w:tab/>
          </w:r>
          <w:r>
            <w:fldChar w:fldCharType="begin"/>
          </w:r>
          <w:r>
            <w:instrText xml:space="preserve"> PAGEREF _Toc179211844 \h </w:instrText>
          </w:r>
          <w:r>
            <w:fldChar w:fldCharType="separate"/>
          </w:r>
          <w:r>
            <w:t>105</w:t>
          </w:r>
          <w:r>
            <w:fldChar w:fldCharType="end"/>
          </w:r>
          <w:r>
            <w:rPr>
              <w:color w:val="auto"/>
              <w:highlight w:val="none"/>
            </w:rPr>
            <w:fldChar w:fldCharType="end"/>
          </w:r>
        </w:p>
        <w:p w14:paraId="3E76828D">
          <w:pPr>
            <w:pStyle w:val="19"/>
            <w:tabs>
              <w:tab w:val="right" w:leader="dot" w:pos="9582"/>
            </w:tabs>
          </w:pPr>
          <w:r>
            <w:rPr>
              <w:color w:val="auto"/>
              <w:highlight w:val="none"/>
            </w:rPr>
            <w:fldChar w:fldCharType="begin"/>
          </w:r>
          <w:r>
            <w:rPr>
              <w:highlight w:val="none"/>
            </w:rPr>
            <w:instrText xml:space="preserve"> HYPERLINK \l _Toc2104735100 </w:instrText>
          </w:r>
          <w:r>
            <w:rPr>
              <w:highlight w:val="none"/>
            </w:rPr>
            <w:fldChar w:fldCharType="separate"/>
          </w:r>
          <w:r>
            <w:rPr>
              <w:rFonts w:hint="eastAsia" w:asciiTheme="minorEastAsia" w:hAnsiTheme="minorEastAsia" w:eastAsiaTheme="minorEastAsia"/>
              <w:szCs w:val="21"/>
              <w:highlight w:val="none"/>
            </w:rPr>
            <w:t>《北京市非机动车停车管理办法》《北京市</w:t>
          </w:r>
          <w:r>
            <w:rPr>
              <w:rFonts w:asciiTheme="minorEastAsia" w:hAnsiTheme="minorEastAsia" w:eastAsiaTheme="minorEastAsia"/>
              <w:szCs w:val="21"/>
              <w:highlight w:val="none"/>
            </w:rPr>
            <w:t>非机动车</w:t>
          </w:r>
          <w:r>
            <w:rPr>
              <w:rFonts w:hint="eastAsia" w:asciiTheme="minorEastAsia" w:hAnsiTheme="minorEastAsia" w:eastAsiaTheme="minorEastAsia"/>
              <w:szCs w:val="21"/>
              <w:highlight w:val="none"/>
            </w:rPr>
            <w:t>管理</w:t>
          </w:r>
          <w:r>
            <w:rPr>
              <w:rFonts w:asciiTheme="minorEastAsia" w:hAnsiTheme="minorEastAsia" w:eastAsiaTheme="minorEastAsia"/>
              <w:szCs w:val="21"/>
              <w:highlight w:val="none"/>
            </w:rPr>
            <w:t>条例</w:t>
          </w:r>
          <w:r>
            <w:rPr>
              <w:rFonts w:hint="eastAsia" w:asciiTheme="minorEastAsia" w:hAnsiTheme="minorEastAsia" w:eastAsiaTheme="minorEastAsia"/>
              <w:szCs w:val="21"/>
              <w:highlight w:val="none"/>
            </w:rPr>
            <w:t>》案由</w:t>
          </w:r>
          <w:r>
            <w:rPr>
              <w:rFonts w:hint="eastAsia" w:asciiTheme="minorEastAsia" w:hAnsiTheme="minorEastAsia" w:eastAsiaTheme="minorEastAsia"/>
              <w:szCs w:val="21"/>
              <w:highlight w:val="none"/>
              <w:lang w:val="en-US" w:eastAsia="zh-CN"/>
            </w:rPr>
            <w:t>6</w:t>
          </w:r>
          <w:r>
            <w:rPr>
              <w:rFonts w:hint="eastAsia" w:asciiTheme="minorEastAsia" w:hAnsiTheme="minorEastAsia" w:eastAsiaTheme="minorEastAsia"/>
              <w:szCs w:val="21"/>
              <w:highlight w:val="none"/>
            </w:rPr>
            <w:t>项</w:t>
          </w:r>
          <w:r>
            <w:tab/>
          </w:r>
          <w:r>
            <w:fldChar w:fldCharType="begin"/>
          </w:r>
          <w:r>
            <w:instrText xml:space="preserve"> PAGEREF _Toc2104735100 \h </w:instrText>
          </w:r>
          <w:r>
            <w:fldChar w:fldCharType="separate"/>
          </w:r>
          <w:r>
            <w:t>106</w:t>
          </w:r>
          <w:r>
            <w:fldChar w:fldCharType="end"/>
          </w:r>
          <w:r>
            <w:rPr>
              <w:color w:val="auto"/>
              <w:highlight w:val="none"/>
            </w:rPr>
            <w:fldChar w:fldCharType="end"/>
          </w:r>
        </w:p>
        <w:p w14:paraId="5B30EE6F">
          <w:pPr>
            <w:pStyle w:val="17"/>
            <w:tabs>
              <w:tab w:val="right" w:leader="dot" w:pos="9582"/>
            </w:tabs>
          </w:pPr>
          <w:r>
            <w:rPr>
              <w:color w:val="auto"/>
              <w:highlight w:val="none"/>
            </w:rPr>
            <w:fldChar w:fldCharType="begin"/>
          </w:r>
          <w:r>
            <w:rPr>
              <w:highlight w:val="none"/>
            </w:rPr>
            <w:instrText xml:space="preserve"> HYPERLINK \l _Toc847818987 </w:instrText>
          </w:r>
          <w:r>
            <w:rPr>
              <w:highlight w:val="none"/>
            </w:rPr>
            <w:fldChar w:fldCharType="separate"/>
          </w:r>
          <w:r>
            <w:rPr>
              <w:rFonts w:hint="eastAsia" w:ascii="黑体" w:hAnsi="黑体" w:eastAsia="黑体"/>
              <w:szCs w:val="28"/>
              <w:highlight w:val="none"/>
            </w:rPr>
            <w:t>交通运输管理方面</w:t>
          </w:r>
          <w:r>
            <w:tab/>
          </w:r>
          <w:r>
            <w:fldChar w:fldCharType="begin"/>
          </w:r>
          <w:r>
            <w:instrText xml:space="preserve"> PAGEREF _Toc847818987 \h </w:instrText>
          </w:r>
          <w:r>
            <w:fldChar w:fldCharType="separate"/>
          </w:r>
          <w:r>
            <w:t>109</w:t>
          </w:r>
          <w:r>
            <w:fldChar w:fldCharType="end"/>
          </w:r>
          <w:r>
            <w:rPr>
              <w:color w:val="auto"/>
              <w:highlight w:val="none"/>
            </w:rPr>
            <w:fldChar w:fldCharType="end"/>
          </w:r>
        </w:p>
        <w:p w14:paraId="7587939E">
          <w:pPr>
            <w:pStyle w:val="19"/>
            <w:tabs>
              <w:tab w:val="right" w:leader="dot" w:pos="9582"/>
            </w:tabs>
          </w:pPr>
          <w:r>
            <w:rPr>
              <w:color w:val="auto"/>
              <w:highlight w:val="none"/>
            </w:rPr>
            <w:fldChar w:fldCharType="begin"/>
          </w:r>
          <w:r>
            <w:rPr>
              <w:highlight w:val="none"/>
            </w:rPr>
            <w:instrText xml:space="preserve"> HYPERLINK \l _Toc471827892 </w:instrText>
          </w:r>
          <w:r>
            <w:rPr>
              <w:highlight w:val="none"/>
            </w:rPr>
            <w:fldChar w:fldCharType="separate"/>
          </w:r>
          <w:r>
            <w:rPr>
              <w:rFonts w:hint="eastAsia" w:asciiTheme="minorEastAsia" w:hAnsiTheme="minorEastAsia" w:eastAsiaTheme="minorEastAsia"/>
              <w:bCs/>
              <w:strike w:val="0"/>
              <w:dstrike w:val="0"/>
              <w:szCs w:val="21"/>
              <w:highlight w:val="none"/>
            </w:rPr>
            <w:t>《巡游出租汽车经营服务管理规定》案由1项</w:t>
          </w:r>
          <w:r>
            <w:tab/>
          </w:r>
          <w:r>
            <w:fldChar w:fldCharType="begin"/>
          </w:r>
          <w:r>
            <w:instrText xml:space="preserve"> PAGEREF _Toc471827892 \h </w:instrText>
          </w:r>
          <w:r>
            <w:fldChar w:fldCharType="separate"/>
          </w:r>
          <w:r>
            <w:t>109</w:t>
          </w:r>
          <w:r>
            <w:fldChar w:fldCharType="end"/>
          </w:r>
          <w:r>
            <w:rPr>
              <w:color w:val="auto"/>
              <w:highlight w:val="none"/>
            </w:rPr>
            <w:fldChar w:fldCharType="end"/>
          </w:r>
        </w:p>
        <w:p w14:paraId="5C556F16">
          <w:pPr>
            <w:pStyle w:val="19"/>
            <w:tabs>
              <w:tab w:val="right" w:leader="dot" w:pos="9582"/>
            </w:tabs>
          </w:pPr>
          <w:r>
            <w:rPr>
              <w:color w:val="auto"/>
              <w:highlight w:val="none"/>
            </w:rPr>
            <w:fldChar w:fldCharType="begin"/>
          </w:r>
          <w:r>
            <w:rPr>
              <w:highlight w:val="none"/>
            </w:rPr>
            <w:instrText xml:space="preserve"> HYPERLINK \l _Toc827579787 </w:instrText>
          </w:r>
          <w:r>
            <w:rPr>
              <w:highlight w:val="none"/>
            </w:rPr>
            <w:fldChar w:fldCharType="separate"/>
          </w:r>
          <w:r>
            <w:rPr>
              <w:rFonts w:hint="eastAsia" w:asciiTheme="minorEastAsia" w:hAnsiTheme="minorEastAsia" w:eastAsiaTheme="minorEastAsia"/>
              <w:szCs w:val="21"/>
              <w:highlight w:val="none"/>
            </w:rPr>
            <w:t>《北京市查处非法客运若干规定》案由2项</w:t>
          </w:r>
          <w:r>
            <w:tab/>
          </w:r>
          <w:r>
            <w:fldChar w:fldCharType="begin"/>
          </w:r>
          <w:r>
            <w:instrText xml:space="preserve"> PAGEREF _Toc827579787 \h </w:instrText>
          </w:r>
          <w:r>
            <w:fldChar w:fldCharType="separate"/>
          </w:r>
          <w:r>
            <w:t>109</w:t>
          </w:r>
          <w:r>
            <w:fldChar w:fldCharType="end"/>
          </w:r>
          <w:r>
            <w:rPr>
              <w:color w:val="auto"/>
              <w:highlight w:val="none"/>
            </w:rPr>
            <w:fldChar w:fldCharType="end"/>
          </w:r>
        </w:p>
        <w:p w14:paraId="364E2446">
          <w:pPr>
            <w:pStyle w:val="17"/>
            <w:tabs>
              <w:tab w:val="right" w:leader="dot" w:pos="9582"/>
            </w:tabs>
          </w:pPr>
          <w:r>
            <w:rPr>
              <w:color w:val="auto"/>
              <w:highlight w:val="none"/>
            </w:rPr>
            <w:fldChar w:fldCharType="begin"/>
          </w:r>
          <w:r>
            <w:rPr>
              <w:highlight w:val="none"/>
            </w:rPr>
            <w:instrText xml:space="preserve"> HYPERLINK \l _Toc2083661009 </w:instrText>
          </w:r>
          <w:r>
            <w:rPr>
              <w:highlight w:val="none"/>
            </w:rPr>
            <w:fldChar w:fldCharType="separate"/>
          </w:r>
          <w:r>
            <w:rPr>
              <w:rFonts w:hint="eastAsia" w:ascii="黑体" w:hAnsi="黑体" w:eastAsia="黑体"/>
              <w:szCs w:val="28"/>
              <w:highlight w:val="none"/>
            </w:rPr>
            <w:t>市场监督管理（流动无照经营）方面</w:t>
          </w:r>
          <w:r>
            <w:tab/>
          </w:r>
          <w:r>
            <w:fldChar w:fldCharType="begin"/>
          </w:r>
          <w:r>
            <w:instrText xml:space="preserve"> PAGEREF _Toc2083661009 \h </w:instrText>
          </w:r>
          <w:r>
            <w:fldChar w:fldCharType="separate"/>
          </w:r>
          <w:r>
            <w:t>110</w:t>
          </w:r>
          <w:r>
            <w:fldChar w:fldCharType="end"/>
          </w:r>
          <w:r>
            <w:rPr>
              <w:color w:val="auto"/>
              <w:highlight w:val="none"/>
            </w:rPr>
            <w:fldChar w:fldCharType="end"/>
          </w:r>
        </w:p>
        <w:p w14:paraId="45B9F1E2">
          <w:pPr>
            <w:pStyle w:val="19"/>
            <w:tabs>
              <w:tab w:val="right" w:leader="dot" w:pos="9582"/>
            </w:tabs>
          </w:pPr>
          <w:r>
            <w:rPr>
              <w:color w:val="auto"/>
              <w:highlight w:val="none"/>
            </w:rPr>
            <w:fldChar w:fldCharType="begin"/>
          </w:r>
          <w:r>
            <w:rPr>
              <w:highlight w:val="none"/>
            </w:rPr>
            <w:instrText xml:space="preserve"> HYPERLINK \l _Toc157292895 </w:instrText>
          </w:r>
          <w:r>
            <w:rPr>
              <w:highlight w:val="none"/>
            </w:rPr>
            <w:fldChar w:fldCharType="separate"/>
          </w:r>
          <w:r>
            <w:rPr>
              <w:rFonts w:hint="eastAsia" w:asciiTheme="minorEastAsia" w:hAnsiTheme="minorEastAsia" w:eastAsiaTheme="minorEastAsia"/>
              <w:szCs w:val="21"/>
              <w:highlight w:val="none"/>
            </w:rPr>
            <w:t>《无证</w:t>
          </w:r>
          <w:r>
            <w:rPr>
              <w:rFonts w:asciiTheme="minorEastAsia" w:hAnsiTheme="minorEastAsia" w:eastAsiaTheme="minorEastAsia"/>
              <w:szCs w:val="21"/>
              <w:highlight w:val="none"/>
            </w:rPr>
            <w:t>无照经营查处办法</w:t>
          </w:r>
          <w:r>
            <w:rPr>
              <w:rFonts w:hint="eastAsia" w:asciiTheme="minorEastAsia" w:hAnsiTheme="minorEastAsia" w:eastAsiaTheme="minorEastAsia"/>
              <w:szCs w:val="21"/>
              <w:highlight w:val="none"/>
            </w:rPr>
            <w:t>》案由3项</w:t>
          </w:r>
          <w:r>
            <w:tab/>
          </w:r>
          <w:r>
            <w:fldChar w:fldCharType="begin"/>
          </w:r>
          <w:r>
            <w:instrText xml:space="preserve"> PAGEREF _Toc157292895 \h </w:instrText>
          </w:r>
          <w:r>
            <w:fldChar w:fldCharType="separate"/>
          </w:r>
          <w:r>
            <w:t>110</w:t>
          </w:r>
          <w:r>
            <w:fldChar w:fldCharType="end"/>
          </w:r>
          <w:r>
            <w:rPr>
              <w:color w:val="auto"/>
              <w:highlight w:val="none"/>
            </w:rPr>
            <w:fldChar w:fldCharType="end"/>
          </w:r>
        </w:p>
        <w:p w14:paraId="22CD2A98">
          <w:pPr>
            <w:pStyle w:val="17"/>
            <w:tabs>
              <w:tab w:val="right" w:leader="dot" w:pos="9582"/>
            </w:tabs>
          </w:pPr>
          <w:r>
            <w:rPr>
              <w:color w:val="auto"/>
              <w:highlight w:val="none"/>
            </w:rPr>
            <w:fldChar w:fldCharType="begin"/>
          </w:r>
          <w:r>
            <w:rPr>
              <w:highlight w:val="none"/>
            </w:rPr>
            <w:instrText xml:space="preserve"> HYPERLINK \l _Toc1077073067 </w:instrText>
          </w:r>
          <w:r>
            <w:rPr>
              <w:highlight w:val="none"/>
            </w:rPr>
            <w:fldChar w:fldCharType="separate"/>
          </w:r>
          <w:r>
            <w:rPr>
              <w:rFonts w:hint="eastAsia" w:ascii="黑体" w:hAnsi="黑体" w:eastAsia="黑体"/>
              <w:szCs w:val="28"/>
              <w:highlight w:val="none"/>
            </w:rPr>
            <w:t>城</w:t>
          </w:r>
          <w:r>
            <w:rPr>
              <w:rFonts w:hint="eastAsia" w:ascii="黑体" w:hAnsi="黑体" w:eastAsia="黑体"/>
              <w:szCs w:val="28"/>
              <w:highlight w:val="none"/>
              <w:lang w:eastAsia="zh-CN"/>
            </w:rPr>
            <w:t>乡</w:t>
          </w:r>
          <w:r>
            <w:rPr>
              <w:rFonts w:hint="eastAsia" w:ascii="黑体" w:hAnsi="黑体" w:eastAsia="黑体"/>
              <w:szCs w:val="28"/>
              <w:highlight w:val="none"/>
            </w:rPr>
            <w:t>规划管理方面</w:t>
          </w:r>
          <w:r>
            <w:tab/>
          </w:r>
          <w:r>
            <w:fldChar w:fldCharType="begin"/>
          </w:r>
          <w:r>
            <w:instrText xml:space="preserve"> PAGEREF _Toc1077073067 \h </w:instrText>
          </w:r>
          <w:r>
            <w:fldChar w:fldCharType="separate"/>
          </w:r>
          <w:r>
            <w:t>111</w:t>
          </w:r>
          <w:r>
            <w:fldChar w:fldCharType="end"/>
          </w:r>
          <w:r>
            <w:rPr>
              <w:color w:val="auto"/>
              <w:highlight w:val="none"/>
            </w:rPr>
            <w:fldChar w:fldCharType="end"/>
          </w:r>
        </w:p>
        <w:p w14:paraId="7FBED3A7">
          <w:pPr>
            <w:pStyle w:val="19"/>
            <w:tabs>
              <w:tab w:val="right" w:leader="dot" w:pos="9582"/>
            </w:tabs>
          </w:pPr>
          <w:r>
            <w:rPr>
              <w:color w:val="auto"/>
              <w:highlight w:val="none"/>
            </w:rPr>
            <w:fldChar w:fldCharType="begin"/>
          </w:r>
          <w:r>
            <w:rPr>
              <w:highlight w:val="none"/>
            </w:rPr>
            <w:instrText xml:space="preserve"> HYPERLINK \l _Toc869441363 </w:instrText>
          </w:r>
          <w:r>
            <w:rPr>
              <w:highlight w:val="none"/>
            </w:rPr>
            <w:fldChar w:fldCharType="separate"/>
          </w:r>
          <w:r>
            <w:rPr>
              <w:rFonts w:hint="eastAsia" w:asciiTheme="minorEastAsia" w:hAnsiTheme="minorEastAsia" w:eastAsiaTheme="minorEastAsia"/>
              <w:szCs w:val="21"/>
              <w:highlight w:val="none"/>
            </w:rPr>
            <w:t>《中华人民共和国城乡规划法》《北京市城乡规划条例》</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案由2项</w:t>
          </w:r>
          <w:r>
            <w:tab/>
          </w:r>
          <w:r>
            <w:fldChar w:fldCharType="begin"/>
          </w:r>
          <w:r>
            <w:instrText xml:space="preserve"> PAGEREF _Toc869441363 \h </w:instrText>
          </w:r>
          <w:r>
            <w:fldChar w:fldCharType="separate"/>
          </w:r>
          <w:r>
            <w:t>111</w:t>
          </w:r>
          <w:r>
            <w:fldChar w:fldCharType="end"/>
          </w:r>
          <w:r>
            <w:rPr>
              <w:color w:val="auto"/>
              <w:highlight w:val="none"/>
            </w:rPr>
            <w:fldChar w:fldCharType="end"/>
          </w:r>
        </w:p>
        <w:p w14:paraId="48343B1E">
          <w:pPr>
            <w:pStyle w:val="17"/>
            <w:tabs>
              <w:tab w:val="right" w:leader="dot" w:pos="9582"/>
            </w:tabs>
          </w:pPr>
          <w:r>
            <w:rPr>
              <w:color w:val="auto"/>
              <w:highlight w:val="none"/>
            </w:rPr>
            <w:fldChar w:fldCharType="begin"/>
          </w:r>
          <w:r>
            <w:rPr>
              <w:highlight w:val="none"/>
            </w:rPr>
            <w:instrText xml:space="preserve"> HYPERLINK \l _Toc1164959189 </w:instrText>
          </w:r>
          <w:r>
            <w:rPr>
              <w:highlight w:val="none"/>
            </w:rPr>
            <w:fldChar w:fldCharType="separate"/>
          </w:r>
          <w:r>
            <w:rPr>
              <w:rFonts w:hint="eastAsia" w:ascii="黑体" w:hAnsi="黑体" w:eastAsia="黑体"/>
              <w:szCs w:val="28"/>
              <w:highlight w:val="none"/>
            </w:rPr>
            <w:t>旅游管理（黑导游）方面</w:t>
          </w:r>
          <w:r>
            <w:tab/>
          </w:r>
          <w:r>
            <w:fldChar w:fldCharType="begin"/>
          </w:r>
          <w:r>
            <w:instrText xml:space="preserve"> PAGEREF _Toc1164959189 \h </w:instrText>
          </w:r>
          <w:r>
            <w:fldChar w:fldCharType="separate"/>
          </w:r>
          <w:r>
            <w:t>112</w:t>
          </w:r>
          <w:r>
            <w:fldChar w:fldCharType="end"/>
          </w:r>
          <w:r>
            <w:rPr>
              <w:color w:val="auto"/>
              <w:highlight w:val="none"/>
            </w:rPr>
            <w:fldChar w:fldCharType="end"/>
          </w:r>
        </w:p>
        <w:p w14:paraId="60D324E5">
          <w:pPr>
            <w:pStyle w:val="19"/>
            <w:tabs>
              <w:tab w:val="right" w:leader="dot" w:pos="9582"/>
            </w:tabs>
          </w:pPr>
          <w:r>
            <w:rPr>
              <w:color w:val="auto"/>
              <w:highlight w:val="none"/>
            </w:rPr>
            <w:fldChar w:fldCharType="begin"/>
          </w:r>
          <w:r>
            <w:rPr>
              <w:highlight w:val="none"/>
            </w:rPr>
            <w:instrText xml:space="preserve"> HYPERLINK \l _Toc1658285541 </w:instrText>
          </w:r>
          <w:r>
            <w:rPr>
              <w:highlight w:val="none"/>
            </w:rPr>
            <w:fldChar w:fldCharType="separate"/>
          </w:r>
          <w:r>
            <w:rPr>
              <w:rFonts w:hint="eastAsia" w:asciiTheme="minorEastAsia" w:hAnsiTheme="minorEastAsia" w:eastAsiaTheme="minorEastAsia"/>
              <w:szCs w:val="21"/>
              <w:highlight w:val="none"/>
            </w:rPr>
            <w:t>《中华人民共和国旅游法》案由1项</w:t>
          </w:r>
          <w:r>
            <w:tab/>
          </w:r>
          <w:r>
            <w:fldChar w:fldCharType="begin"/>
          </w:r>
          <w:r>
            <w:instrText xml:space="preserve"> PAGEREF _Toc1658285541 \h </w:instrText>
          </w:r>
          <w:r>
            <w:fldChar w:fldCharType="separate"/>
          </w:r>
          <w:r>
            <w:t>112</w:t>
          </w:r>
          <w:r>
            <w:fldChar w:fldCharType="end"/>
          </w:r>
          <w:r>
            <w:rPr>
              <w:color w:val="auto"/>
              <w:highlight w:val="none"/>
            </w:rPr>
            <w:fldChar w:fldCharType="end"/>
          </w:r>
        </w:p>
        <w:p w14:paraId="48561B53">
          <w:pPr>
            <w:pStyle w:val="17"/>
            <w:tabs>
              <w:tab w:val="right" w:leader="dot" w:pos="9582"/>
            </w:tabs>
          </w:pPr>
          <w:r>
            <w:rPr>
              <w:color w:val="auto"/>
              <w:highlight w:val="none"/>
            </w:rPr>
            <w:fldChar w:fldCharType="begin"/>
          </w:r>
          <w:r>
            <w:rPr>
              <w:highlight w:val="none"/>
            </w:rPr>
            <w:instrText xml:space="preserve"> HYPERLINK \l _Toc1256147958 </w:instrText>
          </w:r>
          <w:r>
            <w:rPr>
              <w:highlight w:val="none"/>
            </w:rPr>
            <w:fldChar w:fldCharType="separate"/>
          </w:r>
          <w:r>
            <w:rPr>
              <w:rFonts w:hint="eastAsia" w:ascii="黑体" w:hAnsi="黑体" w:eastAsia="黑体"/>
              <w:szCs w:val="28"/>
              <w:highlight w:val="none"/>
            </w:rPr>
            <w:t>食品安全管理方面</w:t>
          </w:r>
          <w:r>
            <w:tab/>
          </w:r>
          <w:r>
            <w:fldChar w:fldCharType="begin"/>
          </w:r>
          <w:r>
            <w:instrText xml:space="preserve"> PAGEREF _Toc1256147958 \h </w:instrText>
          </w:r>
          <w:r>
            <w:fldChar w:fldCharType="separate"/>
          </w:r>
          <w:r>
            <w:t>112</w:t>
          </w:r>
          <w:r>
            <w:fldChar w:fldCharType="end"/>
          </w:r>
          <w:r>
            <w:rPr>
              <w:color w:val="auto"/>
              <w:highlight w:val="none"/>
            </w:rPr>
            <w:fldChar w:fldCharType="end"/>
          </w:r>
        </w:p>
        <w:p w14:paraId="02B9F81B">
          <w:pPr>
            <w:pStyle w:val="19"/>
            <w:tabs>
              <w:tab w:val="right" w:leader="dot" w:pos="9582"/>
            </w:tabs>
          </w:pPr>
          <w:r>
            <w:rPr>
              <w:color w:val="auto"/>
              <w:highlight w:val="none"/>
            </w:rPr>
            <w:fldChar w:fldCharType="begin"/>
          </w:r>
          <w:r>
            <w:rPr>
              <w:highlight w:val="none"/>
            </w:rPr>
            <w:instrText xml:space="preserve"> HYPERLINK \l _Toc1760515769 </w:instrText>
          </w:r>
          <w:r>
            <w:rPr>
              <w:highlight w:val="none"/>
            </w:rPr>
            <w:fldChar w:fldCharType="separate"/>
          </w:r>
          <w:r>
            <w:rPr>
              <w:rFonts w:hint="eastAsia" w:asciiTheme="minorEastAsia" w:hAnsiTheme="minorEastAsia" w:eastAsiaTheme="minorEastAsia"/>
              <w:szCs w:val="21"/>
              <w:highlight w:val="none"/>
            </w:rPr>
            <w:t>《北京市小规模食品生产经营管理规定》案由23项</w:t>
          </w:r>
          <w:r>
            <w:tab/>
          </w:r>
          <w:r>
            <w:fldChar w:fldCharType="begin"/>
          </w:r>
          <w:r>
            <w:instrText xml:space="preserve"> PAGEREF _Toc1760515769 \h </w:instrText>
          </w:r>
          <w:r>
            <w:fldChar w:fldCharType="separate"/>
          </w:r>
          <w:r>
            <w:t>112</w:t>
          </w:r>
          <w:r>
            <w:fldChar w:fldCharType="end"/>
          </w:r>
          <w:r>
            <w:rPr>
              <w:color w:val="auto"/>
              <w:highlight w:val="none"/>
            </w:rPr>
            <w:fldChar w:fldCharType="end"/>
          </w:r>
        </w:p>
        <w:p w14:paraId="318F8E71">
          <w:pPr>
            <w:pStyle w:val="17"/>
            <w:tabs>
              <w:tab w:val="right" w:leader="dot" w:pos="9582"/>
            </w:tabs>
          </w:pPr>
          <w:r>
            <w:rPr>
              <w:color w:val="auto"/>
              <w:highlight w:val="none"/>
            </w:rPr>
            <w:fldChar w:fldCharType="begin"/>
          </w:r>
          <w:r>
            <w:rPr>
              <w:highlight w:val="none"/>
            </w:rPr>
            <w:instrText xml:space="preserve"> HYPERLINK \l _Toc1650208367 </w:instrText>
          </w:r>
          <w:r>
            <w:rPr>
              <w:highlight w:val="none"/>
            </w:rPr>
            <w:fldChar w:fldCharType="separate"/>
          </w:r>
          <w:r>
            <w:rPr>
              <w:rFonts w:hint="eastAsia" w:ascii="黑体" w:hAnsi="黑体" w:eastAsia="黑体"/>
              <w:szCs w:val="28"/>
              <w:highlight w:val="none"/>
            </w:rPr>
            <w:t>能源运行管理方面</w:t>
          </w:r>
          <w:r>
            <w:tab/>
          </w:r>
          <w:r>
            <w:fldChar w:fldCharType="begin"/>
          </w:r>
          <w:r>
            <w:instrText xml:space="preserve"> PAGEREF _Toc1650208367 \h </w:instrText>
          </w:r>
          <w:r>
            <w:fldChar w:fldCharType="separate"/>
          </w:r>
          <w:r>
            <w:t>117</w:t>
          </w:r>
          <w:r>
            <w:fldChar w:fldCharType="end"/>
          </w:r>
          <w:r>
            <w:rPr>
              <w:color w:val="auto"/>
              <w:highlight w:val="none"/>
            </w:rPr>
            <w:fldChar w:fldCharType="end"/>
          </w:r>
        </w:p>
        <w:p w14:paraId="381D0161">
          <w:pPr>
            <w:pStyle w:val="19"/>
            <w:tabs>
              <w:tab w:val="right" w:leader="dot" w:pos="9582"/>
            </w:tabs>
          </w:pPr>
          <w:r>
            <w:rPr>
              <w:color w:val="auto"/>
              <w:highlight w:val="none"/>
            </w:rPr>
            <w:fldChar w:fldCharType="begin"/>
          </w:r>
          <w:r>
            <w:rPr>
              <w:highlight w:val="none"/>
            </w:rPr>
            <w:instrText xml:space="preserve"> HYPERLINK \l _Toc150742736 </w:instrText>
          </w:r>
          <w:r>
            <w:rPr>
              <w:highlight w:val="none"/>
            </w:rPr>
            <w:fldChar w:fldCharType="separate"/>
          </w:r>
          <w:r>
            <w:rPr>
              <w:rFonts w:hint="eastAsia" w:asciiTheme="minorEastAsia" w:hAnsiTheme="minorEastAsia" w:eastAsiaTheme="minorEastAsia"/>
              <w:szCs w:val="21"/>
              <w:highlight w:val="none"/>
            </w:rPr>
            <w:t>《中华人民共和国煤炭法》案由</w:t>
          </w:r>
          <w:r>
            <w:rPr>
              <w:rFonts w:asciiTheme="minorEastAsia" w:hAnsiTheme="minorEastAsia" w:eastAsiaTheme="minorEastAsia"/>
              <w:szCs w:val="21"/>
              <w:highlight w:val="none"/>
            </w:rPr>
            <w:t>3</w:t>
          </w:r>
          <w:r>
            <w:rPr>
              <w:rFonts w:hint="eastAsia" w:asciiTheme="minorEastAsia" w:hAnsiTheme="minorEastAsia" w:eastAsiaTheme="minorEastAsia"/>
              <w:szCs w:val="21"/>
              <w:highlight w:val="none"/>
            </w:rPr>
            <w:t>项</w:t>
          </w:r>
          <w:r>
            <w:tab/>
          </w:r>
          <w:r>
            <w:fldChar w:fldCharType="begin"/>
          </w:r>
          <w:r>
            <w:instrText xml:space="preserve"> PAGEREF _Toc150742736 \h </w:instrText>
          </w:r>
          <w:r>
            <w:fldChar w:fldCharType="separate"/>
          </w:r>
          <w:r>
            <w:t>117</w:t>
          </w:r>
          <w:r>
            <w:fldChar w:fldCharType="end"/>
          </w:r>
          <w:r>
            <w:rPr>
              <w:color w:val="auto"/>
              <w:highlight w:val="none"/>
            </w:rPr>
            <w:fldChar w:fldCharType="end"/>
          </w:r>
        </w:p>
        <w:p w14:paraId="6B7AAC7A">
          <w:pPr>
            <w:pStyle w:val="19"/>
            <w:tabs>
              <w:tab w:val="right" w:leader="dot" w:pos="9582"/>
            </w:tabs>
          </w:pPr>
          <w:r>
            <w:rPr>
              <w:color w:val="auto"/>
              <w:highlight w:val="none"/>
            </w:rPr>
            <w:fldChar w:fldCharType="begin"/>
          </w:r>
          <w:r>
            <w:rPr>
              <w:highlight w:val="none"/>
            </w:rPr>
            <w:instrText xml:space="preserve"> HYPERLINK \l _Toc2142907165 </w:instrText>
          </w:r>
          <w:r>
            <w:rPr>
              <w:highlight w:val="none"/>
            </w:rPr>
            <w:fldChar w:fldCharType="separate"/>
          </w:r>
          <w:r>
            <w:rPr>
              <w:rFonts w:hint="eastAsia" w:asciiTheme="minorEastAsia" w:hAnsiTheme="minorEastAsia" w:eastAsiaTheme="minorEastAsia"/>
              <w:szCs w:val="21"/>
              <w:highlight w:val="none"/>
            </w:rPr>
            <w:t>《中华人民共和国可再生能源法》案由2项</w:t>
          </w:r>
          <w:r>
            <w:tab/>
          </w:r>
          <w:r>
            <w:fldChar w:fldCharType="begin"/>
          </w:r>
          <w:r>
            <w:instrText xml:space="preserve"> PAGEREF _Toc2142907165 \h </w:instrText>
          </w:r>
          <w:r>
            <w:fldChar w:fldCharType="separate"/>
          </w:r>
          <w:r>
            <w:t>117</w:t>
          </w:r>
          <w:r>
            <w:fldChar w:fldCharType="end"/>
          </w:r>
          <w:r>
            <w:rPr>
              <w:color w:val="auto"/>
              <w:highlight w:val="none"/>
            </w:rPr>
            <w:fldChar w:fldCharType="end"/>
          </w:r>
        </w:p>
        <w:p w14:paraId="23C15D91">
          <w:pPr>
            <w:pStyle w:val="19"/>
            <w:tabs>
              <w:tab w:val="right" w:leader="dot" w:pos="9582"/>
            </w:tabs>
          </w:pPr>
          <w:r>
            <w:rPr>
              <w:color w:val="auto"/>
              <w:highlight w:val="none"/>
            </w:rPr>
            <w:fldChar w:fldCharType="begin"/>
          </w:r>
          <w:r>
            <w:rPr>
              <w:highlight w:val="none"/>
            </w:rPr>
            <w:instrText xml:space="preserve"> HYPERLINK \l _Toc1255182876 </w:instrText>
          </w:r>
          <w:r>
            <w:rPr>
              <w:highlight w:val="none"/>
            </w:rPr>
            <w:fldChar w:fldCharType="separate"/>
          </w:r>
          <w:r>
            <w:rPr>
              <w:rFonts w:hint="eastAsia" w:asciiTheme="minorEastAsia" w:hAnsiTheme="minorEastAsia" w:eastAsiaTheme="minorEastAsia"/>
              <w:szCs w:val="21"/>
              <w:highlight w:val="none"/>
            </w:rPr>
            <w:t>《中华人民共和国电力法》《电力供应与使用条例》案由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_Toc1255182876 \h </w:instrText>
          </w:r>
          <w:r>
            <w:fldChar w:fldCharType="separate"/>
          </w:r>
          <w:r>
            <w:t>118</w:t>
          </w:r>
          <w:r>
            <w:fldChar w:fldCharType="end"/>
          </w:r>
          <w:r>
            <w:rPr>
              <w:color w:val="auto"/>
              <w:highlight w:val="none"/>
            </w:rPr>
            <w:fldChar w:fldCharType="end"/>
          </w:r>
        </w:p>
        <w:p w14:paraId="2BAD952B">
          <w:pPr>
            <w:pStyle w:val="19"/>
            <w:tabs>
              <w:tab w:val="right" w:leader="dot" w:pos="9582"/>
            </w:tabs>
          </w:pPr>
          <w:r>
            <w:rPr>
              <w:color w:val="auto"/>
              <w:highlight w:val="none"/>
            </w:rPr>
            <w:fldChar w:fldCharType="begin"/>
          </w:r>
          <w:r>
            <w:rPr>
              <w:highlight w:val="none"/>
            </w:rPr>
            <w:instrText xml:space="preserve"> HYPERLINK \l _Toc66185181 </w:instrText>
          </w:r>
          <w:r>
            <w:rPr>
              <w:highlight w:val="none"/>
            </w:rPr>
            <w:fldChar w:fldCharType="separate"/>
          </w:r>
          <w:r>
            <w:rPr>
              <w:rFonts w:hint="eastAsia" w:asciiTheme="minorEastAsia" w:hAnsiTheme="minorEastAsia" w:eastAsiaTheme="minorEastAsia"/>
              <w:szCs w:val="21"/>
              <w:highlight w:val="none"/>
            </w:rPr>
            <w:t>《电力设施保护条例》《电力设施保护条例实施细则》案由5项</w:t>
          </w:r>
          <w:r>
            <w:tab/>
          </w:r>
          <w:r>
            <w:fldChar w:fldCharType="begin"/>
          </w:r>
          <w:r>
            <w:instrText xml:space="preserve"> PAGEREF _Toc66185181 \h </w:instrText>
          </w:r>
          <w:r>
            <w:fldChar w:fldCharType="separate"/>
          </w:r>
          <w:r>
            <w:t>119</w:t>
          </w:r>
          <w:r>
            <w:fldChar w:fldCharType="end"/>
          </w:r>
          <w:r>
            <w:rPr>
              <w:color w:val="auto"/>
              <w:highlight w:val="none"/>
            </w:rPr>
            <w:fldChar w:fldCharType="end"/>
          </w:r>
        </w:p>
        <w:p w14:paraId="4566D809">
          <w:pPr>
            <w:pStyle w:val="19"/>
            <w:tabs>
              <w:tab w:val="right" w:leader="dot" w:pos="9582"/>
            </w:tabs>
          </w:pPr>
          <w:r>
            <w:rPr>
              <w:color w:val="auto"/>
              <w:highlight w:val="none"/>
            </w:rPr>
            <w:fldChar w:fldCharType="begin"/>
          </w:r>
          <w:r>
            <w:rPr>
              <w:highlight w:val="none"/>
            </w:rPr>
            <w:instrText xml:space="preserve"> HYPERLINK \l _Toc83055737 </w:instrText>
          </w:r>
          <w:r>
            <w:rPr>
              <w:highlight w:val="none"/>
            </w:rPr>
            <w:fldChar w:fldCharType="separate"/>
          </w:r>
          <w:r>
            <w:rPr>
              <w:rFonts w:hint="eastAsia"/>
              <w:szCs w:val="21"/>
              <w:highlight w:val="none"/>
              <w:lang w:val="en-US" w:eastAsia="zh-CN"/>
            </w:rPr>
            <w:t>《北京市优化营商环境条例》案由1项</w:t>
          </w:r>
          <w:r>
            <w:tab/>
          </w:r>
          <w:r>
            <w:fldChar w:fldCharType="begin"/>
          </w:r>
          <w:r>
            <w:instrText xml:space="preserve"> PAGEREF _Toc83055737 \h </w:instrText>
          </w:r>
          <w:r>
            <w:fldChar w:fldCharType="separate"/>
          </w:r>
          <w:r>
            <w:t>120</w:t>
          </w:r>
          <w:r>
            <w:fldChar w:fldCharType="end"/>
          </w:r>
          <w:r>
            <w:rPr>
              <w:color w:val="auto"/>
              <w:highlight w:val="none"/>
            </w:rPr>
            <w:fldChar w:fldCharType="end"/>
          </w:r>
        </w:p>
        <w:p w14:paraId="4961E578">
          <w:pPr>
            <w:pStyle w:val="17"/>
            <w:tabs>
              <w:tab w:val="right" w:leader="dot" w:pos="9582"/>
            </w:tabs>
          </w:pPr>
          <w:r>
            <w:rPr>
              <w:color w:val="auto"/>
              <w:highlight w:val="none"/>
            </w:rPr>
            <w:fldChar w:fldCharType="begin"/>
          </w:r>
          <w:r>
            <w:rPr>
              <w:highlight w:val="none"/>
            </w:rPr>
            <w:instrText xml:space="preserve"> HYPERLINK \l _Toc1375254604 </w:instrText>
          </w:r>
          <w:r>
            <w:rPr>
              <w:highlight w:val="none"/>
            </w:rPr>
            <w:fldChar w:fldCharType="separate"/>
          </w:r>
          <w:r>
            <w:rPr>
              <w:rFonts w:hint="eastAsia" w:ascii="黑体" w:hAnsi="黑体" w:eastAsia="黑体"/>
              <w:szCs w:val="28"/>
              <w:highlight w:val="none"/>
            </w:rPr>
            <w:t>国际交往语言环境建设方面</w:t>
          </w:r>
          <w:r>
            <w:tab/>
          </w:r>
          <w:r>
            <w:fldChar w:fldCharType="begin"/>
          </w:r>
          <w:r>
            <w:instrText xml:space="preserve"> PAGEREF _Toc1375254604 \h </w:instrText>
          </w:r>
          <w:r>
            <w:fldChar w:fldCharType="separate"/>
          </w:r>
          <w:r>
            <w:t>124</w:t>
          </w:r>
          <w:r>
            <w:fldChar w:fldCharType="end"/>
          </w:r>
          <w:r>
            <w:rPr>
              <w:color w:val="auto"/>
              <w:highlight w:val="none"/>
            </w:rPr>
            <w:fldChar w:fldCharType="end"/>
          </w:r>
        </w:p>
        <w:p w14:paraId="48955575">
          <w:pPr>
            <w:pStyle w:val="19"/>
            <w:tabs>
              <w:tab w:val="right" w:leader="dot" w:pos="9582"/>
            </w:tabs>
          </w:pPr>
          <w:r>
            <w:rPr>
              <w:color w:val="auto"/>
              <w:highlight w:val="none"/>
            </w:rPr>
            <w:fldChar w:fldCharType="begin"/>
          </w:r>
          <w:r>
            <w:rPr>
              <w:highlight w:val="none"/>
            </w:rPr>
            <w:instrText xml:space="preserve"> HYPERLINK \l _Toc1577776105 </w:instrText>
          </w:r>
          <w:r>
            <w:rPr>
              <w:highlight w:val="none"/>
            </w:rPr>
            <w:fldChar w:fldCharType="separate"/>
          </w:r>
          <w:r>
            <w:rPr>
              <w:rFonts w:hint="eastAsia"/>
              <w:szCs w:val="21"/>
              <w:highlight w:val="none"/>
            </w:rPr>
            <w:t>《</w:t>
          </w:r>
          <w:r>
            <w:rPr>
              <w:rFonts w:hint="eastAsia"/>
              <w:szCs w:val="21"/>
              <w:highlight w:val="none"/>
              <w:lang w:val="zh-CN"/>
            </w:rPr>
            <w:t>北京市国际交往语言环境建设条例</w:t>
          </w:r>
          <w:r>
            <w:rPr>
              <w:rFonts w:hint="eastAsia"/>
              <w:szCs w:val="21"/>
              <w:highlight w:val="none"/>
            </w:rPr>
            <w:t>》案由</w:t>
          </w:r>
          <w:r>
            <w:rPr>
              <w:rFonts w:hint="eastAsia"/>
              <w:bCs w:val="0"/>
              <w:szCs w:val="21"/>
              <w:highlight w:val="none"/>
            </w:rPr>
            <w:t>4</w:t>
          </w:r>
          <w:r>
            <w:rPr>
              <w:rFonts w:hint="eastAsia"/>
              <w:szCs w:val="21"/>
              <w:highlight w:val="none"/>
            </w:rPr>
            <w:t>项</w:t>
          </w:r>
          <w:r>
            <w:tab/>
          </w:r>
          <w:r>
            <w:fldChar w:fldCharType="begin"/>
          </w:r>
          <w:r>
            <w:instrText xml:space="preserve"> PAGEREF _Toc1577776105 \h </w:instrText>
          </w:r>
          <w:r>
            <w:fldChar w:fldCharType="separate"/>
          </w:r>
          <w:r>
            <w:t>124</w:t>
          </w:r>
          <w:r>
            <w:fldChar w:fldCharType="end"/>
          </w:r>
          <w:r>
            <w:rPr>
              <w:color w:val="auto"/>
              <w:highlight w:val="none"/>
            </w:rPr>
            <w:fldChar w:fldCharType="end"/>
          </w:r>
        </w:p>
        <w:p w14:paraId="5D563877">
          <w:pPr>
            <w:pStyle w:val="17"/>
            <w:tabs>
              <w:tab w:val="right" w:leader="dot" w:pos="9582"/>
            </w:tabs>
          </w:pPr>
          <w:r>
            <w:rPr>
              <w:color w:val="auto"/>
              <w:highlight w:val="none"/>
            </w:rPr>
            <w:fldChar w:fldCharType="begin"/>
          </w:r>
          <w:r>
            <w:rPr>
              <w:highlight w:val="none"/>
            </w:rPr>
            <w:instrText xml:space="preserve"> HYPERLINK \l _Toc6615783 </w:instrText>
          </w:r>
          <w:r>
            <w:rPr>
              <w:highlight w:val="none"/>
            </w:rPr>
            <w:fldChar w:fldCharType="separate"/>
          </w:r>
          <w:r>
            <w:rPr>
              <w:rFonts w:hint="eastAsia" w:ascii="黑体" w:hAnsi="黑体" w:eastAsia="黑体"/>
              <w:szCs w:val="28"/>
              <w:highlight w:val="none"/>
              <w:lang w:val="en-US" w:eastAsia="zh-CN"/>
            </w:rPr>
            <w:t>安全生产管理方面</w:t>
          </w:r>
          <w:r>
            <w:tab/>
          </w:r>
          <w:r>
            <w:fldChar w:fldCharType="begin"/>
          </w:r>
          <w:r>
            <w:instrText xml:space="preserve"> PAGEREF _Toc6615783 \h </w:instrText>
          </w:r>
          <w:r>
            <w:fldChar w:fldCharType="separate"/>
          </w:r>
          <w:r>
            <w:t>125</w:t>
          </w:r>
          <w:r>
            <w:fldChar w:fldCharType="end"/>
          </w:r>
          <w:r>
            <w:rPr>
              <w:color w:val="auto"/>
              <w:highlight w:val="none"/>
            </w:rPr>
            <w:fldChar w:fldCharType="end"/>
          </w:r>
        </w:p>
        <w:p w14:paraId="53164B06">
          <w:pPr>
            <w:pStyle w:val="19"/>
            <w:tabs>
              <w:tab w:val="right" w:leader="dot" w:pos="9582"/>
            </w:tabs>
          </w:pPr>
          <w:r>
            <w:rPr>
              <w:color w:val="auto"/>
              <w:highlight w:val="none"/>
            </w:rPr>
            <w:fldChar w:fldCharType="begin"/>
          </w:r>
          <w:r>
            <w:rPr>
              <w:highlight w:val="none"/>
            </w:rPr>
            <w:instrText xml:space="preserve"> HYPERLINK \l _Toc1198055408 </w:instrText>
          </w:r>
          <w:r>
            <w:rPr>
              <w:highlight w:val="none"/>
            </w:rPr>
            <w:fldChar w:fldCharType="separate"/>
          </w:r>
          <w:r>
            <w:rPr>
              <w:rFonts w:hint="eastAsia" w:asciiTheme="minorEastAsia" w:hAnsiTheme="minorEastAsia" w:eastAsiaTheme="minorEastAsia" w:cstheme="minorEastAsia"/>
              <w:szCs w:val="21"/>
              <w:highlight w:val="none"/>
              <w:lang w:eastAsia="zh-Hans"/>
            </w:rPr>
            <w:t>《中华人民共和国安全生产法》</w:t>
          </w:r>
          <w:r>
            <w:rPr>
              <w:rFonts w:hint="eastAsia" w:asciiTheme="minorEastAsia" w:hAnsiTheme="minorEastAsia" w:eastAsiaTheme="minorEastAsia" w:cstheme="minorEastAsia"/>
              <w:szCs w:val="21"/>
              <w:highlight w:val="none"/>
            </w:rPr>
            <w:t>《北京市安全生产条例》</w:t>
          </w:r>
          <w:r>
            <w:rPr>
              <w:rFonts w:hint="eastAsia" w:asciiTheme="minorEastAsia" w:hAnsiTheme="minorEastAsia" w:eastAsiaTheme="minorEastAsia" w:cstheme="minorEastAsia"/>
              <w:szCs w:val="21"/>
              <w:highlight w:val="none"/>
              <w:lang w:eastAsia="zh-Hans"/>
            </w:rPr>
            <w:t>案由</w:t>
          </w:r>
          <w:r>
            <w:rPr>
              <w:rFonts w:hint="eastAsia" w:asciiTheme="minorEastAsia" w:hAnsiTheme="minorEastAsia" w:eastAsiaTheme="minorEastAsia" w:cstheme="minorEastAsia"/>
              <w:bCs w:val="0"/>
              <w:szCs w:val="21"/>
              <w:highlight w:val="none"/>
              <w:lang w:val="en-US" w:eastAsia="zh-CN"/>
            </w:rPr>
            <w:t>4</w:t>
          </w:r>
          <w:r>
            <w:rPr>
              <w:rFonts w:hint="default" w:asciiTheme="minorEastAsia" w:hAnsiTheme="minorEastAsia" w:eastAsiaTheme="minorEastAsia" w:cstheme="minorEastAsia"/>
              <w:bCs w:val="0"/>
              <w:szCs w:val="21"/>
              <w:highlight w:val="none"/>
              <w:lang w:val="en-US" w:eastAsia="zh-CN"/>
            </w:rPr>
            <w:t>3</w:t>
          </w:r>
          <w:r>
            <w:rPr>
              <w:rFonts w:hint="eastAsia" w:asciiTheme="minorEastAsia" w:hAnsiTheme="minorEastAsia" w:eastAsiaTheme="minorEastAsia" w:cstheme="minorEastAsia"/>
              <w:szCs w:val="21"/>
              <w:highlight w:val="none"/>
              <w:lang w:eastAsia="zh-Hans"/>
            </w:rPr>
            <w:t>项</w:t>
          </w:r>
          <w:r>
            <w:tab/>
          </w:r>
          <w:r>
            <w:fldChar w:fldCharType="begin"/>
          </w:r>
          <w:r>
            <w:instrText xml:space="preserve"> PAGEREF _Toc1198055408 \h </w:instrText>
          </w:r>
          <w:r>
            <w:fldChar w:fldCharType="separate"/>
          </w:r>
          <w:r>
            <w:t>125</w:t>
          </w:r>
          <w:r>
            <w:fldChar w:fldCharType="end"/>
          </w:r>
          <w:r>
            <w:rPr>
              <w:color w:val="auto"/>
              <w:highlight w:val="none"/>
            </w:rPr>
            <w:fldChar w:fldCharType="end"/>
          </w:r>
        </w:p>
        <w:p w14:paraId="1908899F">
          <w:pPr>
            <w:pStyle w:val="19"/>
            <w:tabs>
              <w:tab w:val="right" w:leader="dot" w:pos="9582"/>
            </w:tabs>
          </w:pPr>
          <w:r>
            <w:rPr>
              <w:color w:val="auto"/>
              <w:highlight w:val="none"/>
            </w:rPr>
            <w:fldChar w:fldCharType="begin"/>
          </w:r>
          <w:r>
            <w:rPr>
              <w:highlight w:val="none"/>
            </w:rPr>
            <w:instrText xml:space="preserve"> HYPERLINK \l _Toc44928791 </w:instrText>
          </w:r>
          <w:r>
            <w:rPr>
              <w:highlight w:val="none"/>
            </w:rPr>
            <w:fldChar w:fldCharType="separate"/>
          </w:r>
          <w:r>
            <w:rPr>
              <w:rFonts w:hint="eastAsia" w:ascii="宋体" w:hAnsi="宋体" w:eastAsia="宋体" w:cs="宋体"/>
              <w:szCs w:val="21"/>
              <w:highlight w:val="none"/>
            </w:rPr>
            <w:t>《北京市生产安全事故隐患排查治理办法》</w:t>
          </w:r>
          <w:r>
            <w:rPr>
              <w:rFonts w:hint="eastAsia" w:ascii="宋体" w:hAnsi="宋体" w:eastAsia="宋体" w:cs="宋体"/>
              <w:szCs w:val="21"/>
              <w:highlight w:val="none"/>
              <w:lang w:eastAsia="zh-Hans"/>
            </w:rPr>
            <w:t>案由</w:t>
          </w:r>
          <w:r>
            <w:rPr>
              <w:rFonts w:hint="eastAsia" w:ascii="宋体" w:hAnsi="宋体" w:eastAsia="宋体" w:cs="宋体"/>
              <w:szCs w:val="21"/>
              <w:highlight w:val="none"/>
              <w:lang w:val="en-US" w:eastAsia="zh-CN"/>
            </w:rPr>
            <w:t>4</w:t>
          </w:r>
          <w:r>
            <w:rPr>
              <w:rFonts w:hint="eastAsia" w:ascii="宋体" w:hAnsi="宋体" w:eastAsia="宋体" w:cs="宋体"/>
              <w:szCs w:val="21"/>
              <w:highlight w:val="none"/>
              <w:lang w:eastAsia="zh-Hans"/>
            </w:rPr>
            <w:t>项</w:t>
          </w:r>
          <w:r>
            <w:tab/>
          </w:r>
          <w:r>
            <w:fldChar w:fldCharType="begin"/>
          </w:r>
          <w:r>
            <w:instrText xml:space="preserve"> PAGEREF _Toc44928791 \h </w:instrText>
          </w:r>
          <w:r>
            <w:fldChar w:fldCharType="separate"/>
          </w:r>
          <w:r>
            <w:t>137</w:t>
          </w:r>
          <w:r>
            <w:fldChar w:fldCharType="end"/>
          </w:r>
          <w:r>
            <w:rPr>
              <w:color w:val="auto"/>
              <w:highlight w:val="none"/>
            </w:rPr>
            <w:fldChar w:fldCharType="end"/>
          </w:r>
        </w:p>
        <w:p w14:paraId="2589EFB7">
          <w:pPr>
            <w:pStyle w:val="19"/>
            <w:tabs>
              <w:tab w:val="right" w:leader="dot" w:pos="9582"/>
            </w:tabs>
          </w:pPr>
          <w:r>
            <w:rPr>
              <w:color w:val="auto"/>
              <w:highlight w:val="none"/>
            </w:rPr>
            <w:fldChar w:fldCharType="begin"/>
          </w:r>
          <w:r>
            <w:rPr>
              <w:highlight w:val="none"/>
            </w:rPr>
            <w:instrText xml:space="preserve"> HYPERLINK \l _Toc962514194 </w:instrText>
          </w:r>
          <w:r>
            <w:rPr>
              <w:highlight w:val="none"/>
            </w:rPr>
            <w:fldChar w:fldCharType="separate"/>
          </w:r>
          <w:r>
            <w:rPr>
              <w:rFonts w:hint="eastAsia" w:ascii="宋体" w:hAnsi="宋体" w:eastAsia="宋体" w:cs="宋体"/>
              <w:szCs w:val="21"/>
              <w:highlight w:val="none"/>
              <w:lang w:val="en-US" w:eastAsia="zh-CN"/>
            </w:rPr>
            <w:t>《北京市生产经营单位安全生产主体责任规定》案由2项</w:t>
          </w:r>
          <w:r>
            <w:tab/>
          </w:r>
          <w:r>
            <w:fldChar w:fldCharType="begin"/>
          </w:r>
          <w:r>
            <w:instrText xml:space="preserve"> PAGEREF _Toc962514194 \h </w:instrText>
          </w:r>
          <w:r>
            <w:fldChar w:fldCharType="separate"/>
          </w:r>
          <w:r>
            <w:t>137</w:t>
          </w:r>
          <w:r>
            <w:fldChar w:fldCharType="end"/>
          </w:r>
          <w:r>
            <w:rPr>
              <w:color w:val="auto"/>
              <w:highlight w:val="none"/>
            </w:rPr>
            <w:fldChar w:fldCharType="end"/>
          </w:r>
        </w:p>
        <w:p w14:paraId="0F8B473C">
          <w:pPr>
            <w:pStyle w:val="17"/>
            <w:tabs>
              <w:tab w:val="right" w:leader="dot" w:pos="9582"/>
            </w:tabs>
          </w:pPr>
          <w:r>
            <w:rPr>
              <w:color w:val="auto"/>
              <w:highlight w:val="none"/>
            </w:rPr>
            <w:fldChar w:fldCharType="begin"/>
          </w:r>
          <w:r>
            <w:rPr>
              <w:highlight w:val="none"/>
            </w:rPr>
            <w:instrText xml:space="preserve"> HYPERLINK \l _Toc1260737422 </w:instrText>
          </w:r>
          <w:r>
            <w:rPr>
              <w:highlight w:val="none"/>
            </w:rPr>
            <w:fldChar w:fldCharType="separate"/>
          </w:r>
          <w:r>
            <w:rPr>
              <w:rFonts w:hint="eastAsia" w:ascii="黑体" w:hAnsi="黑体" w:eastAsia="黑体" w:cs="黑体"/>
              <w:kern w:val="0"/>
              <w:szCs w:val="28"/>
              <w:highlight w:val="none"/>
            </w:rPr>
            <w:t>节约用水管理方面</w:t>
          </w:r>
          <w:r>
            <w:tab/>
          </w:r>
          <w:r>
            <w:fldChar w:fldCharType="begin"/>
          </w:r>
          <w:r>
            <w:instrText xml:space="preserve"> PAGEREF _Toc1260737422 \h </w:instrText>
          </w:r>
          <w:r>
            <w:fldChar w:fldCharType="separate"/>
          </w:r>
          <w:r>
            <w:t>138</w:t>
          </w:r>
          <w:r>
            <w:fldChar w:fldCharType="end"/>
          </w:r>
          <w:r>
            <w:rPr>
              <w:color w:val="auto"/>
              <w:highlight w:val="none"/>
            </w:rPr>
            <w:fldChar w:fldCharType="end"/>
          </w:r>
        </w:p>
        <w:p w14:paraId="0555CD45">
          <w:pPr>
            <w:pStyle w:val="19"/>
            <w:tabs>
              <w:tab w:val="right" w:leader="dot" w:pos="9582"/>
            </w:tabs>
          </w:pPr>
          <w:r>
            <w:rPr>
              <w:color w:val="auto"/>
              <w:highlight w:val="none"/>
            </w:rPr>
            <w:fldChar w:fldCharType="begin"/>
          </w:r>
          <w:r>
            <w:rPr>
              <w:highlight w:val="none"/>
            </w:rPr>
            <w:instrText xml:space="preserve"> HYPERLINK \l _Toc2139566837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《中华人民共和国水法》《节约用水条例》案由4项</w:t>
          </w:r>
          <w:r>
            <w:tab/>
          </w:r>
          <w:r>
            <w:fldChar w:fldCharType="begin"/>
          </w:r>
          <w:r>
            <w:instrText xml:space="preserve"> PAGEREF _Toc2139566837 \h </w:instrText>
          </w:r>
          <w:r>
            <w:fldChar w:fldCharType="separate"/>
          </w:r>
          <w:r>
            <w:t>138</w:t>
          </w:r>
          <w:r>
            <w:fldChar w:fldCharType="end"/>
          </w:r>
          <w:r>
            <w:rPr>
              <w:color w:val="auto"/>
              <w:highlight w:val="none"/>
            </w:rPr>
            <w:fldChar w:fldCharType="end"/>
          </w:r>
        </w:p>
        <w:p w14:paraId="2839D35B">
          <w:pPr>
            <w:pStyle w:val="19"/>
            <w:tabs>
              <w:tab w:val="right" w:leader="dot" w:pos="9582"/>
            </w:tabs>
          </w:pPr>
          <w:r>
            <w:rPr>
              <w:color w:val="auto"/>
              <w:highlight w:val="none"/>
            </w:rPr>
            <w:fldChar w:fldCharType="begin"/>
          </w:r>
          <w:r>
            <w:rPr>
              <w:highlight w:val="none"/>
            </w:rPr>
            <w:instrText xml:space="preserve"> HYPERLINK \l _Toc14207568 </w:instrText>
          </w:r>
          <w:r>
            <w:rPr>
              <w:highlight w:val="none"/>
            </w:rPr>
            <w:fldChar w:fldCharType="separate"/>
          </w:r>
          <w:r>
            <w:rPr>
              <w:rFonts w:hint="eastAsia" w:asciiTheme="minorEastAsia" w:hAnsiTheme="minorEastAsia" w:eastAsiaTheme="minorEastAsia" w:cstheme="minorEastAsia"/>
              <w:bCs/>
              <w:kern w:val="0"/>
              <w:szCs w:val="21"/>
              <w:highlight w:val="none"/>
            </w:rPr>
            <w:t>《城市房屋便器水箱应用监督管理办法》案由4项</w:t>
          </w:r>
          <w:r>
            <w:tab/>
          </w:r>
          <w:r>
            <w:fldChar w:fldCharType="begin"/>
          </w:r>
          <w:r>
            <w:instrText xml:space="preserve"> PAGEREF _Toc14207568 \h </w:instrText>
          </w:r>
          <w:r>
            <w:fldChar w:fldCharType="separate"/>
          </w:r>
          <w:r>
            <w:t>140</w:t>
          </w:r>
          <w:r>
            <w:fldChar w:fldCharType="end"/>
          </w:r>
          <w:r>
            <w:rPr>
              <w:color w:val="auto"/>
              <w:highlight w:val="none"/>
            </w:rPr>
            <w:fldChar w:fldCharType="end"/>
          </w:r>
        </w:p>
        <w:p w14:paraId="0559A6BD">
          <w:pPr>
            <w:pStyle w:val="19"/>
            <w:tabs>
              <w:tab w:val="right" w:leader="dot" w:pos="9582"/>
            </w:tabs>
          </w:pPr>
          <w:r>
            <w:rPr>
              <w:color w:val="auto"/>
              <w:highlight w:val="none"/>
            </w:rPr>
            <w:fldChar w:fldCharType="begin"/>
          </w:r>
          <w:r>
            <w:rPr>
              <w:highlight w:val="none"/>
            </w:rPr>
            <w:instrText xml:space="preserve"> HYPERLINK \l _Toc603926826 </w:instrText>
          </w:r>
          <w:r>
            <w:rPr>
              <w:highlight w:val="none"/>
            </w:rPr>
            <w:fldChar w:fldCharType="separate"/>
          </w:r>
          <w:r>
            <w:rPr>
              <w:rFonts w:hint="eastAsia" w:asciiTheme="minorEastAsia" w:hAnsiTheme="minorEastAsia" w:eastAsiaTheme="minorEastAsia" w:cstheme="minorEastAsia"/>
              <w:bCs/>
              <w:kern w:val="0"/>
              <w:szCs w:val="21"/>
              <w:highlight w:val="none"/>
            </w:rPr>
            <w:t>《北京市节水条例》《北京市水污染防治条例》案由14项</w:t>
          </w:r>
          <w:r>
            <w:tab/>
          </w:r>
          <w:r>
            <w:fldChar w:fldCharType="begin"/>
          </w:r>
          <w:r>
            <w:instrText xml:space="preserve"> PAGEREF _Toc603926826 \h </w:instrText>
          </w:r>
          <w:r>
            <w:fldChar w:fldCharType="separate"/>
          </w:r>
          <w:r>
            <w:t>141</w:t>
          </w:r>
          <w:r>
            <w:fldChar w:fldCharType="end"/>
          </w:r>
          <w:r>
            <w:rPr>
              <w:color w:val="auto"/>
              <w:highlight w:val="none"/>
            </w:rPr>
            <w:fldChar w:fldCharType="end"/>
          </w:r>
        </w:p>
        <w:p w14:paraId="00ED699B">
          <w:pPr>
            <w:pStyle w:val="17"/>
            <w:tabs>
              <w:tab w:val="right" w:leader="dot" w:pos="9582"/>
            </w:tabs>
          </w:pPr>
          <w:r>
            <w:rPr>
              <w:color w:val="auto"/>
              <w:highlight w:val="none"/>
            </w:rPr>
            <w:fldChar w:fldCharType="begin"/>
          </w:r>
          <w:r>
            <w:rPr>
              <w:highlight w:val="none"/>
            </w:rPr>
            <w:instrText xml:space="preserve"> HYPERLINK \l _Toc673866303 </w:instrText>
          </w:r>
          <w:r>
            <w:rPr>
              <w:highlight w:val="none"/>
            </w:rPr>
            <w:fldChar w:fldCharType="separate"/>
          </w:r>
          <w:r>
            <w:rPr>
              <w:rFonts w:hint="eastAsia" w:ascii="黑体" w:hAnsi="黑体" w:eastAsia="黑体" w:cs="黑体"/>
              <w:kern w:val="0"/>
              <w:szCs w:val="28"/>
              <w:highlight w:val="none"/>
            </w:rPr>
            <w:t>水资源管理方面</w:t>
          </w:r>
          <w:r>
            <w:tab/>
          </w:r>
          <w:r>
            <w:fldChar w:fldCharType="begin"/>
          </w:r>
          <w:r>
            <w:instrText xml:space="preserve"> PAGEREF _Toc673866303 \h </w:instrText>
          </w:r>
          <w:r>
            <w:fldChar w:fldCharType="separate"/>
          </w:r>
          <w:r>
            <w:t>144</w:t>
          </w:r>
          <w:r>
            <w:fldChar w:fldCharType="end"/>
          </w:r>
          <w:r>
            <w:rPr>
              <w:color w:val="auto"/>
              <w:highlight w:val="none"/>
            </w:rPr>
            <w:fldChar w:fldCharType="end"/>
          </w:r>
        </w:p>
        <w:p w14:paraId="4C8A49AE">
          <w:pPr>
            <w:pStyle w:val="19"/>
            <w:tabs>
              <w:tab w:val="right" w:leader="dot" w:pos="9582"/>
            </w:tabs>
          </w:pPr>
          <w:r>
            <w:rPr>
              <w:color w:val="auto"/>
              <w:highlight w:val="none"/>
            </w:rPr>
            <w:fldChar w:fldCharType="begin"/>
          </w:r>
          <w:r>
            <w:rPr>
              <w:highlight w:val="none"/>
            </w:rPr>
            <w:instrText xml:space="preserve"> HYPERLINK \l _Toc1725763447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《中华人民共和国水法》案由2项</w:t>
          </w:r>
          <w:r>
            <w:tab/>
          </w:r>
          <w:r>
            <w:fldChar w:fldCharType="begin"/>
          </w:r>
          <w:r>
            <w:instrText xml:space="preserve"> PAGEREF _Toc1725763447 \h </w:instrText>
          </w:r>
          <w:r>
            <w:fldChar w:fldCharType="separate"/>
          </w:r>
          <w:r>
            <w:t>144</w:t>
          </w:r>
          <w:r>
            <w:fldChar w:fldCharType="end"/>
          </w:r>
          <w:r>
            <w:rPr>
              <w:color w:val="auto"/>
              <w:highlight w:val="none"/>
            </w:rPr>
            <w:fldChar w:fldCharType="end"/>
          </w:r>
        </w:p>
        <w:p w14:paraId="16D484E2">
          <w:pPr>
            <w:pStyle w:val="19"/>
            <w:tabs>
              <w:tab w:val="right" w:leader="dot" w:pos="9582"/>
            </w:tabs>
          </w:pPr>
          <w:r>
            <w:rPr>
              <w:color w:val="auto"/>
              <w:highlight w:val="none"/>
            </w:rPr>
            <w:fldChar w:fldCharType="begin"/>
          </w:r>
          <w:r>
            <w:rPr>
              <w:highlight w:val="none"/>
            </w:rPr>
            <w:instrText xml:space="preserve"> HYPERLINK \l _Toc783138670 </w:instrText>
          </w:r>
          <w:r>
            <w:rPr>
              <w:highlight w:val="none"/>
            </w:rPr>
            <w:fldChar w:fldCharType="separate"/>
          </w:r>
          <w:r>
            <w:rPr>
              <w:rFonts w:hint="eastAsia" w:asciiTheme="minorEastAsia" w:hAnsiTheme="minorEastAsia" w:eastAsiaTheme="minorEastAsia" w:cstheme="minorEastAsia"/>
              <w:bCs/>
              <w:kern w:val="0"/>
              <w:szCs w:val="21"/>
              <w:highlight w:val="none"/>
            </w:rPr>
            <w:t>《取水许可和水资源费征收管理条例》《地下水管理条例》案由9项</w:t>
          </w:r>
          <w:r>
            <w:tab/>
          </w:r>
          <w:r>
            <w:fldChar w:fldCharType="begin"/>
          </w:r>
          <w:r>
            <w:instrText xml:space="preserve"> PAGEREF _Toc783138670 \h </w:instrText>
          </w:r>
          <w:r>
            <w:fldChar w:fldCharType="separate"/>
          </w:r>
          <w:r>
            <w:t>145</w:t>
          </w:r>
          <w:r>
            <w:fldChar w:fldCharType="end"/>
          </w:r>
          <w:r>
            <w:rPr>
              <w:color w:val="auto"/>
              <w:highlight w:val="none"/>
            </w:rPr>
            <w:fldChar w:fldCharType="end"/>
          </w:r>
        </w:p>
        <w:p w14:paraId="724E3D7A">
          <w:pPr>
            <w:pStyle w:val="19"/>
            <w:tabs>
              <w:tab w:val="right" w:leader="dot" w:pos="9582"/>
            </w:tabs>
          </w:pPr>
          <w:r>
            <w:rPr>
              <w:color w:val="auto"/>
              <w:highlight w:val="none"/>
            </w:rPr>
            <w:fldChar w:fldCharType="begin"/>
          </w:r>
          <w:r>
            <w:rPr>
              <w:highlight w:val="none"/>
            </w:rPr>
            <w:instrText xml:space="preserve"> HYPERLINK \l _Toc631117755 </w:instrText>
          </w:r>
          <w:r>
            <w:rPr>
              <w:highlight w:val="none"/>
            </w:rPr>
            <w:fldChar w:fldCharType="separate"/>
          </w:r>
          <w:r>
            <w:rPr>
              <w:rFonts w:hint="eastAsia" w:asciiTheme="minorEastAsia" w:hAnsiTheme="minorEastAsia" w:eastAsiaTheme="minorEastAsia" w:cstheme="minorEastAsia"/>
              <w:bCs/>
              <w:kern w:val="0"/>
              <w:szCs w:val="21"/>
              <w:highlight w:val="none"/>
            </w:rPr>
            <w:t>《地下水管理条例》案由6项</w:t>
          </w:r>
          <w:r>
            <w:tab/>
          </w:r>
          <w:r>
            <w:fldChar w:fldCharType="begin"/>
          </w:r>
          <w:r>
            <w:instrText xml:space="preserve"> PAGEREF _Toc631117755 \h </w:instrText>
          </w:r>
          <w:r>
            <w:fldChar w:fldCharType="separate"/>
          </w:r>
          <w:r>
            <w:t>148</w:t>
          </w:r>
          <w:r>
            <w:fldChar w:fldCharType="end"/>
          </w:r>
          <w:r>
            <w:rPr>
              <w:color w:val="auto"/>
              <w:highlight w:val="none"/>
            </w:rPr>
            <w:fldChar w:fldCharType="end"/>
          </w:r>
        </w:p>
        <w:p w14:paraId="7AD229A7">
          <w:pPr>
            <w:pStyle w:val="19"/>
            <w:tabs>
              <w:tab w:val="right" w:leader="dot" w:pos="9582"/>
            </w:tabs>
          </w:pPr>
          <w:r>
            <w:rPr>
              <w:color w:val="auto"/>
              <w:highlight w:val="none"/>
            </w:rPr>
            <w:fldChar w:fldCharType="begin"/>
          </w:r>
          <w:r>
            <w:rPr>
              <w:highlight w:val="none"/>
            </w:rPr>
            <w:instrText xml:space="preserve"> HYPERLINK \l _Toc426098787 </w:instrText>
          </w:r>
          <w:r>
            <w:rPr>
              <w:highlight w:val="none"/>
            </w:rPr>
            <w:fldChar w:fldCharType="separate"/>
          </w:r>
          <w:r>
            <w:rPr>
              <w:rFonts w:hint="eastAsia" w:asciiTheme="minorEastAsia" w:hAnsiTheme="minorEastAsia" w:eastAsiaTheme="minorEastAsia" w:cstheme="minorEastAsia"/>
              <w:bCs/>
              <w:kern w:val="0"/>
              <w:szCs w:val="21"/>
              <w:highlight w:val="none"/>
            </w:rPr>
            <w:t>《取水许可管理办法》案由3项</w:t>
          </w:r>
          <w:r>
            <w:tab/>
          </w:r>
          <w:r>
            <w:fldChar w:fldCharType="begin"/>
          </w:r>
          <w:r>
            <w:instrText xml:space="preserve"> PAGEREF _Toc426098787 \h </w:instrText>
          </w:r>
          <w:r>
            <w:fldChar w:fldCharType="separate"/>
          </w:r>
          <w:r>
            <w:t>149</w:t>
          </w:r>
          <w:r>
            <w:fldChar w:fldCharType="end"/>
          </w:r>
          <w:r>
            <w:rPr>
              <w:color w:val="auto"/>
              <w:highlight w:val="none"/>
            </w:rPr>
            <w:fldChar w:fldCharType="end"/>
          </w:r>
        </w:p>
        <w:p w14:paraId="08BFDA8A">
          <w:pPr>
            <w:pStyle w:val="19"/>
            <w:tabs>
              <w:tab w:val="right" w:leader="dot" w:pos="9582"/>
            </w:tabs>
          </w:pPr>
          <w:r>
            <w:rPr>
              <w:color w:val="auto"/>
              <w:highlight w:val="none"/>
            </w:rPr>
            <w:fldChar w:fldCharType="begin"/>
          </w:r>
          <w:r>
            <w:rPr>
              <w:highlight w:val="none"/>
            </w:rPr>
            <w:instrText xml:space="preserve"> HYPERLINK \l _Toc1254966562 </w:instrText>
          </w:r>
          <w:r>
            <w:rPr>
              <w:highlight w:val="none"/>
            </w:rPr>
            <w:fldChar w:fldCharType="separate"/>
          </w:r>
          <w:r>
            <w:rPr>
              <w:rFonts w:hint="eastAsia" w:asciiTheme="minorEastAsia" w:hAnsiTheme="minorEastAsia" w:eastAsiaTheme="minorEastAsia" w:cstheme="minorEastAsia"/>
              <w:bCs/>
              <w:kern w:val="0"/>
              <w:szCs w:val="21"/>
              <w:highlight w:val="none"/>
            </w:rPr>
            <w:t>《北京市实施</w:t>
          </w:r>
          <w:r>
            <w:rPr>
              <w:rFonts w:hint="eastAsia" w:ascii="仿宋" w:hAnsi="仿宋" w:eastAsia="仿宋" w:cs="仿宋"/>
              <w:bCs/>
              <w:kern w:val="0"/>
              <w:szCs w:val="21"/>
              <w:highlight w:val="none"/>
            </w:rPr>
            <w:t>&lt;</w:t>
          </w:r>
          <w:r>
            <w:rPr>
              <w:rFonts w:hint="eastAsia" w:asciiTheme="minorEastAsia" w:hAnsiTheme="minorEastAsia" w:eastAsiaTheme="minorEastAsia" w:cstheme="minorEastAsia"/>
              <w:bCs/>
              <w:kern w:val="0"/>
              <w:szCs w:val="21"/>
              <w:highlight w:val="none"/>
            </w:rPr>
            <w:t>中华人民共和国水法</w:t>
          </w:r>
          <w:r>
            <w:rPr>
              <w:rFonts w:hint="eastAsia" w:ascii="仿宋" w:hAnsi="仿宋" w:eastAsia="仿宋" w:cs="仿宋"/>
              <w:bCs/>
              <w:kern w:val="0"/>
              <w:szCs w:val="21"/>
              <w:highlight w:val="none"/>
            </w:rPr>
            <w:t>&gt;</w:t>
          </w:r>
          <w:r>
            <w:rPr>
              <w:rFonts w:hint="eastAsia" w:asciiTheme="minorEastAsia" w:hAnsiTheme="minorEastAsia" w:eastAsiaTheme="minorEastAsia" w:cstheme="minorEastAsia"/>
              <w:bCs/>
              <w:kern w:val="0"/>
              <w:szCs w:val="21"/>
              <w:highlight w:val="none"/>
            </w:rPr>
            <w:t>办法》案由1项</w:t>
          </w:r>
          <w:r>
            <w:tab/>
          </w:r>
          <w:r>
            <w:fldChar w:fldCharType="begin"/>
          </w:r>
          <w:r>
            <w:instrText xml:space="preserve"> PAGEREF _Toc1254966562 \h </w:instrText>
          </w:r>
          <w:r>
            <w:fldChar w:fldCharType="separate"/>
          </w:r>
          <w:r>
            <w:t>150</w:t>
          </w:r>
          <w:r>
            <w:fldChar w:fldCharType="end"/>
          </w:r>
          <w:r>
            <w:rPr>
              <w:color w:val="auto"/>
              <w:highlight w:val="none"/>
            </w:rPr>
            <w:fldChar w:fldCharType="end"/>
          </w:r>
        </w:p>
        <w:p w14:paraId="46E0738D">
          <w:pPr>
            <w:pStyle w:val="17"/>
            <w:tabs>
              <w:tab w:val="right" w:leader="dot" w:pos="9582"/>
            </w:tabs>
          </w:pPr>
          <w:r>
            <w:rPr>
              <w:color w:val="auto"/>
              <w:highlight w:val="none"/>
            </w:rPr>
            <w:fldChar w:fldCharType="begin"/>
          </w:r>
          <w:r>
            <w:rPr>
              <w:highlight w:val="none"/>
            </w:rPr>
            <w:instrText xml:space="preserve"> HYPERLINK \l _Toc1458697542 </w:instrText>
          </w:r>
          <w:r>
            <w:rPr>
              <w:highlight w:val="none"/>
            </w:rPr>
            <w:fldChar w:fldCharType="separate"/>
          </w:r>
          <w:r>
            <w:rPr>
              <w:rFonts w:hint="eastAsia" w:ascii="黑体" w:hAnsi="黑体" w:eastAsia="黑体" w:cs="黑体"/>
              <w:kern w:val="0"/>
              <w:szCs w:val="28"/>
              <w:highlight w:val="none"/>
            </w:rPr>
            <w:t>排水管理方面</w:t>
          </w:r>
          <w:r>
            <w:tab/>
          </w:r>
          <w:r>
            <w:fldChar w:fldCharType="begin"/>
          </w:r>
          <w:r>
            <w:instrText xml:space="preserve"> PAGEREF _Toc1458697542 \h </w:instrText>
          </w:r>
          <w:r>
            <w:fldChar w:fldCharType="separate"/>
          </w:r>
          <w:r>
            <w:t>150</w:t>
          </w:r>
          <w:r>
            <w:fldChar w:fldCharType="end"/>
          </w:r>
          <w:r>
            <w:rPr>
              <w:color w:val="auto"/>
              <w:highlight w:val="none"/>
            </w:rPr>
            <w:fldChar w:fldCharType="end"/>
          </w:r>
        </w:p>
        <w:p w14:paraId="3959EA63">
          <w:pPr>
            <w:pStyle w:val="19"/>
            <w:tabs>
              <w:tab w:val="right" w:leader="dot" w:pos="9582"/>
            </w:tabs>
          </w:pPr>
          <w:r>
            <w:rPr>
              <w:color w:val="auto"/>
              <w:highlight w:val="none"/>
            </w:rPr>
            <w:fldChar w:fldCharType="begin"/>
          </w:r>
          <w:r>
            <w:rPr>
              <w:highlight w:val="none"/>
            </w:rPr>
            <w:instrText xml:space="preserve"> HYPERLINK \l _Toc362276148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《中华人民共和国固体废物污染环境防治法》《城镇排水与污水处理条例》《中华人民共和国水污染防治法》案由2项</w:t>
          </w:r>
          <w:r>
            <w:tab/>
          </w:r>
          <w:r>
            <w:fldChar w:fldCharType="begin"/>
          </w:r>
          <w:r>
            <w:instrText xml:space="preserve"> PAGEREF _Toc362276148 \h </w:instrText>
          </w:r>
          <w:r>
            <w:fldChar w:fldCharType="separate"/>
          </w:r>
          <w:r>
            <w:t>150</w:t>
          </w:r>
          <w:r>
            <w:fldChar w:fldCharType="end"/>
          </w:r>
          <w:r>
            <w:rPr>
              <w:color w:val="auto"/>
              <w:highlight w:val="none"/>
            </w:rPr>
            <w:fldChar w:fldCharType="end"/>
          </w:r>
        </w:p>
        <w:p w14:paraId="7E4F00D7">
          <w:pPr>
            <w:pStyle w:val="19"/>
            <w:tabs>
              <w:tab w:val="right" w:leader="dot" w:pos="9582"/>
            </w:tabs>
          </w:pPr>
          <w:r>
            <w:rPr>
              <w:color w:val="auto"/>
              <w:highlight w:val="none"/>
            </w:rPr>
            <w:fldChar w:fldCharType="begin"/>
          </w:r>
          <w:r>
            <w:rPr>
              <w:highlight w:val="none"/>
            </w:rPr>
            <w:instrText xml:space="preserve"> HYPERLINK \l _Toc1412259458 </w:instrText>
          </w:r>
          <w:r>
            <w:rPr>
              <w:highlight w:val="none"/>
            </w:rPr>
            <w:fldChar w:fldCharType="separate"/>
          </w:r>
          <w:r>
            <w:rPr>
              <w:rFonts w:hint="eastAsia" w:asciiTheme="minorEastAsia" w:hAnsiTheme="minorEastAsia" w:eastAsiaTheme="minorEastAsia" w:cstheme="minorEastAsia"/>
              <w:bCs/>
              <w:kern w:val="0"/>
              <w:szCs w:val="21"/>
              <w:highlight w:val="none"/>
            </w:rPr>
            <w:t>《城镇排水与污水处理条例》《北京市排水和再生水管理办法》案由12项</w:t>
          </w:r>
          <w:r>
            <w:tab/>
          </w:r>
          <w:r>
            <w:fldChar w:fldCharType="begin"/>
          </w:r>
          <w:r>
            <w:instrText xml:space="preserve"> PAGEREF _Toc1412259458 \h </w:instrText>
          </w:r>
          <w:r>
            <w:fldChar w:fldCharType="separate"/>
          </w:r>
          <w:r>
            <w:t>151</w:t>
          </w:r>
          <w:r>
            <w:fldChar w:fldCharType="end"/>
          </w:r>
          <w:r>
            <w:rPr>
              <w:color w:val="auto"/>
              <w:highlight w:val="none"/>
            </w:rPr>
            <w:fldChar w:fldCharType="end"/>
          </w:r>
        </w:p>
        <w:p w14:paraId="09935515">
          <w:pPr>
            <w:pStyle w:val="19"/>
            <w:tabs>
              <w:tab w:val="right" w:leader="dot" w:pos="9582"/>
            </w:tabs>
          </w:pPr>
          <w:r>
            <w:rPr>
              <w:color w:val="auto"/>
              <w:highlight w:val="none"/>
            </w:rPr>
            <w:fldChar w:fldCharType="begin"/>
          </w:r>
          <w:r>
            <w:rPr>
              <w:highlight w:val="none"/>
            </w:rPr>
            <w:instrText xml:space="preserve"> HYPERLINK \l _Toc388286961 </w:instrText>
          </w:r>
          <w:r>
            <w:rPr>
              <w:highlight w:val="none"/>
            </w:rPr>
            <w:fldChar w:fldCharType="separate"/>
          </w:r>
          <w:r>
            <w:rPr>
              <w:rFonts w:hint="eastAsia" w:asciiTheme="minorEastAsia" w:hAnsiTheme="minorEastAsia" w:eastAsiaTheme="minorEastAsia" w:cstheme="minorEastAsia"/>
              <w:bCs/>
              <w:kern w:val="0"/>
              <w:szCs w:val="21"/>
              <w:highlight w:val="none"/>
            </w:rPr>
            <w:t>《城镇污水排入排水管网许可管理办法》《城镇排水与污水处理条例》案由10项</w:t>
          </w:r>
          <w:r>
            <w:tab/>
          </w:r>
          <w:r>
            <w:fldChar w:fldCharType="begin"/>
          </w:r>
          <w:r>
            <w:instrText xml:space="preserve"> PAGEREF _Toc388286961 \h </w:instrText>
          </w:r>
          <w:r>
            <w:fldChar w:fldCharType="separate"/>
          </w:r>
          <w:r>
            <w:t>155</w:t>
          </w:r>
          <w:r>
            <w:fldChar w:fldCharType="end"/>
          </w:r>
          <w:r>
            <w:rPr>
              <w:color w:val="auto"/>
              <w:highlight w:val="none"/>
            </w:rPr>
            <w:fldChar w:fldCharType="end"/>
          </w:r>
        </w:p>
        <w:p w14:paraId="7555B0E4">
          <w:pPr>
            <w:pStyle w:val="19"/>
            <w:tabs>
              <w:tab w:val="right" w:leader="dot" w:pos="9582"/>
            </w:tabs>
          </w:pPr>
          <w:r>
            <w:rPr>
              <w:color w:val="auto"/>
              <w:highlight w:val="none"/>
            </w:rPr>
            <w:fldChar w:fldCharType="begin"/>
          </w:r>
          <w:r>
            <w:rPr>
              <w:highlight w:val="none"/>
            </w:rPr>
            <w:instrText xml:space="preserve"> HYPERLINK \l _Toc1231717511 </w:instrText>
          </w:r>
          <w:r>
            <w:rPr>
              <w:highlight w:val="none"/>
            </w:rPr>
            <w:fldChar w:fldCharType="separate"/>
          </w:r>
          <w:r>
            <w:rPr>
              <w:rFonts w:hint="eastAsia" w:asciiTheme="minorEastAsia" w:hAnsiTheme="minorEastAsia" w:eastAsiaTheme="minorEastAsia" w:cstheme="minorEastAsia"/>
              <w:bCs/>
              <w:kern w:val="0"/>
              <w:szCs w:val="21"/>
              <w:highlight w:val="none"/>
            </w:rPr>
            <w:t>《北京市水污染防治条例》案由1项</w:t>
          </w:r>
          <w:r>
            <w:tab/>
          </w:r>
          <w:r>
            <w:fldChar w:fldCharType="begin"/>
          </w:r>
          <w:r>
            <w:instrText xml:space="preserve"> PAGEREF _Toc1231717511 \h </w:instrText>
          </w:r>
          <w:r>
            <w:fldChar w:fldCharType="separate"/>
          </w:r>
          <w:r>
            <w:t>160</w:t>
          </w:r>
          <w:r>
            <w:fldChar w:fldCharType="end"/>
          </w:r>
          <w:r>
            <w:rPr>
              <w:color w:val="auto"/>
              <w:highlight w:val="none"/>
            </w:rPr>
            <w:fldChar w:fldCharType="end"/>
          </w:r>
        </w:p>
        <w:p w14:paraId="2A90EAEA">
          <w:pPr>
            <w:pStyle w:val="19"/>
            <w:tabs>
              <w:tab w:val="right" w:leader="dot" w:pos="9582"/>
            </w:tabs>
          </w:pPr>
          <w:r>
            <w:rPr>
              <w:color w:val="auto"/>
              <w:highlight w:val="none"/>
            </w:rPr>
            <w:fldChar w:fldCharType="begin"/>
          </w:r>
          <w:r>
            <w:rPr>
              <w:highlight w:val="none"/>
            </w:rPr>
            <w:instrText xml:space="preserve"> HYPERLINK \l _Toc429734999 </w:instrText>
          </w:r>
          <w:r>
            <w:rPr>
              <w:highlight w:val="none"/>
            </w:rPr>
            <w:fldChar w:fldCharType="separate"/>
          </w:r>
          <w:r>
            <w:rPr>
              <w:rFonts w:hint="eastAsia" w:asciiTheme="minorEastAsia" w:hAnsiTheme="minorEastAsia" w:eastAsiaTheme="minorEastAsia" w:cstheme="minorEastAsia"/>
              <w:bCs/>
              <w:kern w:val="0"/>
              <w:szCs w:val="21"/>
              <w:highlight w:val="none"/>
            </w:rPr>
            <w:t>《北京市排水和再生水管理办法》案由9项</w:t>
          </w:r>
          <w:r>
            <w:tab/>
          </w:r>
          <w:r>
            <w:fldChar w:fldCharType="begin"/>
          </w:r>
          <w:r>
            <w:instrText xml:space="preserve"> PAGEREF _Toc429734999 \h </w:instrText>
          </w:r>
          <w:r>
            <w:fldChar w:fldCharType="separate"/>
          </w:r>
          <w:r>
            <w:t>160</w:t>
          </w:r>
          <w:r>
            <w:fldChar w:fldCharType="end"/>
          </w:r>
          <w:r>
            <w:rPr>
              <w:color w:val="auto"/>
              <w:highlight w:val="none"/>
            </w:rPr>
            <w:fldChar w:fldCharType="end"/>
          </w:r>
        </w:p>
        <w:p w14:paraId="5DF78006">
          <w:pPr>
            <w:pStyle w:val="17"/>
            <w:tabs>
              <w:tab w:val="right" w:leader="dot" w:pos="9582"/>
            </w:tabs>
          </w:pPr>
          <w:r>
            <w:rPr>
              <w:color w:val="auto"/>
              <w:highlight w:val="none"/>
            </w:rPr>
            <w:fldChar w:fldCharType="begin"/>
          </w:r>
          <w:r>
            <w:rPr>
              <w:highlight w:val="none"/>
            </w:rPr>
            <w:instrText xml:space="preserve"> HYPERLINK \l _Toc2046572503 </w:instrText>
          </w:r>
          <w:r>
            <w:rPr>
              <w:highlight w:val="none"/>
            </w:rPr>
            <w:fldChar w:fldCharType="separate"/>
          </w:r>
          <w:r>
            <w:rPr>
              <w:rFonts w:hint="eastAsia" w:ascii="黑体" w:hAnsi="黑体" w:eastAsia="黑体" w:cs="黑体"/>
              <w:kern w:val="0"/>
              <w:szCs w:val="28"/>
              <w:highlight w:val="none"/>
            </w:rPr>
            <w:t>供水管理方面</w:t>
          </w:r>
          <w:r>
            <w:tab/>
          </w:r>
          <w:r>
            <w:fldChar w:fldCharType="begin"/>
          </w:r>
          <w:r>
            <w:instrText xml:space="preserve"> PAGEREF _Toc2046572503 \h </w:instrText>
          </w:r>
          <w:r>
            <w:fldChar w:fldCharType="separate"/>
          </w:r>
          <w:r>
            <w:t>162</w:t>
          </w:r>
          <w:r>
            <w:fldChar w:fldCharType="end"/>
          </w:r>
          <w:r>
            <w:rPr>
              <w:color w:val="auto"/>
              <w:highlight w:val="none"/>
            </w:rPr>
            <w:fldChar w:fldCharType="end"/>
          </w:r>
        </w:p>
        <w:p w14:paraId="5A4A8ECE">
          <w:pPr>
            <w:pStyle w:val="19"/>
            <w:tabs>
              <w:tab w:val="right" w:leader="dot" w:pos="9582"/>
            </w:tabs>
          </w:pPr>
          <w:r>
            <w:rPr>
              <w:color w:val="auto"/>
              <w:highlight w:val="none"/>
            </w:rPr>
            <w:fldChar w:fldCharType="begin"/>
          </w:r>
          <w:r>
            <w:rPr>
              <w:highlight w:val="none"/>
            </w:rPr>
            <w:instrText xml:space="preserve"> HYPERLINK \l _Toc340381822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《中华人民共和国水污染防治法》《城市供水条例》《北京市自建设施供水管理办法》《北京市城市公共供水管理办法》案由1项</w:t>
          </w:r>
          <w:r>
            <w:tab/>
          </w:r>
          <w:r>
            <w:fldChar w:fldCharType="begin"/>
          </w:r>
          <w:r>
            <w:instrText xml:space="preserve"> PAGEREF _Toc340381822 \h </w:instrText>
          </w:r>
          <w:r>
            <w:fldChar w:fldCharType="separate"/>
          </w:r>
          <w:r>
            <w:t>162</w:t>
          </w:r>
          <w:r>
            <w:fldChar w:fldCharType="end"/>
          </w:r>
          <w:r>
            <w:rPr>
              <w:color w:val="auto"/>
              <w:highlight w:val="none"/>
            </w:rPr>
            <w:fldChar w:fldCharType="end"/>
          </w:r>
        </w:p>
        <w:p w14:paraId="31E390A6">
          <w:pPr>
            <w:pStyle w:val="19"/>
            <w:tabs>
              <w:tab w:val="right" w:leader="dot" w:pos="9582"/>
            </w:tabs>
          </w:pPr>
          <w:r>
            <w:rPr>
              <w:color w:val="auto"/>
              <w:highlight w:val="none"/>
            </w:rPr>
            <w:fldChar w:fldCharType="begin"/>
          </w:r>
          <w:r>
            <w:rPr>
              <w:highlight w:val="none"/>
            </w:rPr>
            <w:instrText xml:space="preserve"> HYPERLINK \l _Toc42767120 </w:instrText>
          </w:r>
          <w:r>
            <w:rPr>
              <w:highlight w:val="none"/>
            </w:rPr>
            <w:fldChar w:fldCharType="separate"/>
          </w:r>
          <w:r>
            <w:rPr>
              <w:rFonts w:hint="eastAsia" w:asciiTheme="minorEastAsia" w:hAnsiTheme="minorEastAsia" w:eastAsiaTheme="minorEastAsia" w:cstheme="minorEastAsia"/>
              <w:bCs/>
              <w:kern w:val="0"/>
              <w:szCs w:val="21"/>
              <w:highlight w:val="none"/>
            </w:rPr>
            <w:t>《城市供水条例》《建设工程质量管理条例》《北京市城市公共供水管理办法》案由4项</w:t>
          </w:r>
          <w:r>
            <w:tab/>
          </w:r>
          <w:r>
            <w:fldChar w:fldCharType="begin"/>
          </w:r>
          <w:r>
            <w:instrText xml:space="preserve"> PAGEREF _Toc42767120 \h </w:instrText>
          </w:r>
          <w:r>
            <w:fldChar w:fldCharType="separate"/>
          </w:r>
          <w:r>
            <w:t>162</w:t>
          </w:r>
          <w:r>
            <w:fldChar w:fldCharType="end"/>
          </w:r>
          <w:r>
            <w:rPr>
              <w:color w:val="auto"/>
              <w:highlight w:val="none"/>
            </w:rPr>
            <w:fldChar w:fldCharType="end"/>
          </w:r>
        </w:p>
        <w:p w14:paraId="5BDA1A5A">
          <w:pPr>
            <w:pStyle w:val="19"/>
            <w:tabs>
              <w:tab w:val="right" w:leader="dot" w:pos="9582"/>
            </w:tabs>
          </w:pPr>
          <w:r>
            <w:rPr>
              <w:color w:val="auto"/>
              <w:highlight w:val="none"/>
            </w:rPr>
            <w:fldChar w:fldCharType="begin"/>
          </w:r>
          <w:r>
            <w:rPr>
              <w:highlight w:val="none"/>
            </w:rPr>
            <w:instrText xml:space="preserve"> HYPERLINK \l _Toc1549297222 </w:instrText>
          </w:r>
          <w:r>
            <w:rPr>
              <w:highlight w:val="none"/>
            </w:rPr>
            <w:fldChar w:fldCharType="separate"/>
          </w:r>
          <w:r>
            <w:rPr>
              <w:rFonts w:hint="eastAsia" w:asciiTheme="minorEastAsia" w:hAnsiTheme="minorEastAsia" w:eastAsiaTheme="minorEastAsia" w:cstheme="minorEastAsia"/>
              <w:bCs/>
              <w:kern w:val="0"/>
              <w:szCs w:val="21"/>
              <w:highlight w:val="none"/>
            </w:rPr>
            <w:t>《城市供水水质管理规定》案由9项</w:t>
          </w:r>
          <w:r>
            <w:tab/>
          </w:r>
          <w:r>
            <w:fldChar w:fldCharType="begin"/>
          </w:r>
          <w:r>
            <w:instrText xml:space="preserve"> PAGEREF _Toc1549297222 \h </w:instrText>
          </w:r>
          <w:r>
            <w:fldChar w:fldCharType="separate"/>
          </w:r>
          <w:r>
            <w:t>164</w:t>
          </w:r>
          <w:r>
            <w:fldChar w:fldCharType="end"/>
          </w:r>
          <w:r>
            <w:rPr>
              <w:color w:val="auto"/>
              <w:highlight w:val="none"/>
            </w:rPr>
            <w:fldChar w:fldCharType="end"/>
          </w:r>
        </w:p>
        <w:p w14:paraId="0CFAC86B">
          <w:pPr>
            <w:pStyle w:val="19"/>
            <w:tabs>
              <w:tab w:val="right" w:leader="dot" w:pos="9582"/>
            </w:tabs>
          </w:pPr>
          <w:r>
            <w:rPr>
              <w:color w:val="auto"/>
              <w:highlight w:val="none"/>
            </w:rPr>
            <w:fldChar w:fldCharType="begin"/>
          </w:r>
          <w:r>
            <w:rPr>
              <w:highlight w:val="none"/>
            </w:rPr>
            <w:instrText xml:space="preserve"> HYPERLINK \l _Toc491124558 </w:instrText>
          </w:r>
          <w:r>
            <w:rPr>
              <w:highlight w:val="none"/>
            </w:rPr>
            <w:fldChar w:fldCharType="separate"/>
          </w:r>
          <w:r>
            <w:rPr>
              <w:rFonts w:hint="eastAsia" w:asciiTheme="minorEastAsia" w:hAnsiTheme="minorEastAsia" w:eastAsiaTheme="minorEastAsia" w:cstheme="minorEastAsia"/>
              <w:bCs/>
              <w:kern w:val="0"/>
              <w:szCs w:val="21"/>
              <w:highlight w:val="none"/>
            </w:rPr>
            <w:t>《生活饮用水卫生监督管理办法》案由2项</w:t>
          </w:r>
          <w:r>
            <w:tab/>
          </w:r>
          <w:r>
            <w:fldChar w:fldCharType="begin"/>
          </w:r>
          <w:r>
            <w:instrText xml:space="preserve"> PAGEREF _Toc491124558 \h </w:instrText>
          </w:r>
          <w:r>
            <w:fldChar w:fldCharType="separate"/>
          </w:r>
          <w:r>
            <w:t>165</w:t>
          </w:r>
          <w:r>
            <w:fldChar w:fldCharType="end"/>
          </w:r>
          <w:r>
            <w:rPr>
              <w:color w:val="auto"/>
              <w:highlight w:val="none"/>
            </w:rPr>
            <w:fldChar w:fldCharType="end"/>
          </w:r>
        </w:p>
        <w:p w14:paraId="6ED058B3">
          <w:pPr>
            <w:pStyle w:val="19"/>
            <w:tabs>
              <w:tab w:val="right" w:leader="dot" w:pos="9582"/>
            </w:tabs>
          </w:pPr>
          <w:r>
            <w:rPr>
              <w:color w:val="auto"/>
              <w:highlight w:val="none"/>
            </w:rPr>
            <w:fldChar w:fldCharType="begin"/>
          </w:r>
          <w:r>
            <w:rPr>
              <w:highlight w:val="none"/>
            </w:rPr>
            <w:instrText xml:space="preserve"> HYPERLINK \l _Toc38190637 </w:instrText>
          </w:r>
          <w:r>
            <w:rPr>
              <w:highlight w:val="none"/>
            </w:rPr>
            <w:fldChar w:fldCharType="separate"/>
          </w:r>
          <w:r>
            <w:rPr>
              <w:rFonts w:hint="eastAsia" w:asciiTheme="minorEastAsia" w:hAnsiTheme="minorEastAsia" w:eastAsiaTheme="minorEastAsia" w:cstheme="minorEastAsia"/>
              <w:bCs/>
              <w:kern w:val="0"/>
              <w:szCs w:val="21"/>
              <w:highlight w:val="none"/>
            </w:rPr>
            <w:t>《北京市节水条例》案由7项</w:t>
          </w:r>
          <w:r>
            <w:tab/>
          </w:r>
          <w:r>
            <w:fldChar w:fldCharType="begin"/>
          </w:r>
          <w:r>
            <w:instrText xml:space="preserve"> PAGEREF _Toc38190637 \h </w:instrText>
          </w:r>
          <w:r>
            <w:fldChar w:fldCharType="separate"/>
          </w:r>
          <w:r>
            <w:t>165</w:t>
          </w:r>
          <w:r>
            <w:fldChar w:fldCharType="end"/>
          </w:r>
          <w:r>
            <w:rPr>
              <w:color w:val="auto"/>
              <w:highlight w:val="none"/>
            </w:rPr>
            <w:fldChar w:fldCharType="end"/>
          </w:r>
        </w:p>
        <w:p w14:paraId="36F97C09">
          <w:pPr>
            <w:pStyle w:val="19"/>
            <w:tabs>
              <w:tab w:val="right" w:leader="dot" w:pos="9582"/>
            </w:tabs>
          </w:pPr>
          <w:r>
            <w:rPr>
              <w:color w:val="auto"/>
              <w:highlight w:val="none"/>
            </w:rPr>
            <w:fldChar w:fldCharType="begin"/>
          </w:r>
          <w:r>
            <w:rPr>
              <w:highlight w:val="none"/>
            </w:rPr>
            <w:instrText xml:space="preserve"> HYPERLINK \l _Toc656996450 </w:instrText>
          </w:r>
          <w:r>
            <w:rPr>
              <w:highlight w:val="none"/>
            </w:rPr>
            <w:fldChar w:fldCharType="separate"/>
          </w:r>
          <w:r>
            <w:rPr>
              <w:rFonts w:hint="eastAsia" w:asciiTheme="minorEastAsia" w:hAnsiTheme="minorEastAsia" w:eastAsiaTheme="minorEastAsia" w:cstheme="minorEastAsia"/>
              <w:bCs/>
              <w:kern w:val="0"/>
              <w:szCs w:val="21"/>
              <w:highlight w:val="none"/>
            </w:rPr>
            <w:t>《北京市物业管理条例》案由1项</w:t>
          </w:r>
          <w:r>
            <w:tab/>
          </w:r>
          <w:r>
            <w:fldChar w:fldCharType="begin"/>
          </w:r>
          <w:r>
            <w:instrText xml:space="preserve"> PAGEREF _Toc656996450 \h </w:instrText>
          </w:r>
          <w:r>
            <w:fldChar w:fldCharType="separate"/>
          </w:r>
          <w:r>
            <w:t>168</w:t>
          </w:r>
          <w:r>
            <w:fldChar w:fldCharType="end"/>
          </w:r>
          <w:r>
            <w:rPr>
              <w:color w:val="auto"/>
              <w:highlight w:val="none"/>
            </w:rPr>
            <w:fldChar w:fldCharType="end"/>
          </w:r>
        </w:p>
        <w:p w14:paraId="7C347D3B">
          <w:pPr>
            <w:pStyle w:val="19"/>
            <w:tabs>
              <w:tab w:val="right" w:leader="dot" w:pos="9582"/>
            </w:tabs>
          </w:pPr>
          <w:r>
            <w:rPr>
              <w:color w:val="auto"/>
              <w:highlight w:val="none"/>
            </w:rPr>
            <w:fldChar w:fldCharType="begin"/>
          </w:r>
          <w:r>
            <w:rPr>
              <w:highlight w:val="none"/>
            </w:rPr>
            <w:instrText xml:space="preserve"> HYPERLINK \l _Toc557309740 </w:instrText>
          </w:r>
          <w:r>
            <w:rPr>
              <w:highlight w:val="none"/>
            </w:rPr>
            <w:fldChar w:fldCharType="separate"/>
          </w:r>
          <w:r>
            <w:rPr>
              <w:rFonts w:hint="eastAsia" w:asciiTheme="minorEastAsia" w:hAnsiTheme="minorEastAsia" w:eastAsiaTheme="minorEastAsia" w:cstheme="minorEastAsia"/>
              <w:bCs/>
              <w:kern w:val="0"/>
              <w:szCs w:val="21"/>
              <w:highlight w:val="none"/>
            </w:rPr>
            <w:t>《北京市城市公共供水管理办法》案由7项</w:t>
          </w:r>
          <w:r>
            <w:tab/>
          </w:r>
          <w:r>
            <w:fldChar w:fldCharType="begin"/>
          </w:r>
          <w:r>
            <w:instrText xml:space="preserve"> PAGEREF _Toc557309740 \h </w:instrText>
          </w:r>
          <w:r>
            <w:fldChar w:fldCharType="separate"/>
          </w:r>
          <w:r>
            <w:t>168</w:t>
          </w:r>
          <w:r>
            <w:fldChar w:fldCharType="end"/>
          </w:r>
          <w:r>
            <w:rPr>
              <w:color w:val="auto"/>
              <w:highlight w:val="none"/>
            </w:rPr>
            <w:fldChar w:fldCharType="end"/>
          </w:r>
        </w:p>
        <w:p w14:paraId="68831212">
          <w:pPr>
            <w:pStyle w:val="19"/>
            <w:tabs>
              <w:tab w:val="right" w:leader="dot" w:pos="9582"/>
            </w:tabs>
          </w:pPr>
          <w:r>
            <w:rPr>
              <w:color w:val="auto"/>
              <w:highlight w:val="none"/>
            </w:rPr>
            <w:fldChar w:fldCharType="begin"/>
          </w:r>
          <w:r>
            <w:rPr>
              <w:highlight w:val="none"/>
            </w:rPr>
            <w:instrText xml:space="preserve"> HYPERLINK \l _Toc121246374 </w:instrText>
          </w:r>
          <w:r>
            <w:rPr>
              <w:highlight w:val="none"/>
            </w:rPr>
            <w:fldChar w:fldCharType="separate"/>
          </w:r>
          <w:r>
            <w:rPr>
              <w:rFonts w:hint="eastAsia" w:asciiTheme="minorEastAsia" w:hAnsiTheme="minorEastAsia" w:eastAsiaTheme="minorEastAsia" w:cstheme="minorEastAsia"/>
              <w:bCs/>
              <w:kern w:val="0"/>
              <w:szCs w:val="21"/>
              <w:highlight w:val="none"/>
            </w:rPr>
            <w:t>《北京市自建设施供水管理办法》《城市供水条例》案由3项</w:t>
          </w:r>
          <w:r>
            <w:tab/>
          </w:r>
          <w:r>
            <w:fldChar w:fldCharType="begin"/>
          </w:r>
          <w:r>
            <w:instrText xml:space="preserve"> PAGEREF _Toc121246374 \h </w:instrText>
          </w:r>
          <w:r>
            <w:fldChar w:fldCharType="separate"/>
          </w:r>
          <w:r>
            <w:t>170</w:t>
          </w:r>
          <w:r>
            <w:fldChar w:fldCharType="end"/>
          </w:r>
          <w:r>
            <w:rPr>
              <w:color w:val="auto"/>
              <w:highlight w:val="none"/>
            </w:rPr>
            <w:fldChar w:fldCharType="end"/>
          </w:r>
        </w:p>
        <w:p w14:paraId="7FA11E7A">
          <w:pPr>
            <w:pStyle w:val="17"/>
            <w:tabs>
              <w:tab w:val="right" w:leader="dot" w:pos="9582"/>
            </w:tabs>
          </w:pPr>
          <w:r>
            <w:rPr>
              <w:color w:val="auto"/>
              <w:highlight w:val="none"/>
            </w:rPr>
            <w:fldChar w:fldCharType="begin"/>
          </w:r>
          <w:r>
            <w:rPr>
              <w:highlight w:val="none"/>
            </w:rPr>
            <w:instrText xml:space="preserve"> HYPERLINK \l _Toc2032251055 </w:instrText>
          </w:r>
          <w:r>
            <w:rPr>
              <w:highlight w:val="none"/>
            </w:rPr>
            <w:fldChar w:fldCharType="separate"/>
          </w:r>
          <w:r>
            <w:rPr>
              <w:rFonts w:hint="eastAsia" w:ascii="黑体" w:hAnsi="黑体" w:eastAsia="黑体" w:cs="黑体"/>
              <w:kern w:val="0"/>
              <w:szCs w:val="28"/>
              <w:highlight w:val="none"/>
            </w:rPr>
            <w:t>水环境管理方面</w:t>
          </w:r>
          <w:r>
            <w:tab/>
          </w:r>
          <w:r>
            <w:fldChar w:fldCharType="begin"/>
          </w:r>
          <w:r>
            <w:instrText xml:space="preserve"> PAGEREF _Toc2032251055 \h </w:instrText>
          </w:r>
          <w:r>
            <w:fldChar w:fldCharType="separate"/>
          </w:r>
          <w:r>
            <w:t>171</w:t>
          </w:r>
          <w:r>
            <w:fldChar w:fldCharType="end"/>
          </w:r>
          <w:r>
            <w:rPr>
              <w:color w:val="auto"/>
              <w:highlight w:val="none"/>
            </w:rPr>
            <w:fldChar w:fldCharType="end"/>
          </w:r>
        </w:p>
        <w:p w14:paraId="2426A430">
          <w:pPr>
            <w:pStyle w:val="19"/>
            <w:tabs>
              <w:tab w:val="right" w:leader="dot" w:pos="9582"/>
            </w:tabs>
          </w:pPr>
          <w:r>
            <w:rPr>
              <w:color w:val="auto"/>
              <w:highlight w:val="none"/>
            </w:rPr>
            <w:fldChar w:fldCharType="begin"/>
          </w:r>
          <w:r>
            <w:rPr>
              <w:highlight w:val="none"/>
            </w:rPr>
            <w:instrText xml:space="preserve"> HYPERLINK \l _Toc2135085845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《中华人民共和国防洪法》《中华人民共和国水法》《北京市河湖保护管理条例》案由2项</w:t>
          </w:r>
          <w:r>
            <w:tab/>
          </w:r>
          <w:r>
            <w:fldChar w:fldCharType="begin"/>
          </w:r>
          <w:r>
            <w:instrText xml:space="preserve"> PAGEREF _Toc2135085845 \h </w:instrText>
          </w:r>
          <w:r>
            <w:fldChar w:fldCharType="separate"/>
          </w:r>
          <w:r>
            <w:t>171</w:t>
          </w:r>
          <w:r>
            <w:fldChar w:fldCharType="end"/>
          </w:r>
          <w:r>
            <w:rPr>
              <w:color w:val="auto"/>
              <w:highlight w:val="none"/>
            </w:rPr>
            <w:fldChar w:fldCharType="end"/>
          </w:r>
        </w:p>
        <w:p w14:paraId="615C343F">
          <w:pPr>
            <w:pStyle w:val="19"/>
            <w:tabs>
              <w:tab w:val="right" w:leader="dot" w:pos="9582"/>
            </w:tabs>
          </w:pPr>
          <w:r>
            <w:rPr>
              <w:color w:val="auto"/>
              <w:highlight w:val="none"/>
            </w:rPr>
            <w:fldChar w:fldCharType="begin"/>
          </w:r>
          <w:r>
            <w:rPr>
              <w:highlight w:val="none"/>
            </w:rPr>
            <w:instrText xml:space="preserve"> HYPERLINK \l _Toc127862157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《中华人民共和国水污染防治法》案由1项</w:t>
          </w:r>
          <w:r>
            <w:tab/>
          </w:r>
          <w:r>
            <w:fldChar w:fldCharType="begin"/>
          </w:r>
          <w:r>
            <w:instrText xml:space="preserve"> PAGEREF _Toc127862157 \h </w:instrText>
          </w:r>
          <w:r>
            <w:fldChar w:fldCharType="separate"/>
          </w:r>
          <w:r>
            <w:t>171</w:t>
          </w:r>
          <w:r>
            <w:fldChar w:fldCharType="end"/>
          </w:r>
          <w:r>
            <w:rPr>
              <w:color w:val="auto"/>
              <w:highlight w:val="none"/>
            </w:rPr>
            <w:fldChar w:fldCharType="end"/>
          </w:r>
        </w:p>
        <w:p w14:paraId="670CE657">
          <w:pPr>
            <w:pStyle w:val="19"/>
            <w:tabs>
              <w:tab w:val="right" w:leader="dot" w:pos="9582"/>
            </w:tabs>
          </w:pPr>
          <w:r>
            <w:rPr>
              <w:color w:val="auto"/>
              <w:highlight w:val="none"/>
            </w:rPr>
            <w:fldChar w:fldCharType="begin"/>
          </w:r>
          <w:r>
            <w:rPr>
              <w:highlight w:val="none"/>
            </w:rPr>
            <w:instrText xml:space="preserve"> HYPERLINK \l _Toc1082822815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《中华人民共和国河道管理条例》《北京市河湖保护管理条例》案由2项</w:t>
          </w:r>
          <w:r>
            <w:tab/>
          </w:r>
          <w:r>
            <w:fldChar w:fldCharType="begin"/>
          </w:r>
          <w:r>
            <w:instrText xml:space="preserve"> PAGEREF _Toc1082822815 \h </w:instrText>
          </w:r>
          <w:r>
            <w:fldChar w:fldCharType="separate"/>
          </w:r>
          <w:r>
            <w:t>172</w:t>
          </w:r>
          <w:r>
            <w:fldChar w:fldCharType="end"/>
          </w:r>
          <w:r>
            <w:rPr>
              <w:color w:val="auto"/>
              <w:highlight w:val="none"/>
            </w:rPr>
            <w:fldChar w:fldCharType="end"/>
          </w:r>
        </w:p>
        <w:p w14:paraId="233C2554">
          <w:pPr>
            <w:pStyle w:val="19"/>
            <w:tabs>
              <w:tab w:val="right" w:leader="dot" w:pos="9582"/>
            </w:tabs>
          </w:pPr>
          <w:r>
            <w:rPr>
              <w:color w:val="auto"/>
              <w:highlight w:val="none"/>
            </w:rPr>
            <w:fldChar w:fldCharType="begin"/>
          </w:r>
          <w:r>
            <w:rPr>
              <w:highlight w:val="none"/>
            </w:rPr>
            <w:instrText xml:space="preserve"> HYPERLINK \l _Toc32530988 </w:instrText>
          </w:r>
          <w:r>
            <w:rPr>
              <w:highlight w:val="none"/>
            </w:rPr>
            <w:fldChar w:fldCharType="separate"/>
          </w:r>
          <w:r>
            <w:rPr>
              <w:rFonts w:hint="eastAsia" w:asciiTheme="minorEastAsia" w:hAnsiTheme="minorEastAsia" w:eastAsiaTheme="minorEastAsia" w:cstheme="minorEastAsia"/>
              <w:bCs/>
              <w:kern w:val="0"/>
              <w:szCs w:val="21"/>
              <w:highlight w:val="none"/>
            </w:rPr>
            <w:t>《公路安全保护条例》案由1项</w:t>
          </w:r>
          <w:r>
            <w:tab/>
          </w:r>
          <w:r>
            <w:fldChar w:fldCharType="begin"/>
          </w:r>
          <w:r>
            <w:instrText xml:space="preserve"> PAGEREF _Toc32530988 \h </w:instrText>
          </w:r>
          <w:r>
            <w:fldChar w:fldCharType="separate"/>
          </w:r>
          <w:r>
            <w:t>172</w:t>
          </w:r>
          <w:r>
            <w:fldChar w:fldCharType="end"/>
          </w:r>
          <w:r>
            <w:rPr>
              <w:color w:val="auto"/>
              <w:highlight w:val="none"/>
            </w:rPr>
            <w:fldChar w:fldCharType="end"/>
          </w:r>
        </w:p>
        <w:p w14:paraId="6E1844BA">
          <w:pPr>
            <w:pStyle w:val="19"/>
            <w:tabs>
              <w:tab w:val="right" w:leader="dot" w:pos="9582"/>
            </w:tabs>
          </w:pPr>
          <w:r>
            <w:rPr>
              <w:color w:val="auto"/>
              <w:highlight w:val="none"/>
            </w:rPr>
            <w:fldChar w:fldCharType="begin"/>
          </w:r>
          <w:r>
            <w:rPr>
              <w:highlight w:val="none"/>
            </w:rPr>
            <w:instrText xml:space="preserve"> HYPERLINK \l _Toc1090376351 </w:instrText>
          </w:r>
          <w:r>
            <w:rPr>
              <w:highlight w:val="none"/>
            </w:rPr>
            <w:fldChar w:fldCharType="separate"/>
          </w:r>
          <w:r>
            <w:rPr>
              <w:rFonts w:hint="eastAsia" w:asciiTheme="minorEastAsia" w:hAnsiTheme="minorEastAsia" w:eastAsiaTheme="minorEastAsia" w:cstheme="minorEastAsia"/>
              <w:bCs/>
              <w:kern w:val="0"/>
              <w:szCs w:val="21"/>
              <w:highlight w:val="none"/>
            </w:rPr>
            <w:t>《北京市河湖保护管理条例》案由4项</w:t>
          </w:r>
          <w:r>
            <w:tab/>
          </w:r>
          <w:r>
            <w:fldChar w:fldCharType="begin"/>
          </w:r>
          <w:r>
            <w:instrText xml:space="preserve"> PAGEREF _Toc1090376351 \h </w:instrText>
          </w:r>
          <w:r>
            <w:fldChar w:fldCharType="separate"/>
          </w:r>
          <w:r>
            <w:t>172</w:t>
          </w:r>
          <w:r>
            <w:fldChar w:fldCharType="end"/>
          </w:r>
          <w:r>
            <w:rPr>
              <w:color w:val="auto"/>
              <w:highlight w:val="none"/>
            </w:rPr>
            <w:fldChar w:fldCharType="end"/>
          </w:r>
        </w:p>
        <w:p w14:paraId="39C9D7EE">
          <w:pPr>
            <w:pStyle w:val="19"/>
            <w:tabs>
              <w:tab w:val="right" w:leader="dot" w:pos="9582"/>
            </w:tabs>
          </w:pPr>
          <w:r>
            <w:rPr>
              <w:color w:val="auto"/>
              <w:highlight w:val="none"/>
            </w:rPr>
            <w:fldChar w:fldCharType="begin"/>
          </w:r>
          <w:r>
            <w:rPr>
              <w:highlight w:val="none"/>
            </w:rPr>
            <w:instrText xml:space="preserve"> HYPERLINK \l _Toc196076589 </w:instrText>
          </w:r>
          <w:r>
            <w:rPr>
              <w:highlight w:val="none"/>
            </w:rPr>
            <w:fldChar w:fldCharType="separate"/>
          </w:r>
          <w:r>
            <w:rPr>
              <w:rFonts w:hint="eastAsia" w:asciiTheme="minorEastAsia" w:hAnsiTheme="minorEastAsia" w:eastAsiaTheme="minorEastAsia" w:cstheme="minorEastAsia"/>
              <w:bCs/>
              <w:kern w:val="0"/>
              <w:szCs w:val="21"/>
              <w:highlight w:val="none"/>
            </w:rPr>
            <w:t>《北京市湿地保护条例》案由8项</w:t>
          </w:r>
          <w:r>
            <w:tab/>
          </w:r>
          <w:r>
            <w:fldChar w:fldCharType="begin"/>
          </w:r>
          <w:r>
            <w:instrText xml:space="preserve"> PAGEREF _Toc196076589 \h </w:instrText>
          </w:r>
          <w:r>
            <w:fldChar w:fldCharType="separate"/>
          </w:r>
          <w:r>
            <w:t>173</w:t>
          </w:r>
          <w:r>
            <w:fldChar w:fldCharType="end"/>
          </w:r>
          <w:r>
            <w:rPr>
              <w:color w:val="auto"/>
              <w:highlight w:val="none"/>
            </w:rPr>
            <w:fldChar w:fldCharType="end"/>
          </w:r>
        </w:p>
        <w:p w14:paraId="0D987709">
          <w:pPr>
            <w:pStyle w:val="19"/>
            <w:tabs>
              <w:tab w:val="right" w:leader="dot" w:pos="9582"/>
            </w:tabs>
          </w:pPr>
          <w:r>
            <w:rPr>
              <w:color w:val="auto"/>
              <w:highlight w:val="none"/>
            </w:rPr>
            <w:fldChar w:fldCharType="begin"/>
          </w:r>
          <w:r>
            <w:rPr>
              <w:highlight w:val="none"/>
            </w:rPr>
            <w:instrText xml:space="preserve"> HYPERLINK \l _Toc24614177 </w:instrText>
          </w:r>
          <w:r>
            <w:rPr>
              <w:highlight w:val="none"/>
            </w:rPr>
            <w:fldChar w:fldCharType="separate"/>
          </w:r>
          <w:r>
            <w:rPr>
              <w:rFonts w:hint="eastAsia" w:asciiTheme="minorEastAsia" w:hAnsiTheme="minorEastAsia" w:eastAsiaTheme="minorEastAsia" w:cstheme="minorEastAsia"/>
              <w:bCs/>
              <w:kern w:val="0"/>
              <w:szCs w:val="21"/>
              <w:highlight w:val="none"/>
            </w:rPr>
            <w:t>《北京市水污染防治条例》案由2项</w:t>
          </w:r>
          <w:r>
            <w:tab/>
          </w:r>
          <w:r>
            <w:fldChar w:fldCharType="begin"/>
          </w:r>
          <w:r>
            <w:instrText xml:space="preserve"> PAGEREF _Toc24614177 \h </w:instrText>
          </w:r>
          <w:r>
            <w:fldChar w:fldCharType="separate"/>
          </w:r>
          <w:r>
            <w:t>177</w:t>
          </w:r>
          <w:r>
            <w:fldChar w:fldCharType="end"/>
          </w:r>
          <w:r>
            <w:rPr>
              <w:color w:val="auto"/>
              <w:highlight w:val="none"/>
            </w:rPr>
            <w:fldChar w:fldCharType="end"/>
          </w:r>
        </w:p>
        <w:p w14:paraId="422718C6">
          <w:pPr>
            <w:pStyle w:val="17"/>
            <w:tabs>
              <w:tab w:val="right" w:leader="dot" w:pos="9582"/>
            </w:tabs>
          </w:pPr>
          <w:r>
            <w:rPr>
              <w:color w:val="auto"/>
              <w:highlight w:val="none"/>
            </w:rPr>
            <w:fldChar w:fldCharType="begin"/>
          </w:r>
          <w:r>
            <w:rPr>
              <w:highlight w:val="none"/>
            </w:rPr>
            <w:instrText xml:space="preserve"> HYPERLINK \l _Toc1104583919 </w:instrText>
          </w:r>
          <w:r>
            <w:rPr>
              <w:highlight w:val="none"/>
            </w:rPr>
            <w:fldChar w:fldCharType="separate"/>
          </w:r>
          <w:r>
            <w:rPr>
              <w:rFonts w:hint="eastAsia" w:ascii="黑体" w:hAnsi="黑体" w:eastAsia="黑体" w:cs="黑体"/>
              <w:kern w:val="0"/>
              <w:szCs w:val="28"/>
              <w:highlight w:val="none"/>
            </w:rPr>
            <w:t>水土保持管理方面</w:t>
          </w:r>
          <w:r>
            <w:tab/>
          </w:r>
          <w:r>
            <w:fldChar w:fldCharType="begin"/>
          </w:r>
          <w:r>
            <w:instrText xml:space="preserve"> PAGEREF _Toc1104583919 \h </w:instrText>
          </w:r>
          <w:r>
            <w:fldChar w:fldCharType="separate"/>
          </w:r>
          <w:r>
            <w:t>177</w:t>
          </w:r>
          <w:r>
            <w:fldChar w:fldCharType="end"/>
          </w:r>
          <w:r>
            <w:rPr>
              <w:color w:val="auto"/>
              <w:highlight w:val="none"/>
            </w:rPr>
            <w:fldChar w:fldCharType="end"/>
          </w:r>
        </w:p>
        <w:p w14:paraId="505B312E">
          <w:pPr>
            <w:pStyle w:val="19"/>
            <w:tabs>
              <w:tab w:val="right" w:leader="dot" w:pos="9582"/>
            </w:tabs>
          </w:pPr>
          <w:r>
            <w:rPr>
              <w:color w:val="auto"/>
              <w:highlight w:val="none"/>
            </w:rPr>
            <w:fldChar w:fldCharType="begin"/>
          </w:r>
          <w:r>
            <w:rPr>
              <w:highlight w:val="none"/>
            </w:rPr>
            <w:instrText xml:space="preserve"> HYPERLINK \l _Toc800003415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《中华人民共和国水土保持法》案由9项</w:t>
          </w:r>
          <w:r>
            <w:tab/>
          </w:r>
          <w:r>
            <w:fldChar w:fldCharType="begin"/>
          </w:r>
          <w:r>
            <w:instrText xml:space="preserve"> PAGEREF _Toc800003415 \h </w:instrText>
          </w:r>
          <w:r>
            <w:fldChar w:fldCharType="separate"/>
          </w:r>
          <w:r>
            <w:t>177</w:t>
          </w:r>
          <w:r>
            <w:fldChar w:fldCharType="end"/>
          </w:r>
          <w:r>
            <w:rPr>
              <w:color w:val="auto"/>
              <w:highlight w:val="none"/>
            </w:rPr>
            <w:fldChar w:fldCharType="end"/>
          </w:r>
        </w:p>
        <w:p w14:paraId="007C1338">
          <w:pPr>
            <w:pStyle w:val="19"/>
            <w:tabs>
              <w:tab w:val="right" w:leader="dot" w:pos="9582"/>
            </w:tabs>
          </w:pPr>
          <w:r>
            <w:rPr>
              <w:color w:val="auto"/>
              <w:highlight w:val="none"/>
            </w:rPr>
            <w:fldChar w:fldCharType="begin"/>
          </w:r>
          <w:r>
            <w:rPr>
              <w:highlight w:val="none"/>
            </w:rPr>
            <w:instrText xml:space="preserve"> HYPERLINK \l _Toc698480480 </w:instrText>
          </w:r>
          <w:r>
            <w:rPr>
              <w:highlight w:val="none"/>
            </w:rPr>
            <w:fldChar w:fldCharType="separate"/>
          </w:r>
          <w:r>
            <w:rPr>
              <w:rFonts w:hint="eastAsia" w:asciiTheme="minorEastAsia" w:hAnsiTheme="minorEastAsia" w:eastAsiaTheme="minorEastAsia" w:cstheme="minorEastAsia"/>
              <w:bCs/>
              <w:kern w:val="0"/>
              <w:szCs w:val="21"/>
              <w:highlight w:val="none"/>
            </w:rPr>
            <w:t>《北京市水土保持条例》案由9项</w:t>
          </w:r>
          <w:r>
            <w:tab/>
          </w:r>
          <w:r>
            <w:fldChar w:fldCharType="begin"/>
          </w:r>
          <w:r>
            <w:instrText xml:space="preserve"> PAGEREF _Toc698480480 \h </w:instrText>
          </w:r>
          <w:r>
            <w:fldChar w:fldCharType="separate"/>
          </w:r>
          <w:r>
            <w:t>179</w:t>
          </w:r>
          <w:r>
            <w:fldChar w:fldCharType="end"/>
          </w:r>
          <w:r>
            <w:rPr>
              <w:color w:val="auto"/>
              <w:highlight w:val="none"/>
            </w:rPr>
            <w:fldChar w:fldCharType="end"/>
          </w:r>
        </w:p>
        <w:p w14:paraId="0510907F">
          <w:pPr>
            <w:pStyle w:val="17"/>
            <w:tabs>
              <w:tab w:val="right" w:leader="dot" w:pos="9582"/>
            </w:tabs>
          </w:pPr>
          <w:r>
            <w:rPr>
              <w:color w:val="auto"/>
              <w:highlight w:val="none"/>
            </w:rPr>
            <w:fldChar w:fldCharType="begin"/>
          </w:r>
          <w:r>
            <w:rPr>
              <w:highlight w:val="none"/>
            </w:rPr>
            <w:instrText xml:space="preserve"> HYPERLINK \l _Toc682863719 </w:instrText>
          </w:r>
          <w:r>
            <w:rPr>
              <w:highlight w:val="none"/>
            </w:rPr>
            <w:fldChar w:fldCharType="separate"/>
          </w:r>
          <w:r>
            <w:rPr>
              <w:rFonts w:hint="eastAsia" w:ascii="黑体" w:hAnsi="黑体" w:eastAsia="黑体" w:cs="黑体"/>
              <w:kern w:val="0"/>
              <w:szCs w:val="28"/>
              <w:highlight w:val="none"/>
            </w:rPr>
            <w:t>水工程运行管理方面</w:t>
          </w:r>
          <w:r>
            <w:tab/>
          </w:r>
          <w:r>
            <w:fldChar w:fldCharType="begin"/>
          </w:r>
          <w:r>
            <w:instrText xml:space="preserve"> PAGEREF _Toc682863719 \h </w:instrText>
          </w:r>
          <w:r>
            <w:fldChar w:fldCharType="separate"/>
          </w:r>
          <w:r>
            <w:t>181</w:t>
          </w:r>
          <w:r>
            <w:fldChar w:fldCharType="end"/>
          </w:r>
          <w:r>
            <w:rPr>
              <w:color w:val="auto"/>
              <w:highlight w:val="none"/>
            </w:rPr>
            <w:fldChar w:fldCharType="end"/>
          </w:r>
        </w:p>
        <w:p w14:paraId="5932C511">
          <w:pPr>
            <w:pStyle w:val="19"/>
            <w:tabs>
              <w:tab w:val="right" w:leader="dot" w:pos="9582"/>
            </w:tabs>
          </w:pPr>
          <w:r>
            <w:rPr>
              <w:color w:val="auto"/>
              <w:highlight w:val="none"/>
            </w:rPr>
            <w:fldChar w:fldCharType="begin"/>
          </w:r>
          <w:r>
            <w:rPr>
              <w:highlight w:val="none"/>
            </w:rPr>
            <w:instrText xml:space="preserve"> HYPERLINK \l _Toc1583142085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《中华人民共和国水法》《中华人民共和国河道管理条例》《南水北调工程供用水管理条例》案由10项</w:t>
          </w:r>
          <w:r>
            <w:tab/>
          </w:r>
          <w:r>
            <w:fldChar w:fldCharType="begin"/>
          </w:r>
          <w:r>
            <w:instrText xml:space="preserve"> PAGEREF _Toc1583142085 \h </w:instrText>
          </w:r>
          <w:r>
            <w:fldChar w:fldCharType="separate"/>
          </w:r>
          <w:r>
            <w:t>181</w:t>
          </w:r>
          <w:r>
            <w:fldChar w:fldCharType="end"/>
          </w:r>
          <w:r>
            <w:rPr>
              <w:color w:val="auto"/>
              <w:highlight w:val="none"/>
            </w:rPr>
            <w:fldChar w:fldCharType="end"/>
          </w:r>
        </w:p>
        <w:p w14:paraId="2A627249">
          <w:pPr>
            <w:pStyle w:val="19"/>
            <w:tabs>
              <w:tab w:val="right" w:leader="dot" w:pos="9582"/>
            </w:tabs>
          </w:pPr>
          <w:r>
            <w:rPr>
              <w:color w:val="auto"/>
              <w:highlight w:val="none"/>
            </w:rPr>
            <w:fldChar w:fldCharType="begin"/>
          </w:r>
          <w:r>
            <w:rPr>
              <w:highlight w:val="none"/>
            </w:rPr>
            <w:instrText xml:space="preserve"> HYPERLINK \l _Toc1329598235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《中华人民共和国防洪法》案由7项</w:t>
          </w:r>
          <w:r>
            <w:tab/>
          </w:r>
          <w:r>
            <w:fldChar w:fldCharType="begin"/>
          </w:r>
          <w:r>
            <w:instrText xml:space="preserve"> PAGEREF _Toc1329598235 \h </w:instrText>
          </w:r>
          <w:r>
            <w:fldChar w:fldCharType="separate"/>
          </w:r>
          <w:r>
            <w:t>184</w:t>
          </w:r>
          <w:r>
            <w:fldChar w:fldCharType="end"/>
          </w:r>
          <w:r>
            <w:rPr>
              <w:color w:val="auto"/>
              <w:highlight w:val="none"/>
            </w:rPr>
            <w:fldChar w:fldCharType="end"/>
          </w:r>
        </w:p>
        <w:p w14:paraId="15E7E0F8">
          <w:pPr>
            <w:pStyle w:val="19"/>
            <w:tabs>
              <w:tab w:val="right" w:leader="dot" w:pos="9582"/>
            </w:tabs>
          </w:pPr>
          <w:r>
            <w:rPr>
              <w:color w:val="auto"/>
              <w:highlight w:val="none"/>
            </w:rPr>
            <w:fldChar w:fldCharType="begin"/>
          </w:r>
          <w:r>
            <w:rPr>
              <w:highlight w:val="none"/>
            </w:rPr>
            <w:instrText xml:space="preserve"> HYPERLINK \l _Toc1108962506 </w:instrText>
          </w:r>
          <w:r>
            <w:rPr>
              <w:highlight w:val="none"/>
            </w:rPr>
            <w:fldChar w:fldCharType="separate"/>
          </w:r>
          <w:r>
            <w:rPr>
              <w:rFonts w:hint="eastAsia" w:asciiTheme="minorEastAsia" w:hAnsiTheme="minorEastAsia" w:eastAsiaTheme="minorEastAsia" w:cstheme="minorEastAsia"/>
              <w:bCs/>
              <w:kern w:val="0"/>
              <w:szCs w:val="21"/>
              <w:highlight w:val="none"/>
            </w:rPr>
            <w:t>《中华人民共和国河道管理条例》案由1项</w:t>
          </w:r>
          <w:r>
            <w:tab/>
          </w:r>
          <w:r>
            <w:fldChar w:fldCharType="begin"/>
          </w:r>
          <w:r>
            <w:instrText xml:space="preserve"> PAGEREF _Toc1108962506 \h </w:instrText>
          </w:r>
          <w:r>
            <w:fldChar w:fldCharType="separate"/>
          </w:r>
          <w:r>
            <w:t>186</w:t>
          </w:r>
          <w:r>
            <w:fldChar w:fldCharType="end"/>
          </w:r>
          <w:r>
            <w:rPr>
              <w:color w:val="auto"/>
              <w:highlight w:val="none"/>
            </w:rPr>
            <w:fldChar w:fldCharType="end"/>
          </w:r>
        </w:p>
        <w:p w14:paraId="70F5BCF6">
          <w:pPr>
            <w:pStyle w:val="19"/>
            <w:tabs>
              <w:tab w:val="right" w:leader="dot" w:pos="9582"/>
            </w:tabs>
          </w:pPr>
          <w:r>
            <w:rPr>
              <w:color w:val="auto"/>
              <w:highlight w:val="none"/>
            </w:rPr>
            <w:fldChar w:fldCharType="begin"/>
          </w:r>
          <w:r>
            <w:rPr>
              <w:highlight w:val="none"/>
            </w:rPr>
            <w:instrText xml:space="preserve"> HYPERLINK \l _Toc690624999 </w:instrText>
          </w:r>
          <w:r>
            <w:rPr>
              <w:highlight w:val="none"/>
            </w:rPr>
            <w:fldChar w:fldCharType="separate"/>
          </w:r>
          <w:r>
            <w:rPr>
              <w:rFonts w:hint="eastAsia" w:asciiTheme="minorEastAsia" w:hAnsiTheme="minorEastAsia" w:eastAsiaTheme="minorEastAsia" w:cstheme="minorEastAsia"/>
              <w:bCs/>
              <w:kern w:val="0"/>
              <w:szCs w:val="21"/>
              <w:highlight w:val="none"/>
            </w:rPr>
            <w:t>《水库大坝注册登记办法》案由1项</w:t>
          </w:r>
          <w:r>
            <w:tab/>
          </w:r>
          <w:r>
            <w:fldChar w:fldCharType="begin"/>
          </w:r>
          <w:r>
            <w:instrText xml:space="preserve"> PAGEREF _Toc690624999 \h </w:instrText>
          </w:r>
          <w:r>
            <w:fldChar w:fldCharType="separate"/>
          </w:r>
          <w:r>
            <w:t>186</w:t>
          </w:r>
          <w:r>
            <w:fldChar w:fldCharType="end"/>
          </w:r>
          <w:r>
            <w:rPr>
              <w:color w:val="auto"/>
              <w:highlight w:val="none"/>
            </w:rPr>
            <w:fldChar w:fldCharType="end"/>
          </w:r>
        </w:p>
        <w:p w14:paraId="32EF5D5F">
          <w:pPr>
            <w:pStyle w:val="19"/>
            <w:tabs>
              <w:tab w:val="right" w:leader="dot" w:pos="9582"/>
            </w:tabs>
          </w:pPr>
          <w:r>
            <w:rPr>
              <w:color w:val="auto"/>
              <w:highlight w:val="none"/>
            </w:rPr>
            <w:fldChar w:fldCharType="begin"/>
          </w:r>
          <w:r>
            <w:rPr>
              <w:highlight w:val="none"/>
            </w:rPr>
            <w:instrText xml:space="preserve"> HYPERLINK \l _Toc640812130 </w:instrText>
          </w:r>
          <w:r>
            <w:rPr>
              <w:highlight w:val="none"/>
            </w:rPr>
            <w:fldChar w:fldCharType="separate"/>
          </w:r>
          <w:r>
            <w:rPr>
              <w:rFonts w:hint="eastAsia" w:asciiTheme="minorEastAsia" w:hAnsiTheme="minorEastAsia" w:eastAsiaTheme="minorEastAsia" w:cstheme="minorEastAsia"/>
              <w:bCs/>
              <w:kern w:val="0"/>
              <w:szCs w:val="21"/>
              <w:highlight w:val="none"/>
            </w:rPr>
            <w:t>《北京市河湖保护管理条例》《中华人民共和国河道管理条例》案由10项</w:t>
          </w:r>
          <w:r>
            <w:tab/>
          </w:r>
          <w:r>
            <w:fldChar w:fldCharType="begin"/>
          </w:r>
          <w:r>
            <w:instrText xml:space="preserve"> PAGEREF _Toc640812130 \h </w:instrText>
          </w:r>
          <w:r>
            <w:fldChar w:fldCharType="separate"/>
          </w:r>
          <w:r>
            <w:t>186</w:t>
          </w:r>
          <w:r>
            <w:fldChar w:fldCharType="end"/>
          </w:r>
          <w:r>
            <w:rPr>
              <w:color w:val="auto"/>
              <w:highlight w:val="none"/>
            </w:rPr>
            <w:fldChar w:fldCharType="end"/>
          </w:r>
        </w:p>
        <w:p w14:paraId="783E7BC2">
          <w:pPr>
            <w:pStyle w:val="19"/>
            <w:tabs>
              <w:tab w:val="right" w:leader="dot" w:pos="9582"/>
            </w:tabs>
          </w:pPr>
          <w:r>
            <w:rPr>
              <w:color w:val="auto"/>
              <w:highlight w:val="none"/>
            </w:rPr>
            <w:fldChar w:fldCharType="begin"/>
          </w:r>
          <w:r>
            <w:rPr>
              <w:highlight w:val="none"/>
            </w:rPr>
            <w:instrText xml:space="preserve"> HYPERLINK \l _Toc1471238654 </w:instrText>
          </w:r>
          <w:r>
            <w:rPr>
              <w:highlight w:val="none"/>
            </w:rPr>
            <w:fldChar w:fldCharType="separate"/>
          </w:r>
          <w:r>
            <w:rPr>
              <w:rFonts w:hint="eastAsia" w:asciiTheme="minorEastAsia" w:hAnsiTheme="minorEastAsia" w:eastAsiaTheme="minorEastAsia" w:cstheme="minorEastAsia"/>
              <w:bCs/>
              <w:kern w:val="0"/>
              <w:szCs w:val="21"/>
              <w:highlight w:val="none"/>
            </w:rPr>
            <w:t>《北京市湿地保护条例》案由1项</w:t>
          </w:r>
          <w:r>
            <w:tab/>
          </w:r>
          <w:r>
            <w:fldChar w:fldCharType="begin"/>
          </w:r>
          <w:r>
            <w:instrText xml:space="preserve"> PAGEREF _Toc1471238654 \h </w:instrText>
          </w:r>
          <w:r>
            <w:fldChar w:fldCharType="separate"/>
          </w:r>
          <w:r>
            <w:t>188</w:t>
          </w:r>
          <w:r>
            <w:fldChar w:fldCharType="end"/>
          </w:r>
          <w:r>
            <w:rPr>
              <w:color w:val="auto"/>
              <w:highlight w:val="none"/>
            </w:rPr>
            <w:fldChar w:fldCharType="end"/>
          </w:r>
        </w:p>
        <w:p w14:paraId="42B5B1D0">
          <w:pPr>
            <w:pStyle w:val="19"/>
            <w:tabs>
              <w:tab w:val="right" w:leader="dot" w:pos="9582"/>
            </w:tabs>
          </w:pPr>
          <w:r>
            <w:rPr>
              <w:color w:val="auto"/>
              <w:highlight w:val="none"/>
            </w:rPr>
            <w:fldChar w:fldCharType="begin"/>
          </w:r>
          <w:r>
            <w:rPr>
              <w:highlight w:val="none"/>
            </w:rPr>
            <w:instrText xml:space="preserve"> HYPERLINK \l _Toc2102884457 </w:instrText>
          </w:r>
          <w:r>
            <w:rPr>
              <w:highlight w:val="none"/>
            </w:rPr>
            <w:fldChar w:fldCharType="separate"/>
          </w:r>
          <w:r>
            <w:rPr>
              <w:rFonts w:hint="eastAsia" w:asciiTheme="minorEastAsia" w:hAnsiTheme="minorEastAsia" w:eastAsiaTheme="minorEastAsia" w:cstheme="minorEastAsia"/>
              <w:bCs/>
              <w:kern w:val="0"/>
              <w:szCs w:val="21"/>
              <w:highlight w:val="none"/>
            </w:rPr>
            <w:t>《北京市南水北调工程保护办法》案由7项</w:t>
          </w:r>
          <w:r>
            <w:tab/>
          </w:r>
          <w:r>
            <w:fldChar w:fldCharType="begin"/>
          </w:r>
          <w:r>
            <w:instrText xml:space="preserve"> PAGEREF _Toc2102884457 \h </w:instrText>
          </w:r>
          <w:r>
            <w:fldChar w:fldCharType="separate"/>
          </w:r>
          <w:r>
            <w:t>189</w:t>
          </w:r>
          <w:r>
            <w:fldChar w:fldCharType="end"/>
          </w:r>
          <w:r>
            <w:rPr>
              <w:color w:val="auto"/>
              <w:highlight w:val="none"/>
            </w:rPr>
            <w:fldChar w:fldCharType="end"/>
          </w:r>
        </w:p>
        <w:p w14:paraId="4320D21F">
          <w:pPr>
            <w:pStyle w:val="19"/>
            <w:tabs>
              <w:tab w:val="right" w:leader="dot" w:pos="9582"/>
            </w:tabs>
          </w:pPr>
          <w:r>
            <w:rPr>
              <w:color w:val="auto"/>
              <w:highlight w:val="none"/>
            </w:rPr>
            <w:fldChar w:fldCharType="begin"/>
          </w:r>
          <w:r>
            <w:rPr>
              <w:highlight w:val="none"/>
            </w:rPr>
            <w:instrText xml:space="preserve"> HYPERLINK \l _Toc1029099091 </w:instrText>
          </w:r>
          <w:r>
            <w:rPr>
              <w:highlight w:val="none"/>
            </w:rPr>
            <w:fldChar w:fldCharType="separate"/>
          </w:r>
          <w:r>
            <w:rPr>
              <w:rFonts w:hint="eastAsia" w:asciiTheme="minorEastAsia" w:hAnsiTheme="minorEastAsia" w:eastAsiaTheme="minorEastAsia" w:cstheme="minorEastAsia"/>
              <w:bCs/>
              <w:kern w:val="0"/>
              <w:szCs w:val="21"/>
              <w:highlight w:val="none"/>
            </w:rPr>
            <w:t>《北京市实施</w:t>
          </w:r>
          <w:r>
            <w:rPr>
              <w:rFonts w:hint="eastAsia" w:ascii="仿宋" w:hAnsi="仿宋" w:eastAsia="仿宋" w:cs="仿宋"/>
              <w:bCs/>
              <w:kern w:val="0"/>
              <w:szCs w:val="21"/>
              <w:highlight w:val="none"/>
            </w:rPr>
            <w:t>&lt;</w:t>
          </w:r>
          <w:r>
            <w:rPr>
              <w:rFonts w:hint="eastAsia" w:asciiTheme="minorEastAsia" w:hAnsiTheme="minorEastAsia" w:eastAsiaTheme="minorEastAsia" w:cstheme="minorEastAsia"/>
              <w:bCs/>
              <w:kern w:val="0"/>
              <w:szCs w:val="21"/>
              <w:highlight w:val="none"/>
            </w:rPr>
            <w:t>中华人民共和国防洪法</w:t>
          </w:r>
          <w:r>
            <w:rPr>
              <w:rFonts w:hint="eastAsia" w:ascii="仿宋" w:hAnsi="仿宋" w:eastAsia="仿宋" w:cs="仿宋"/>
              <w:bCs/>
              <w:kern w:val="0"/>
              <w:szCs w:val="21"/>
              <w:highlight w:val="none"/>
            </w:rPr>
            <w:t>&gt;</w:t>
          </w:r>
          <w:r>
            <w:rPr>
              <w:rFonts w:hint="eastAsia" w:asciiTheme="minorEastAsia" w:hAnsiTheme="minorEastAsia" w:eastAsiaTheme="minorEastAsia" w:cstheme="minorEastAsia"/>
              <w:bCs/>
              <w:kern w:val="0"/>
              <w:szCs w:val="21"/>
              <w:highlight w:val="none"/>
            </w:rPr>
            <w:t>办法》案由2项</w:t>
          </w:r>
          <w:r>
            <w:tab/>
          </w:r>
          <w:r>
            <w:fldChar w:fldCharType="begin"/>
          </w:r>
          <w:r>
            <w:instrText xml:space="preserve"> PAGEREF _Toc1029099091 \h </w:instrText>
          </w:r>
          <w:r>
            <w:fldChar w:fldCharType="separate"/>
          </w:r>
          <w:r>
            <w:t>190</w:t>
          </w:r>
          <w:r>
            <w:fldChar w:fldCharType="end"/>
          </w:r>
          <w:r>
            <w:rPr>
              <w:color w:val="auto"/>
              <w:highlight w:val="none"/>
            </w:rPr>
            <w:fldChar w:fldCharType="end"/>
          </w:r>
        </w:p>
        <w:p w14:paraId="25754CD2">
          <w:pPr>
            <w:pStyle w:val="17"/>
            <w:tabs>
              <w:tab w:val="right" w:leader="dot" w:pos="9582"/>
            </w:tabs>
          </w:pPr>
          <w:r>
            <w:rPr>
              <w:color w:val="auto"/>
              <w:highlight w:val="none"/>
            </w:rPr>
            <w:fldChar w:fldCharType="begin"/>
          </w:r>
          <w:r>
            <w:rPr>
              <w:highlight w:val="none"/>
            </w:rPr>
            <w:instrText xml:space="preserve"> HYPERLINK \l _Toc555472517 </w:instrText>
          </w:r>
          <w:r>
            <w:rPr>
              <w:highlight w:val="none"/>
            </w:rPr>
            <w:fldChar w:fldCharType="separate"/>
          </w:r>
          <w:r>
            <w:rPr>
              <w:rFonts w:hint="eastAsia" w:ascii="黑体" w:hAnsi="黑体" w:eastAsia="黑体" w:cs="黑体"/>
              <w:kern w:val="0"/>
              <w:szCs w:val="28"/>
              <w:highlight w:val="none"/>
            </w:rPr>
            <w:t>水利建设资质管理方面</w:t>
          </w:r>
          <w:r>
            <w:tab/>
          </w:r>
          <w:r>
            <w:fldChar w:fldCharType="begin"/>
          </w:r>
          <w:r>
            <w:instrText xml:space="preserve"> PAGEREF _Toc555472517 \h </w:instrText>
          </w:r>
          <w:r>
            <w:fldChar w:fldCharType="separate"/>
          </w:r>
          <w:r>
            <w:t>190</w:t>
          </w:r>
          <w:r>
            <w:fldChar w:fldCharType="end"/>
          </w:r>
          <w:r>
            <w:rPr>
              <w:color w:val="auto"/>
              <w:highlight w:val="none"/>
            </w:rPr>
            <w:fldChar w:fldCharType="end"/>
          </w:r>
        </w:p>
        <w:p w14:paraId="773C9637">
          <w:pPr>
            <w:pStyle w:val="19"/>
            <w:tabs>
              <w:tab w:val="right" w:leader="dot" w:pos="9582"/>
            </w:tabs>
          </w:pPr>
          <w:r>
            <w:rPr>
              <w:color w:val="auto"/>
              <w:highlight w:val="none"/>
            </w:rPr>
            <w:fldChar w:fldCharType="begin"/>
          </w:r>
          <w:r>
            <w:rPr>
              <w:highlight w:val="none"/>
            </w:rPr>
            <w:instrText xml:space="preserve"> HYPERLINK \l _Toc385135809 </w:instrText>
          </w:r>
          <w:r>
            <w:rPr>
              <w:highlight w:val="none"/>
            </w:rPr>
            <w:fldChar w:fldCharType="separate"/>
          </w:r>
          <w:r>
            <w:rPr>
              <w:rFonts w:hint="eastAsia" w:ascii="宋体" w:hAnsi="宋体" w:eastAsia="宋体" w:cs="宋体"/>
              <w:bCs/>
              <w:kern w:val="0"/>
              <w:szCs w:val="21"/>
              <w:highlight w:val="none"/>
            </w:rPr>
            <w:t>《中华人民共和国建筑法》案由1项</w:t>
          </w:r>
          <w:r>
            <w:tab/>
          </w:r>
          <w:r>
            <w:fldChar w:fldCharType="begin"/>
          </w:r>
          <w:r>
            <w:instrText xml:space="preserve"> PAGEREF _Toc385135809 \h </w:instrText>
          </w:r>
          <w:r>
            <w:fldChar w:fldCharType="separate"/>
          </w:r>
          <w:r>
            <w:t>190</w:t>
          </w:r>
          <w:r>
            <w:fldChar w:fldCharType="end"/>
          </w:r>
          <w:r>
            <w:rPr>
              <w:color w:val="auto"/>
              <w:highlight w:val="none"/>
            </w:rPr>
            <w:fldChar w:fldCharType="end"/>
          </w:r>
        </w:p>
        <w:p w14:paraId="273AE221">
          <w:pPr>
            <w:pStyle w:val="19"/>
            <w:tabs>
              <w:tab w:val="right" w:leader="dot" w:pos="9582"/>
            </w:tabs>
          </w:pPr>
          <w:r>
            <w:rPr>
              <w:color w:val="auto"/>
              <w:highlight w:val="none"/>
            </w:rPr>
            <w:fldChar w:fldCharType="begin"/>
          </w:r>
          <w:r>
            <w:rPr>
              <w:highlight w:val="none"/>
            </w:rPr>
            <w:instrText xml:space="preserve"> HYPERLINK \l _Toc928187946 </w:instrText>
          </w:r>
          <w:r>
            <w:rPr>
              <w:highlight w:val="none"/>
            </w:rPr>
            <w:fldChar w:fldCharType="separate"/>
          </w:r>
          <w:r>
            <w:rPr>
              <w:rFonts w:hint="eastAsia" w:ascii="宋体" w:hAnsi="宋体" w:eastAsia="宋体" w:cs="宋体"/>
              <w:bCs/>
              <w:kern w:val="0"/>
              <w:szCs w:val="21"/>
              <w:highlight w:val="none"/>
            </w:rPr>
            <w:t>《建设工程质量管理条例》案由3项</w:t>
          </w:r>
          <w:r>
            <w:tab/>
          </w:r>
          <w:r>
            <w:fldChar w:fldCharType="begin"/>
          </w:r>
          <w:r>
            <w:instrText xml:space="preserve"> PAGEREF _Toc928187946 \h </w:instrText>
          </w:r>
          <w:r>
            <w:fldChar w:fldCharType="separate"/>
          </w:r>
          <w:r>
            <w:t>191</w:t>
          </w:r>
          <w:r>
            <w:fldChar w:fldCharType="end"/>
          </w:r>
          <w:r>
            <w:rPr>
              <w:color w:val="auto"/>
              <w:highlight w:val="none"/>
            </w:rPr>
            <w:fldChar w:fldCharType="end"/>
          </w:r>
        </w:p>
        <w:p w14:paraId="134CD0B3">
          <w:pPr>
            <w:pStyle w:val="19"/>
            <w:tabs>
              <w:tab w:val="right" w:leader="dot" w:pos="9582"/>
            </w:tabs>
          </w:pPr>
          <w:r>
            <w:rPr>
              <w:color w:val="auto"/>
              <w:highlight w:val="none"/>
            </w:rPr>
            <w:fldChar w:fldCharType="begin"/>
          </w:r>
          <w:r>
            <w:rPr>
              <w:highlight w:val="none"/>
            </w:rPr>
            <w:instrText xml:space="preserve"> HYPERLINK \l _Toc895854339 </w:instrText>
          </w:r>
          <w:r>
            <w:rPr>
              <w:highlight w:val="none"/>
            </w:rPr>
            <w:fldChar w:fldCharType="separate"/>
          </w:r>
          <w:r>
            <w:rPr>
              <w:rFonts w:hint="eastAsia" w:ascii="宋体" w:hAnsi="宋体" w:eastAsia="宋体" w:cs="宋体"/>
              <w:bCs/>
              <w:kern w:val="0"/>
              <w:szCs w:val="21"/>
              <w:highlight w:val="none"/>
            </w:rPr>
            <w:t>《建筑业企业资质管理规定》案由4项</w:t>
          </w:r>
          <w:r>
            <w:tab/>
          </w:r>
          <w:r>
            <w:fldChar w:fldCharType="begin"/>
          </w:r>
          <w:r>
            <w:instrText xml:space="preserve"> PAGEREF _Toc895854339 \h </w:instrText>
          </w:r>
          <w:r>
            <w:fldChar w:fldCharType="separate"/>
          </w:r>
          <w:r>
            <w:t>192</w:t>
          </w:r>
          <w:r>
            <w:fldChar w:fldCharType="end"/>
          </w:r>
          <w:r>
            <w:rPr>
              <w:color w:val="auto"/>
              <w:highlight w:val="none"/>
            </w:rPr>
            <w:fldChar w:fldCharType="end"/>
          </w:r>
        </w:p>
        <w:p w14:paraId="62673434">
          <w:pPr>
            <w:pStyle w:val="19"/>
            <w:tabs>
              <w:tab w:val="right" w:leader="dot" w:pos="9582"/>
            </w:tabs>
          </w:pPr>
          <w:r>
            <w:rPr>
              <w:color w:val="auto"/>
              <w:highlight w:val="none"/>
            </w:rPr>
            <w:fldChar w:fldCharType="begin"/>
          </w:r>
          <w:r>
            <w:rPr>
              <w:highlight w:val="none"/>
            </w:rPr>
            <w:instrText xml:space="preserve"> HYPERLINK \l _Toc427902929 </w:instrText>
          </w:r>
          <w:r>
            <w:rPr>
              <w:highlight w:val="none"/>
            </w:rPr>
            <w:fldChar w:fldCharType="separate"/>
          </w:r>
          <w:r>
            <w:rPr>
              <w:rFonts w:hint="eastAsia" w:ascii="宋体" w:hAnsi="宋体" w:eastAsia="宋体" w:cs="宋体"/>
              <w:bCs/>
              <w:kern w:val="0"/>
              <w:szCs w:val="21"/>
              <w:highlight w:val="none"/>
            </w:rPr>
            <w:t>《工程监理企业资质管理规定》案由3项</w:t>
          </w:r>
          <w:r>
            <w:tab/>
          </w:r>
          <w:r>
            <w:fldChar w:fldCharType="begin"/>
          </w:r>
          <w:r>
            <w:instrText xml:space="preserve"> PAGEREF _Toc427902929 \h </w:instrText>
          </w:r>
          <w:r>
            <w:fldChar w:fldCharType="separate"/>
          </w:r>
          <w:r>
            <w:t>193</w:t>
          </w:r>
          <w:r>
            <w:fldChar w:fldCharType="end"/>
          </w:r>
          <w:r>
            <w:rPr>
              <w:color w:val="auto"/>
              <w:highlight w:val="none"/>
            </w:rPr>
            <w:fldChar w:fldCharType="end"/>
          </w:r>
        </w:p>
        <w:p w14:paraId="2F8DDA9F">
          <w:pPr>
            <w:pStyle w:val="19"/>
            <w:tabs>
              <w:tab w:val="right" w:leader="dot" w:pos="9582"/>
            </w:tabs>
          </w:pPr>
          <w:r>
            <w:rPr>
              <w:color w:val="auto"/>
              <w:highlight w:val="none"/>
            </w:rPr>
            <w:fldChar w:fldCharType="begin"/>
          </w:r>
          <w:r>
            <w:rPr>
              <w:highlight w:val="none"/>
            </w:rPr>
            <w:instrText xml:space="preserve"> HYPERLINK \l _Toc330001521 </w:instrText>
          </w:r>
          <w:r>
            <w:rPr>
              <w:highlight w:val="none"/>
            </w:rPr>
            <w:fldChar w:fldCharType="separate"/>
          </w:r>
          <w:r>
            <w:rPr>
              <w:rFonts w:hint="eastAsia" w:ascii="宋体" w:hAnsi="宋体" w:eastAsia="宋体" w:cs="宋体"/>
              <w:bCs/>
              <w:kern w:val="0"/>
              <w:szCs w:val="21"/>
              <w:highlight w:val="none"/>
            </w:rPr>
            <w:t>《水利工程建设监理规定》案由2项</w:t>
          </w:r>
          <w:r>
            <w:tab/>
          </w:r>
          <w:r>
            <w:fldChar w:fldCharType="begin"/>
          </w:r>
          <w:r>
            <w:instrText xml:space="preserve"> PAGEREF _Toc330001521 \h </w:instrText>
          </w:r>
          <w:r>
            <w:fldChar w:fldCharType="separate"/>
          </w:r>
          <w:r>
            <w:t>193</w:t>
          </w:r>
          <w:r>
            <w:fldChar w:fldCharType="end"/>
          </w:r>
          <w:r>
            <w:rPr>
              <w:color w:val="auto"/>
              <w:highlight w:val="none"/>
            </w:rPr>
            <w:fldChar w:fldCharType="end"/>
          </w:r>
        </w:p>
        <w:p w14:paraId="6AF0358E">
          <w:pPr>
            <w:pStyle w:val="19"/>
            <w:tabs>
              <w:tab w:val="right" w:leader="dot" w:pos="9582"/>
            </w:tabs>
          </w:pPr>
          <w:r>
            <w:rPr>
              <w:color w:val="auto"/>
              <w:highlight w:val="none"/>
            </w:rPr>
            <w:fldChar w:fldCharType="begin"/>
          </w:r>
          <w:r>
            <w:rPr>
              <w:highlight w:val="none"/>
            </w:rPr>
            <w:instrText xml:space="preserve"> HYPERLINK \l _Toc1386978898 </w:instrText>
          </w:r>
          <w:r>
            <w:rPr>
              <w:highlight w:val="none"/>
            </w:rPr>
            <w:fldChar w:fldCharType="separate"/>
          </w:r>
          <w:r>
            <w:rPr>
              <w:rFonts w:hint="eastAsia" w:ascii="宋体" w:hAnsi="宋体" w:eastAsia="宋体" w:cs="宋体"/>
              <w:bCs/>
              <w:kern w:val="0"/>
              <w:szCs w:val="21"/>
              <w:highlight w:val="none"/>
            </w:rPr>
            <w:t>《水利工程质量检测管理规定》案由5项</w:t>
          </w:r>
          <w:r>
            <w:tab/>
          </w:r>
          <w:r>
            <w:fldChar w:fldCharType="begin"/>
          </w:r>
          <w:r>
            <w:instrText xml:space="preserve"> PAGEREF _Toc1386978898 \h </w:instrText>
          </w:r>
          <w:r>
            <w:fldChar w:fldCharType="separate"/>
          </w:r>
          <w:r>
            <w:t>194</w:t>
          </w:r>
          <w:r>
            <w:fldChar w:fldCharType="end"/>
          </w:r>
          <w:r>
            <w:rPr>
              <w:color w:val="auto"/>
              <w:highlight w:val="none"/>
            </w:rPr>
            <w:fldChar w:fldCharType="end"/>
          </w:r>
        </w:p>
        <w:p w14:paraId="66B66715">
          <w:pPr>
            <w:pStyle w:val="19"/>
            <w:tabs>
              <w:tab w:val="right" w:leader="dot" w:pos="9582"/>
            </w:tabs>
          </w:pPr>
          <w:r>
            <w:rPr>
              <w:color w:val="auto"/>
              <w:highlight w:val="none"/>
            </w:rPr>
            <w:fldChar w:fldCharType="begin"/>
          </w:r>
          <w:r>
            <w:rPr>
              <w:highlight w:val="none"/>
            </w:rPr>
            <w:instrText xml:space="preserve"> HYPERLINK \l _Toc466093567 </w:instrText>
          </w:r>
          <w:r>
            <w:rPr>
              <w:highlight w:val="none"/>
            </w:rPr>
            <w:fldChar w:fldCharType="separate"/>
          </w:r>
          <w:r>
            <w:rPr>
              <w:rFonts w:hint="eastAsia" w:ascii="宋体" w:hAnsi="宋体" w:eastAsia="宋体" w:cs="宋体"/>
              <w:bCs/>
              <w:kern w:val="0"/>
              <w:szCs w:val="21"/>
              <w:highlight w:val="none"/>
            </w:rPr>
            <w:t>《市政公用事业特许经营管理办法》案由1项</w:t>
          </w:r>
          <w:r>
            <w:tab/>
          </w:r>
          <w:r>
            <w:fldChar w:fldCharType="begin"/>
          </w:r>
          <w:r>
            <w:instrText xml:space="preserve"> PAGEREF _Toc466093567 \h </w:instrText>
          </w:r>
          <w:r>
            <w:fldChar w:fldCharType="separate"/>
          </w:r>
          <w:r>
            <w:t>195</w:t>
          </w:r>
          <w:r>
            <w:fldChar w:fldCharType="end"/>
          </w:r>
          <w:r>
            <w:rPr>
              <w:color w:val="auto"/>
              <w:highlight w:val="none"/>
            </w:rPr>
            <w:fldChar w:fldCharType="end"/>
          </w:r>
        </w:p>
        <w:p w14:paraId="30F5B45B">
          <w:pPr>
            <w:pStyle w:val="19"/>
            <w:tabs>
              <w:tab w:val="right" w:leader="dot" w:pos="9582"/>
            </w:tabs>
          </w:pPr>
          <w:r>
            <w:rPr>
              <w:color w:val="auto"/>
              <w:highlight w:val="none"/>
            </w:rPr>
            <w:fldChar w:fldCharType="begin"/>
          </w:r>
          <w:r>
            <w:rPr>
              <w:highlight w:val="none"/>
            </w:rPr>
            <w:instrText xml:space="preserve"> HYPERLINK \l _Toc986997971 </w:instrText>
          </w:r>
          <w:r>
            <w:rPr>
              <w:highlight w:val="none"/>
            </w:rPr>
            <w:fldChar w:fldCharType="separate"/>
          </w:r>
          <w:r>
            <w:rPr>
              <w:rFonts w:hint="eastAsia" w:ascii="宋体" w:hAnsi="宋体" w:eastAsia="宋体" w:cs="宋体"/>
              <w:bCs/>
              <w:kern w:val="0"/>
              <w:szCs w:val="21"/>
              <w:highlight w:val="none"/>
            </w:rPr>
            <w:t>《注册造价工程师管理办法》案由3项</w:t>
          </w:r>
          <w:r>
            <w:tab/>
          </w:r>
          <w:r>
            <w:fldChar w:fldCharType="begin"/>
          </w:r>
          <w:r>
            <w:instrText xml:space="preserve"> PAGEREF _Toc986997971 \h </w:instrText>
          </w:r>
          <w:r>
            <w:fldChar w:fldCharType="separate"/>
          </w:r>
          <w:r>
            <w:t>195</w:t>
          </w:r>
          <w:r>
            <w:fldChar w:fldCharType="end"/>
          </w:r>
          <w:r>
            <w:rPr>
              <w:color w:val="auto"/>
              <w:highlight w:val="none"/>
            </w:rPr>
            <w:fldChar w:fldCharType="end"/>
          </w:r>
        </w:p>
        <w:p w14:paraId="63110CA8">
          <w:pPr>
            <w:pStyle w:val="17"/>
            <w:tabs>
              <w:tab w:val="right" w:leader="dot" w:pos="9582"/>
            </w:tabs>
          </w:pPr>
          <w:r>
            <w:rPr>
              <w:color w:val="auto"/>
              <w:highlight w:val="none"/>
            </w:rPr>
            <w:fldChar w:fldCharType="begin"/>
          </w:r>
          <w:r>
            <w:rPr>
              <w:highlight w:val="none"/>
            </w:rPr>
            <w:instrText xml:space="preserve"> HYPERLINK \l _Toc1944288638 </w:instrText>
          </w:r>
          <w:r>
            <w:rPr>
              <w:highlight w:val="none"/>
            </w:rPr>
            <w:fldChar w:fldCharType="separate"/>
          </w:r>
          <w:r>
            <w:rPr>
              <w:rFonts w:hint="eastAsia" w:ascii="黑体" w:hAnsi="黑体" w:eastAsia="黑体" w:cs="黑体"/>
              <w:kern w:val="0"/>
              <w:szCs w:val="28"/>
              <w:highlight w:val="none"/>
            </w:rPr>
            <w:t>水文与水行政许可管理方面</w:t>
          </w:r>
          <w:r>
            <w:tab/>
          </w:r>
          <w:r>
            <w:fldChar w:fldCharType="begin"/>
          </w:r>
          <w:r>
            <w:instrText xml:space="preserve"> PAGEREF _Toc1944288638 \h </w:instrText>
          </w:r>
          <w:r>
            <w:fldChar w:fldCharType="separate"/>
          </w:r>
          <w:r>
            <w:t>195</w:t>
          </w:r>
          <w:r>
            <w:fldChar w:fldCharType="end"/>
          </w:r>
          <w:r>
            <w:rPr>
              <w:color w:val="auto"/>
              <w:highlight w:val="none"/>
            </w:rPr>
            <w:fldChar w:fldCharType="end"/>
          </w:r>
        </w:p>
        <w:p w14:paraId="01A888A3">
          <w:pPr>
            <w:pStyle w:val="19"/>
            <w:tabs>
              <w:tab w:val="right" w:leader="dot" w:pos="9582"/>
            </w:tabs>
          </w:pPr>
          <w:r>
            <w:rPr>
              <w:color w:val="auto"/>
              <w:highlight w:val="none"/>
            </w:rPr>
            <w:fldChar w:fldCharType="begin"/>
          </w:r>
          <w:r>
            <w:rPr>
              <w:highlight w:val="none"/>
            </w:rPr>
            <w:instrText xml:space="preserve"> HYPERLINK \l _Toc587339941 </w:instrText>
          </w:r>
          <w:r>
            <w:rPr>
              <w:highlight w:val="none"/>
            </w:rPr>
            <w:fldChar w:fldCharType="separate"/>
          </w:r>
          <w:r>
            <w:rPr>
              <w:rFonts w:hint="eastAsia" w:ascii="宋体" w:hAnsi="宋体" w:eastAsia="宋体" w:cs="宋体"/>
              <w:bCs/>
              <w:kern w:val="0"/>
              <w:szCs w:val="21"/>
              <w:highlight w:val="none"/>
            </w:rPr>
            <w:t>《中华人民共和国水文条例》案由5项</w:t>
          </w:r>
          <w:r>
            <w:tab/>
          </w:r>
          <w:r>
            <w:fldChar w:fldCharType="begin"/>
          </w:r>
          <w:r>
            <w:instrText xml:space="preserve"> PAGEREF _Toc587339941 \h </w:instrText>
          </w:r>
          <w:r>
            <w:fldChar w:fldCharType="separate"/>
          </w:r>
          <w:r>
            <w:t>195</w:t>
          </w:r>
          <w:r>
            <w:fldChar w:fldCharType="end"/>
          </w:r>
          <w:r>
            <w:rPr>
              <w:color w:val="auto"/>
              <w:highlight w:val="none"/>
            </w:rPr>
            <w:fldChar w:fldCharType="end"/>
          </w:r>
        </w:p>
        <w:p w14:paraId="3B421E47">
          <w:pPr>
            <w:pStyle w:val="19"/>
            <w:tabs>
              <w:tab w:val="right" w:leader="dot" w:pos="9582"/>
            </w:tabs>
          </w:pPr>
          <w:r>
            <w:rPr>
              <w:color w:val="auto"/>
              <w:highlight w:val="none"/>
            </w:rPr>
            <w:fldChar w:fldCharType="begin"/>
          </w:r>
          <w:r>
            <w:rPr>
              <w:highlight w:val="none"/>
            </w:rPr>
            <w:instrText xml:space="preserve"> HYPERLINK \l _Toc871765378 </w:instrText>
          </w:r>
          <w:r>
            <w:rPr>
              <w:highlight w:val="none"/>
            </w:rPr>
            <w:fldChar w:fldCharType="separate"/>
          </w:r>
          <w:r>
            <w:rPr>
              <w:rFonts w:hint="eastAsia" w:ascii="宋体" w:hAnsi="宋体" w:eastAsia="宋体" w:cs="宋体"/>
              <w:bCs/>
              <w:kern w:val="0"/>
              <w:szCs w:val="21"/>
              <w:highlight w:val="none"/>
            </w:rPr>
            <w:t>《中华人民共和国行政许可法》《水行政许可实施办法》案由4项</w:t>
          </w:r>
          <w:r>
            <w:tab/>
          </w:r>
          <w:r>
            <w:fldChar w:fldCharType="begin"/>
          </w:r>
          <w:r>
            <w:instrText xml:space="preserve"> PAGEREF _Toc871765378 \h </w:instrText>
          </w:r>
          <w:r>
            <w:fldChar w:fldCharType="separate"/>
          </w:r>
          <w:r>
            <w:t>196</w:t>
          </w:r>
          <w:r>
            <w:fldChar w:fldCharType="end"/>
          </w:r>
          <w:r>
            <w:rPr>
              <w:color w:val="auto"/>
              <w:highlight w:val="none"/>
            </w:rPr>
            <w:fldChar w:fldCharType="end"/>
          </w:r>
        </w:p>
        <w:p w14:paraId="4E60CF78">
          <w:pPr>
            <w:pStyle w:val="17"/>
            <w:tabs>
              <w:tab w:val="right" w:leader="dot" w:pos="9582"/>
            </w:tabs>
          </w:pPr>
          <w:r>
            <w:rPr>
              <w:color w:val="auto"/>
              <w:highlight w:val="none"/>
            </w:rPr>
            <w:fldChar w:fldCharType="begin"/>
          </w:r>
          <w:r>
            <w:rPr>
              <w:highlight w:val="none"/>
            </w:rPr>
            <w:instrText xml:space="preserve"> HYPERLINK \l _Toc1931890835 </w:instrText>
          </w:r>
          <w:r>
            <w:rPr>
              <w:highlight w:val="none"/>
            </w:rPr>
            <w:fldChar w:fldCharType="separate"/>
          </w:r>
          <w:r>
            <w:rPr>
              <w:rFonts w:hint="eastAsia" w:ascii="黑体" w:hAnsi="黑体" w:eastAsia="黑体" w:cs="黑体"/>
              <w:kern w:val="0"/>
              <w:szCs w:val="28"/>
              <w:highlight w:val="none"/>
            </w:rPr>
            <w:t>水务移民管理方面</w:t>
          </w:r>
          <w:r>
            <w:tab/>
          </w:r>
          <w:r>
            <w:fldChar w:fldCharType="begin"/>
          </w:r>
          <w:r>
            <w:instrText xml:space="preserve"> PAGEREF _Toc1931890835 \h </w:instrText>
          </w:r>
          <w:r>
            <w:fldChar w:fldCharType="separate"/>
          </w:r>
          <w:r>
            <w:t>198</w:t>
          </w:r>
          <w:r>
            <w:fldChar w:fldCharType="end"/>
          </w:r>
          <w:r>
            <w:rPr>
              <w:color w:val="auto"/>
              <w:highlight w:val="none"/>
            </w:rPr>
            <w:fldChar w:fldCharType="end"/>
          </w:r>
        </w:p>
        <w:p w14:paraId="0CCBEC45">
          <w:pPr>
            <w:pStyle w:val="19"/>
            <w:tabs>
              <w:tab w:val="right" w:leader="dot" w:pos="9582"/>
            </w:tabs>
          </w:pPr>
          <w:r>
            <w:rPr>
              <w:color w:val="auto"/>
              <w:highlight w:val="none"/>
            </w:rPr>
            <w:fldChar w:fldCharType="begin"/>
          </w:r>
          <w:r>
            <w:rPr>
              <w:highlight w:val="none"/>
            </w:rPr>
            <w:instrText xml:space="preserve"> HYPERLINK \l _Toc715202099 </w:instrText>
          </w:r>
          <w:r>
            <w:rPr>
              <w:highlight w:val="none"/>
            </w:rPr>
            <w:fldChar w:fldCharType="separate"/>
          </w:r>
          <w:r>
            <w:rPr>
              <w:rFonts w:hint="eastAsia" w:ascii="宋体" w:hAnsi="宋体" w:eastAsia="宋体" w:cs="宋体"/>
              <w:bCs/>
              <w:kern w:val="0"/>
              <w:szCs w:val="21"/>
              <w:highlight w:val="none"/>
            </w:rPr>
            <w:t>《大中型水利水电工程建设征地补偿和移民安置条例》案由3项</w:t>
          </w:r>
          <w:r>
            <w:tab/>
          </w:r>
          <w:r>
            <w:fldChar w:fldCharType="begin"/>
          </w:r>
          <w:r>
            <w:instrText xml:space="preserve"> PAGEREF _Toc715202099 \h </w:instrText>
          </w:r>
          <w:r>
            <w:fldChar w:fldCharType="separate"/>
          </w:r>
          <w:r>
            <w:t>198</w:t>
          </w:r>
          <w:r>
            <w:fldChar w:fldCharType="end"/>
          </w:r>
          <w:r>
            <w:rPr>
              <w:color w:val="auto"/>
              <w:highlight w:val="none"/>
            </w:rPr>
            <w:fldChar w:fldCharType="end"/>
          </w:r>
        </w:p>
        <w:p w14:paraId="135D0C3F">
          <w:pPr>
            <w:pStyle w:val="17"/>
            <w:tabs>
              <w:tab w:val="right" w:leader="dot" w:pos="9582"/>
            </w:tabs>
          </w:pPr>
          <w:r>
            <w:rPr>
              <w:color w:val="auto"/>
              <w:highlight w:val="none"/>
            </w:rPr>
            <w:fldChar w:fldCharType="begin"/>
          </w:r>
          <w:r>
            <w:rPr>
              <w:highlight w:val="none"/>
            </w:rPr>
            <w:instrText xml:space="preserve"> HYPERLINK \l _Toc1954588193 </w:instrText>
          </w:r>
          <w:r>
            <w:rPr>
              <w:highlight w:val="none"/>
            </w:rPr>
            <w:fldChar w:fldCharType="separate"/>
          </w:r>
          <w:r>
            <w:rPr>
              <w:rFonts w:hint="eastAsia" w:ascii="黑体" w:hAnsi="黑体" w:eastAsia="黑体" w:cs="黑体"/>
              <w:kern w:val="0"/>
              <w:szCs w:val="28"/>
              <w:highlight w:val="none"/>
            </w:rPr>
            <w:t>防汛抗旱管理方面</w:t>
          </w:r>
          <w:r>
            <w:tab/>
          </w:r>
          <w:r>
            <w:fldChar w:fldCharType="begin"/>
          </w:r>
          <w:r>
            <w:instrText xml:space="preserve"> PAGEREF _Toc1954588193 \h </w:instrText>
          </w:r>
          <w:r>
            <w:fldChar w:fldCharType="separate"/>
          </w:r>
          <w:r>
            <w:t>198</w:t>
          </w:r>
          <w:r>
            <w:fldChar w:fldCharType="end"/>
          </w:r>
          <w:r>
            <w:rPr>
              <w:color w:val="auto"/>
              <w:highlight w:val="none"/>
            </w:rPr>
            <w:fldChar w:fldCharType="end"/>
          </w:r>
        </w:p>
        <w:p w14:paraId="7E91BB27">
          <w:pPr>
            <w:pStyle w:val="19"/>
            <w:tabs>
              <w:tab w:val="right" w:leader="dot" w:pos="9582"/>
            </w:tabs>
          </w:pPr>
          <w:r>
            <w:rPr>
              <w:color w:val="auto"/>
              <w:highlight w:val="none"/>
            </w:rPr>
            <w:fldChar w:fldCharType="begin"/>
          </w:r>
          <w:r>
            <w:rPr>
              <w:highlight w:val="none"/>
            </w:rPr>
            <w:instrText xml:space="preserve"> HYPERLINK \l _Toc1964421824 </w:instrText>
          </w:r>
          <w:r>
            <w:rPr>
              <w:highlight w:val="none"/>
            </w:rPr>
            <w:fldChar w:fldCharType="separate"/>
          </w:r>
          <w:r>
            <w:rPr>
              <w:rFonts w:hint="eastAsia" w:ascii="宋体" w:hAnsi="宋体" w:eastAsia="宋体" w:cs="宋体"/>
              <w:bCs/>
              <w:kern w:val="0"/>
              <w:szCs w:val="21"/>
              <w:highlight w:val="none"/>
            </w:rPr>
            <w:t>《中华人民共和国抗旱条例》案由4项</w:t>
          </w:r>
          <w:r>
            <w:tab/>
          </w:r>
          <w:r>
            <w:fldChar w:fldCharType="begin"/>
          </w:r>
          <w:r>
            <w:instrText xml:space="preserve"> PAGEREF _Toc1964421824 \h </w:instrText>
          </w:r>
          <w:r>
            <w:fldChar w:fldCharType="separate"/>
          </w:r>
          <w:r>
            <w:t>198</w:t>
          </w:r>
          <w:r>
            <w:fldChar w:fldCharType="end"/>
          </w:r>
          <w:r>
            <w:rPr>
              <w:color w:val="auto"/>
              <w:highlight w:val="none"/>
            </w:rPr>
            <w:fldChar w:fldCharType="end"/>
          </w:r>
        </w:p>
        <w:p w14:paraId="0C72AC42">
          <w:pPr>
            <w:pStyle w:val="19"/>
            <w:tabs>
              <w:tab w:val="right" w:leader="dot" w:pos="9582"/>
            </w:tabs>
          </w:pPr>
          <w:r>
            <w:rPr>
              <w:color w:val="auto"/>
              <w:highlight w:val="none"/>
            </w:rPr>
            <w:fldChar w:fldCharType="begin"/>
          </w:r>
          <w:r>
            <w:rPr>
              <w:highlight w:val="none"/>
            </w:rPr>
            <w:instrText xml:space="preserve"> HYPERLINK \l _Toc1805578450 </w:instrText>
          </w:r>
          <w:r>
            <w:rPr>
              <w:highlight w:val="none"/>
            </w:rPr>
            <w:fldChar w:fldCharType="separate"/>
          </w:r>
          <w:r>
            <w:rPr>
              <w:rFonts w:hint="eastAsia" w:ascii="宋体" w:hAnsi="宋体" w:eastAsia="宋体" w:cs="宋体"/>
              <w:bCs/>
              <w:kern w:val="0"/>
              <w:szCs w:val="21"/>
              <w:highlight w:val="none"/>
            </w:rPr>
            <w:t>《中华人民共和国河道管理条例》案由1项</w:t>
          </w:r>
          <w:r>
            <w:tab/>
          </w:r>
          <w:r>
            <w:fldChar w:fldCharType="begin"/>
          </w:r>
          <w:r>
            <w:instrText xml:space="preserve"> PAGEREF _Toc1805578450 \h </w:instrText>
          </w:r>
          <w:r>
            <w:fldChar w:fldCharType="separate"/>
          </w:r>
          <w:r>
            <w:t>199</w:t>
          </w:r>
          <w:r>
            <w:fldChar w:fldCharType="end"/>
          </w:r>
          <w:r>
            <w:rPr>
              <w:color w:val="auto"/>
              <w:highlight w:val="none"/>
            </w:rPr>
            <w:fldChar w:fldCharType="end"/>
          </w:r>
        </w:p>
        <w:p w14:paraId="1D1978BD">
          <w:pPr>
            <w:pStyle w:val="17"/>
            <w:tabs>
              <w:tab w:val="right" w:leader="dot" w:pos="9582"/>
            </w:tabs>
          </w:pPr>
          <w:r>
            <w:rPr>
              <w:color w:val="auto"/>
              <w:highlight w:val="none"/>
            </w:rPr>
            <w:fldChar w:fldCharType="begin"/>
          </w:r>
          <w:r>
            <w:rPr>
              <w:highlight w:val="none"/>
            </w:rPr>
            <w:instrText xml:space="preserve"> HYPERLINK \l _Toc3181134 </w:instrText>
          </w:r>
          <w:r>
            <w:rPr>
              <w:highlight w:val="none"/>
            </w:rPr>
            <w:fldChar w:fldCharType="separate"/>
          </w:r>
          <w:r>
            <w:rPr>
              <w:rFonts w:hint="eastAsia" w:ascii="黑体" w:hAnsi="黑体" w:eastAsia="黑体" w:cs="黑体"/>
              <w:kern w:val="0"/>
              <w:szCs w:val="28"/>
              <w:highlight w:val="none"/>
            </w:rPr>
            <w:t>水利项目招投标管理方面</w:t>
          </w:r>
          <w:r>
            <w:tab/>
          </w:r>
          <w:r>
            <w:fldChar w:fldCharType="begin"/>
          </w:r>
          <w:r>
            <w:instrText xml:space="preserve"> PAGEREF _Toc3181134 \h </w:instrText>
          </w:r>
          <w:r>
            <w:fldChar w:fldCharType="separate"/>
          </w:r>
          <w:r>
            <w:t>199</w:t>
          </w:r>
          <w:r>
            <w:fldChar w:fldCharType="end"/>
          </w:r>
          <w:r>
            <w:rPr>
              <w:color w:val="auto"/>
              <w:highlight w:val="none"/>
            </w:rPr>
            <w:fldChar w:fldCharType="end"/>
          </w:r>
        </w:p>
        <w:p w14:paraId="2035C9B6">
          <w:pPr>
            <w:pStyle w:val="19"/>
            <w:tabs>
              <w:tab w:val="right" w:leader="dot" w:pos="9582"/>
            </w:tabs>
          </w:pPr>
          <w:r>
            <w:rPr>
              <w:color w:val="auto"/>
              <w:highlight w:val="none"/>
            </w:rPr>
            <w:fldChar w:fldCharType="begin"/>
          </w:r>
          <w:r>
            <w:rPr>
              <w:highlight w:val="none"/>
            </w:rPr>
            <w:instrText xml:space="preserve"> HYPERLINK \l _Toc1989036001 </w:instrText>
          </w:r>
          <w:r>
            <w:rPr>
              <w:highlight w:val="none"/>
            </w:rPr>
            <w:fldChar w:fldCharType="separate"/>
          </w:r>
          <w:r>
            <w:rPr>
              <w:rFonts w:hint="eastAsia" w:ascii="宋体" w:hAnsi="宋体" w:eastAsia="宋体" w:cs="宋体"/>
              <w:bCs/>
              <w:kern w:val="0"/>
              <w:szCs w:val="21"/>
              <w:highlight w:val="none"/>
            </w:rPr>
            <w:t>《中华人民共和国招标投标法》《中华人民共和国招标投标法实施条例》案由9项</w:t>
          </w:r>
          <w:r>
            <w:tab/>
          </w:r>
          <w:r>
            <w:fldChar w:fldCharType="begin"/>
          </w:r>
          <w:r>
            <w:instrText xml:space="preserve"> PAGEREF _Toc1989036001 \h </w:instrText>
          </w:r>
          <w:r>
            <w:fldChar w:fldCharType="separate"/>
          </w:r>
          <w:r>
            <w:t>199</w:t>
          </w:r>
          <w:r>
            <w:fldChar w:fldCharType="end"/>
          </w:r>
          <w:r>
            <w:rPr>
              <w:color w:val="auto"/>
              <w:highlight w:val="none"/>
            </w:rPr>
            <w:fldChar w:fldCharType="end"/>
          </w:r>
        </w:p>
        <w:p w14:paraId="1E8E1D78">
          <w:pPr>
            <w:pStyle w:val="19"/>
            <w:tabs>
              <w:tab w:val="right" w:leader="dot" w:pos="9582"/>
            </w:tabs>
          </w:pPr>
          <w:r>
            <w:rPr>
              <w:color w:val="auto"/>
              <w:highlight w:val="none"/>
            </w:rPr>
            <w:fldChar w:fldCharType="begin"/>
          </w:r>
          <w:r>
            <w:rPr>
              <w:highlight w:val="none"/>
            </w:rPr>
            <w:instrText xml:space="preserve"> HYPERLINK \l _Toc762678722 </w:instrText>
          </w:r>
          <w:r>
            <w:rPr>
              <w:highlight w:val="none"/>
            </w:rPr>
            <w:fldChar w:fldCharType="separate"/>
          </w:r>
          <w:r>
            <w:rPr>
              <w:rFonts w:hint="eastAsia" w:ascii="宋体" w:hAnsi="宋体" w:eastAsia="宋体" w:cs="宋体"/>
              <w:bCs/>
              <w:kern w:val="0"/>
              <w:szCs w:val="21"/>
              <w:highlight w:val="none"/>
            </w:rPr>
            <w:t>《中华人民共和国招标投标法实施条例》案由12项</w:t>
          </w:r>
          <w:r>
            <w:tab/>
          </w:r>
          <w:r>
            <w:fldChar w:fldCharType="begin"/>
          </w:r>
          <w:r>
            <w:instrText xml:space="preserve"> PAGEREF _Toc762678722 \h </w:instrText>
          </w:r>
          <w:r>
            <w:fldChar w:fldCharType="separate"/>
          </w:r>
          <w:r>
            <w:t>202</w:t>
          </w:r>
          <w:r>
            <w:fldChar w:fldCharType="end"/>
          </w:r>
          <w:r>
            <w:rPr>
              <w:color w:val="auto"/>
              <w:highlight w:val="none"/>
            </w:rPr>
            <w:fldChar w:fldCharType="end"/>
          </w:r>
        </w:p>
        <w:p w14:paraId="43B945DD">
          <w:pPr>
            <w:pStyle w:val="19"/>
            <w:tabs>
              <w:tab w:val="right" w:leader="dot" w:pos="9582"/>
            </w:tabs>
          </w:pPr>
          <w:r>
            <w:rPr>
              <w:color w:val="auto"/>
              <w:highlight w:val="none"/>
            </w:rPr>
            <w:fldChar w:fldCharType="begin"/>
          </w:r>
          <w:r>
            <w:rPr>
              <w:highlight w:val="none"/>
            </w:rPr>
            <w:instrText xml:space="preserve"> HYPERLINK \l _Toc803184549 </w:instrText>
          </w:r>
          <w:r>
            <w:rPr>
              <w:highlight w:val="none"/>
            </w:rPr>
            <w:fldChar w:fldCharType="separate"/>
          </w:r>
          <w:r>
            <w:rPr>
              <w:rFonts w:hint="eastAsia" w:ascii="宋体" w:hAnsi="宋体" w:eastAsia="宋体" w:cs="宋体"/>
              <w:bCs/>
              <w:kern w:val="0"/>
              <w:szCs w:val="21"/>
              <w:highlight w:val="none"/>
            </w:rPr>
            <w:t>《工程建设项目施工招标投标办法》案由1项</w:t>
          </w:r>
          <w:r>
            <w:tab/>
          </w:r>
          <w:r>
            <w:fldChar w:fldCharType="begin"/>
          </w:r>
          <w:r>
            <w:instrText xml:space="preserve"> PAGEREF _Toc803184549 \h </w:instrText>
          </w:r>
          <w:r>
            <w:fldChar w:fldCharType="separate"/>
          </w:r>
          <w:r>
            <w:t>204</w:t>
          </w:r>
          <w:r>
            <w:fldChar w:fldCharType="end"/>
          </w:r>
          <w:r>
            <w:rPr>
              <w:color w:val="auto"/>
              <w:highlight w:val="none"/>
            </w:rPr>
            <w:fldChar w:fldCharType="end"/>
          </w:r>
        </w:p>
        <w:p w14:paraId="12942591">
          <w:pPr>
            <w:pStyle w:val="17"/>
            <w:tabs>
              <w:tab w:val="right" w:leader="dot" w:pos="9582"/>
            </w:tabs>
          </w:pPr>
          <w:r>
            <w:rPr>
              <w:color w:val="auto"/>
              <w:highlight w:val="none"/>
            </w:rPr>
            <w:fldChar w:fldCharType="begin"/>
          </w:r>
          <w:r>
            <w:rPr>
              <w:highlight w:val="none"/>
            </w:rPr>
            <w:instrText xml:space="preserve"> HYPERLINK \l _Toc540032834 </w:instrText>
          </w:r>
          <w:r>
            <w:rPr>
              <w:highlight w:val="none"/>
            </w:rPr>
            <w:fldChar w:fldCharType="separate"/>
          </w:r>
          <w:r>
            <w:rPr>
              <w:rFonts w:hint="eastAsia" w:ascii="黑体" w:hAnsi="黑体" w:eastAsia="黑体" w:cs="黑体"/>
              <w:kern w:val="0"/>
              <w:szCs w:val="28"/>
              <w:highlight w:val="none"/>
            </w:rPr>
            <w:t>水利建设勘察设计管理方面</w:t>
          </w:r>
          <w:r>
            <w:tab/>
          </w:r>
          <w:r>
            <w:fldChar w:fldCharType="begin"/>
          </w:r>
          <w:r>
            <w:instrText xml:space="preserve"> PAGEREF _Toc540032834 \h </w:instrText>
          </w:r>
          <w:r>
            <w:fldChar w:fldCharType="separate"/>
          </w:r>
          <w:r>
            <w:t>204</w:t>
          </w:r>
          <w:r>
            <w:fldChar w:fldCharType="end"/>
          </w:r>
          <w:r>
            <w:rPr>
              <w:color w:val="auto"/>
              <w:highlight w:val="none"/>
            </w:rPr>
            <w:fldChar w:fldCharType="end"/>
          </w:r>
        </w:p>
        <w:p w14:paraId="1523DE45">
          <w:pPr>
            <w:pStyle w:val="19"/>
            <w:tabs>
              <w:tab w:val="right" w:leader="dot" w:pos="9582"/>
            </w:tabs>
          </w:pPr>
          <w:r>
            <w:rPr>
              <w:color w:val="auto"/>
              <w:highlight w:val="none"/>
            </w:rPr>
            <w:fldChar w:fldCharType="begin"/>
          </w:r>
          <w:r>
            <w:rPr>
              <w:highlight w:val="none"/>
            </w:rPr>
            <w:instrText xml:space="preserve"> HYPERLINK \l _Toc1445542441 </w:instrText>
          </w:r>
          <w:r>
            <w:rPr>
              <w:highlight w:val="none"/>
            </w:rPr>
            <w:fldChar w:fldCharType="separate"/>
          </w:r>
          <w:r>
            <w:rPr>
              <w:rFonts w:hint="eastAsia" w:ascii="宋体" w:hAnsi="宋体" w:eastAsia="宋体" w:cs="宋体"/>
              <w:bCs/>
              <w:kern w:val="0"/>
              <w:szCs w:val="21"/>
              <w:highlight w:val="none"/>
            </w:rPr>
            <w:t>《建设工程勘察设计管理条例》案由5项</w:t>
          </w:r>
          <w:r>
            <w:tab/>
          </w:r>
          <w:r>
            <w:fldChar w:fldCharType="begin"/>
          </w:r>
          <w:r>
            <w:instrText xml:space="preserve"> PAGEREF _Toc1445542441 \h </w:instrText>
          </w:r>
          <w:r>
            <w:fldChar w:fldCharType="separate"/>
          </w:r>
          <w:r>
            <w:t>205</w:t>
          </w:r>
          <w:r>
            <w:fldChar w:fldCharType="end"/>
          </w:r>
          <w:r>
            <w:rPr>
              <w:color w:val="auto"/>
              <w:highlight w:val="none"/>
            </w:rPr>
            <w:fldChar w:fldCharType="end"/>
          </w:r>
        </w:p>
        <w:p w14:paraId="46E9DB1F">
          <w:pPr>
            <w:pStyle w:val="19"/>
            <w:tabs>
              <w:tab w:val="right" w:leader="dot" w:pos="9582"/>
            </w:tabs>
          </w:pPr>
          <w:r>
            <w:rPr>
              <w:color w:val="auto"/>
              <w:highlight w:val="none"/>
            </w:rPr>
            <w:fldChar w:fldCharType="begin"/>
          </w:r>
          <w:r>
            <w:rPr>
              <w:highlight w:val="none"/>
            </w:rPr>
            <w:instrText xml:space="preserve"> HYPERLINK \l _Toc238842986 </w:instrText>
          </w:r>
          <w:r>
            <w:rPr>
              <w:highlight w:val="none"/>
            </w:rPr>
            <w:fldChar w:fldCharType="separate"/>
          </w:r>
          <w:r>
            <w:rPr>
              <w:rFonts w:ascii="Times New Roman" w:hAnsi="Times New Roman" w:eastAsia="宋体" w:cs="Times New Roman"/>
              <w:bCs/>
              <w:kern w:val="0"/>
              <w:szCs w:val="21"/>
              <w:highlight w:val="none"/>
            </w:rPr>
            <w:t>《建设工程质量管理条例》《水利工程质量管理规定》案由4项</w:t>
          </w:r>
          <w:r>
            <w:tab/>
          </w:r>
          <w:r>
            <w:fldChar w:fldCharType="begin"/>
          </w:r>
          <w:r>
            <w:instrText xml:space="preserve"> PAGEREF _Toc238842986 \h </w:instrText>
          </w:r>
          <w:r>
            <w:fldChar w:fldCharType="separate"/>
          </w:r>
          <w:r>
            <w:t>206</w:t>
          </w:r>
          <w:r>
            <w:fldChar w:fldCharType="end"/>
          </w:r>
          <w:r>
            <w:rPr>
              <w:color w:val="auto"/>
              <w:highlight w:val="none"/>
            </w:rPr>
            <w:fldChar w:fldCharType="end"/>
          </w:r>
        </w:p>
        <w:p w14:paraId="0F9EFBE7">
          <w:pPr>
            <w:pStyle w:val="19"/>
            <w:tabs>
              <w:tab w:val="right" w:leader="dot" w:pos="9582"/>
            </w:tabs>
          </w:pPr>
          <w:r>
            <w:rPr>
              <w:color w:val="auto"/>
              <w:highlight w:val="none"/>
            </w:rPr>
            <w:fldChar w:fldCharType="begin"/>
          </w:r>
          <w:r>
            <w:rPr>
              <w:highlight w:val="none"/>
            </w:rPr>
            <w:instrText xml:space="preserve"> HYPERLINK \l _Toc1869631069 </w:instrText>
          </w:r>
          <w:r>
            <w:rPr>
              <w:highlight w:val="none"/>
            </w:rPr>
            <w:fldChar w:fldCharType="separate"/>
          </w:r>
          <w:r>
            <w:rPr>
              <w:rFonts w:ascii="Times New Roman" w:hAnsi="Times New Roman" w:eastAsia="宋体" w:cs="Times New Roman"/>
              <w:bCs/>
              <w:kern w:val="0"/>
              <w:szCs w:val="21"/>
              <w:highlight w:val="none"/>
            </w:rPr>
            <w:t>《建设工程勘察质量管理办法》案由17项</w:t>
          </w:r>
          <w:r>
            <w:tab/>
          </w:r>
          <w:r>
            <w:fldChar w:fldCharType="begin"/>
          </w:r>
          <w:r>
            <w:instrText xml:space="preserve"> PAGEREF _Toc1869631069 \h </w:instrText>
          </w:r>
          <w:r>
            <w:fldChar w:fldCharType="separate"/>
          </w:r>
          <w:r>
            <w:t>207</w:t>
          </w:r>
          <w:r>
            <w:fldChar w:fldCharType="end"/>
          </w:r>
          <w:r>
            <w:rPr>
              <w:color w:val="auto"/>
              <w:highlight w:val="none"/>
            </w:rPr>
            <w:fldChar w:fldCharType="end"/>
          </w:r>
        </w:p>
        <w:p w14:paraId="5722A0D5">
          <w:pPr>
            <w:pStyle w:val="19"/>
            <w:tabs>
              <w:tab w:val="right" w:leader="dot" w:pos="9582"/>
            </w:tabs>
          </w:pPr>
          <w:r>
            <w:rPr>
              <w:color w:val="auto"/>
              <w:highlight w:val="none"/>
            </w:rPr>
            <w:fldChar w:fldCharType="begin"/>
          </w:r>
          <w:r>
            <w:rPr>
              <w:highlight w:val="none"/>
            </w:rPr>
            <w:instrText xml:space="preserve"> HYPERLINK \l _Toc407021299 </w:instrText>
          </w:r>
          <w:r>
            <w:rPr>
              <w:highlight w:val="none"/>
            </w:rPr>
            <w:fldChar w:fldCharType="separate"/>
          </w:r>
          <w:r>
            <w:rPr>
              <w:rFonts w:hint="eastAsia" w:ascii="宋体" w:hAnsi="宋体" w:eastAsia="宋体" w:cs="宋体"/>
              <w:bCs/>
              <w:kern w:val="0"/>
              <w:szCs w:val="21"/>
              <w:highlight w:val="none"/>
            </w:rPr>
            <w:t>《建设工程勘察设计资质管理规定》案由4项</w:t>
          </w:r>
          <w:r>
            <w:tab/>
          </w:r>
          <w:r>
            <w:fldChar w:fldCharType="begin"/>
          </w:r>
          <w:r>
            <w:instrText xml:space="preserve"> PAGEREF _Toc407021299 \h </w:instrText>
          </w:r>
          <w:r>
            <w:fldChar w:fldCharType="separate"/>
          </w:r>
          <w:r>
            <w:t>209</w:t>
          </w:r>
          <w:r>
            <w:fldChar w:fldCharType="end"/>
          </w:r>
          <w:r>
            <w:rPr>
              <w:color w:val="auto"/>
              <w:highlight w:val="none"/>
            </w:rPr>
            <w:fldChar w:fldCharType="end"/>
          </w:r>
        </w:p>
        <w:p w14:paraId="06AD2892">
          <w:pPr>
            <w:pStyle w:val="17"/>
            <w:tabs>
              <w:tab w:val="right" w:leader="dot" w:pos="9582"/>
            </w:tabs>
          </w:pPr>
          <w:r>
            <w:rPr>
              <w:color w:val="auto"/>
              <w:highlight w:val="none"/>
            </w:rPr>
            <w:fldChar w:fldCharType="begin"/>
          </w:r>
          <w:r>
            <w:rPr>
              <w:highlight w:val="none"/>
            </w:rPr>
            <w:instrText xml:space="preserve"> HYPERLINK \l _Toc929467986 </w:instrText>
          </w:r>
          <w:r>
            <w:rPr>
              <w:highlight w:val="none"/>
            </w:rPr>
            <w:fldChar w:fldCharType="separate"/>
          </w:r>
          <w:r>
            <w:rPr>
              <w:rFonts w:hint="eastAsia" w:ascii="黑体" w:hAnsi="黑体" w:eastAsia="黑体" w:cs="黑体"/>
              <w:kern w:val="0"/>
              <w:szCs w:val="28"/>
              <w:highlight w:val="none"/>
            </w:rPr>
            <w:t>水利工程建设质量管理方面</w:t>
          </w:r>
          <w:r>
            <w:tab/>
          </w:r>
          <w:r>
            <w:fldChar w:fldCharType="begin"/>
          </w:r>
          <w:r>
            <w:instrText xml:space="preserve"> PAGEREF _Toc929467986 \h </w:instrText>
          </w:r>
          <w:r>
            <w:fldChar w:fldCharType="separate"/>
          </w:r>
          <w:r>
            <w:t>210</w:t>
          </w:r>
          <w:r>
            <w:fldChar w:fldCharType="end"/>
          </w:r>
          <w:r>
            <w:rPr>
              <w:color w:val="auto"/>
              <w:highlight w:val="none"/>
            </w:rPr>
            <w:fldChar w:fldCharType="end"/>
          </w:r>
        </w:p>
        <w:p w14:paraId="2896E8F6">
          <w:pPr>
            <w:pStyle w:val="19"/>
            <w:tabs>
              <w:tab w:val="right" w:leader="dot" w:pos="9582"/>
            </w:tabs>
          </w:pPr>
          <w:r>
            <w:rPr>
              <w:color w:val="auto"/>
              <w:highlight w:val="none"/>
            </w:rPr>
            <w:fldChar w:fldCharType="begin"/>
          </w:r>
          <w:r>
            <w:rPr>
              <w:highlight w:val="none"/>
            </w:rPr>
            <w:instrText xml:space="preserve"> HYPERLINK \l _Toc362959551 </w:instrText>
          </w:r>
          <w:r>
            <w:rPr>
              <w:highlight w:val="none"/>
            </w:rPr>
            <w:fldChar w:fldCharType="separate"/>
          </w:r>
          <w:r>
            <w:rPr>
              <w:rFonts w:ascii="Times New Roman" w:hAnsi="Times New Roman" w:eastAsia="宋体" w:cs="Times New Roman"/>
              <w:bCs/>
              <w:kern w:val="0"/>
              <w:szCs w:val="21"/>
              <w:highlight w:val="none"/>
            </w:rPr>
            <w:t>《中华人民共和国建筑法》案由1项</w:t>
          </w:r>
          <w:r>
            <w:tab/>
          </w:r>
          <w:r>
            <w:fldChar w:fldCharType="begin"/>
          </w:r>
          <w:r>
            <w:instrText xml:space="preserve"> PAGEREF _Toc362959551 \h </w:instrText>
          </w:r>
          <w:r>
            <w:fldChar w:fldCharType="separate"/>
          </w:r>
          <w:r>
            <w:t>210</w:t>
          </w:r>
          <w:r>
            <w:fldChar w:fldCharType="end"/>
          </w:r>
          <w:r>
            <w:rPr>
              <w:color w:val="auto"/>
              <w:highlight w:val="none"/>
            </w:rPr>
            <w:fldChar w:fldCharType="end"/>
          </w:r>
        </w:p>
        <w:p w14:paraId="60563D2A">
          <w:pPr>
            <w:pStyle w:val="19"/>
            <w:tabs>
              <w:tab w:val="right" w:leader="dot" w:pos="9582"/>
            </w:tabs>
          </w:pPr>
          <w:r>
            <w:rPr>
              <w:color w:val="auto"/>
              <w:highlight w:val="none"/>
            </w:rPr>
            <w:fldChar w:fldCharType="begin"/>
          </w:r>
          <w:r>
            <w:rPr>
              <w:highlight w:val="none"/>
            </w:rPr>
            <w:instrText xml:space="preserve"> HYPERLINK \l _Toc1878259953 </w:instrText>
          </w:r>
          <w:r>
            <w:rPr>
              <w:highlight w:val="none"/>
            </w:rPr>
            <w:fldChar w:fldCharType="separate"/>
          </w:r>
          <w:r>
            <w:rPr>
              <w:rFonts w:hint="eastAsia" w:ascii="宋体" w:hAnsi="宋体" w:eastAsia="宋体" w:cs="宋体"/>
              <w:bCs/>
              <w:kern w:val="0"/>
              <w:szCs w:val="21"/>
              <w:highlight w:val="none"/>
            </w:rPr>
            <w:t>《建设工程质量管理条例》《水利工程质量管理规定》案由28项</w:t>
          </w:r>
          <w:r>
            <w:tab/>
          </w:r>
          <w:r>
            <w:fldChar w:fldCharType="begin"/>
          </w:r>
          <w:r>
            <w:instrText xml:space="preserve"> PAGEREF _Toc1878259953 \h </w:instrText>
          </w:r>
          <w:r>
            <w:fldChar w:fldCharType="separate"/>
          </w:r>
          <w:r>
            <w:t>210</w:t>
          </w:r>
          <w:r>
            <w:fldChar w:fldCharType="end"/>
          </w:r>
          <w:r>
            <w:rPr>
              <w:color w:val="auto"/>
              <w:highlight w:val="none"/>
            </w:rPr>
            <w:fldChar w:fldCharType="end"/>
          </w:r>
        </w:p>
        <w:p w14:paraId="06305C44">
          <w:pPr>
            <w:pStyle w:val="19"/>
            <w:tabs>
              <w:tab w:val="right" w:leader="dot" w:pos="9582"/>
            </w:tabs>
          </w:pPr>
          <w:r>
            <w:rPr>
              <w:color w:val="auto"/>
              <w:highlight w:val="none"/>
            </w:rPr>
            <w:fldChar w:fldCharType="begin"/>
          </w:r>
          <w:r>
            <w:rPr>
              <w:highlight w:val="none"/>
            </w:rPr>
            <w:instrText xml:space="preserve"> HYPERLINK \l _Toc884868795 </w:instrText>
          </w:r>
          <w:r>
            <w:rPr>
              <w:highlight w:val="none"/>
            </w:rPr>
            <w:fldChar w:fldCharType="separate"/>
          </w:r>
          <w:r>
            <w:rPr>
              <w:rFonts w:hint="eastAsia" w:ascii="宋体" w:hAnsi="宋体" w:eastAsia="宋体" w:cs="宋体"/>
              <w:bCs/>
              <w:kern w:val="0"/>
              <w:szCs w:val="21"/>
              <w:highlight w:val="none"/>
            </w:rPr>
            <w:t>《水利工程质量管理规定》案由1项</w:t>
          </w:r>
          <w:r>
            <w:tab/>
          </w:r>
          <w:r>
            <w:fldChar w:fldCharType="begin"/>
          </w:r>
          <w:r>
            <w:instrText xml:space="preserve"> PAGEREF _Toc884868795 \h </w:instrText>
          </w:r>
          <w:r>
            <w:fldChar w:fldCharType="separate"/>
          </w:r>
          <w:r>
            <w:t>217</w:t>
          </w:r>
          <w:r>
            <w:fldChar w:fldCharType="end"/>
          </w:r>
          <w:r>
            <w:rPr>
              <w:color w:val="auto"/>
              <w:highlight w:val="none"/>
            </w:rPr>
            <w:fldChar w:fldCharType="end"/>
          </w:r>
        </w:p>
        <w:p w14:paraId="23CA6A5B">
          <w:pPr>
            <w:pStyle w:val="19"/>
            <w:tabs>
              <w:tab w:val="right" w:leader="dot" w:pos="9582"/>
            </w:tabs>
          </w:pPr>
          <w:r>
            <w:rPr>
              <w:color w:val="auto"/>
              <w:highlight w:val="none"/>
            </w:rPr>
            <w:fldChar w:fldCharType="begin"/>
          </w:r>
          <w:r>
            <w:rPr>
              <w:highlight w:val="none"/>
            </w:rPr>
            <w:instrText xml:space="preserve"> HYPERLINK \l _Toc1392058643 </w:instrText>
          </w:r>
          <w:r>
            <w:rPr>
              <w:highlight w:val="none"/>
            </w:rPr>
            <w:fldChar w:fldCharType="separate"/>
          </w:r>
          <w:r>
            <w:rPr>
              <w:rFonts w:hint="eastAsia" w:ascii="宋体" w:hAnsi="宋体" w:eastAsia="宋体" w:cs="宋体"/>
              <w:bCs/>
              <w:kern w:val="0"/>
              <w:szCs w:val="21"/>
              <w:highlight w:val="none"/>
            </w:rPr>
            <w:t>《水利工程质量检测管理规定》案由11项</w:t>
          </w:r>
          <w:r>
            <w:tab/>
          </w:r>
          <w:r>
            <w:fldChar w:fldCharType="begin"/>
          </w:r>
          <w:r>
            <w:instrText xml:space="preserve"> PAGEREF _Toc1392058643 \h </w:instrText>
          </w:r>
          <w:r>
            <w:fldChar w:fldCharType="separate"/>
          </w:r>
          <w:r>
            <w:t>217</w:t>
          </w:r>
          <w:r>
            <w:fldChar w:fldCharType="end"/>
          </w:r>
          <w:r>
            <w:rPr>
              <w:color w:val="auto"/>
              <w:highlight w:val="none"/>
            </w:rPr>
            <w:fldChar w:fldCharType="end"/>
          </w:r>
        </w:p>
        <w:p w14:paraId="5837EB9B">
          <w:pPr>
            <w:pStyle w:val="19"/>
            <w:tabs>
              <w:tab w:val="right" w:leader="dot" w:pos="9582"/>
            </w:tabs>
          </w:pPr>
          <w:r>
            <w:rPr>
              <w:color w:val="auto"/>
              <w:highlight w:val="none"/>
            </w:rPr>
            <w:fldChar w:fldCharType="begin"/>
          </w:r>
          <w:r>
            <w:rPr>
              <w:highlight w:val="none"/>
            </w:rPr>
            <w:instrText xml:space="preserve"> HYPERLINK \l _Toc286248822 </w:instrText>
          </w:r>
          <w:r>
            <w:rPr>
              <w:highlight w:val="none"/>
            </w:rPr>
            <w:fldChar w:fldCharType="separate"/>
          </w:r>
          <w:r>
            <w:rPr>
              <w:rFonts w:hint="eastAsia" w:ascii="宋体" w:hAnsi="宋体" w:eastAsia="宋体" w:cs="宋体"/>
              <w:bCs/>
              <w:kern w:val="0"/>
              <w:szCs w:val="21"/>
              <w:highlight w:val="none"/>
            </w:rPr>
            <w:t>《水利工程建设监理规定》案由</w:t>
          </w:r>
          <w:r>
            <w:rPr>
              <w:rFonts w:hint="eastAsia" w:ascii="宋体" w:hAnsi="宋体" w:eastAsia="宋体" w:cs="宋体"/>
              <w:bCs/>
              <w:kern w:val="0"/>
              <w:szCs w:val="21"/>
              <w:highlight w:val="none"/>
              <w:lang w:val="en-US" w:eastAsia="zh-CN"/>
            </w:rPr>
            <w:t>10</w:t>
          </w:r>
          <w:r>
            <w:rPr>
              <w:rFonts w:hint="eastAsia" w:ascii="宋体" w:hAnsi="宋体" w:eastAsia="宋体" w:cs="宋体"/>
              <w:bCs/>
              <w:kern w:val="0"/>
              <w:szCs w:val="21"/>
              <w:highlight w:val="none"/>
            </w:rPr>
            <w:t>项</w:t>
          </w:r>
          <w:r>
            <w:tab/>
          </w:r>
          <w:r>
            <w:fldChar w:fldCharType="begin"/>
          </w:r>
          <w:r>
            <w:instrText xml:space="preserve"> PAGEREF _Toc286248822 \h </w:instrText>
          </w:r>
          <w:r>
            <w:fldChar w:fldCharType="separate"/>
          </w:r>
          <w:r>
            <w:t>219</w:t>
          </w:r>
          <w:r>
            <w:fldChar w:fldCharType="end"/>
          </w:r>
          <w:r>
            <w:rPr>
              <w:color w:val="auto"/>
              <w:highlight w:val="none"/>
            </w:rPr>
            <w:fldChar w:fldCharType="end"/>
          </w:r>
        </w:p>
        <w:p w14:paraId="44EC7CF1">
          <w:pPr>
            <w:pStyle w:val="19"/>
            <w:tabs>
              <w:tab w:val="right" w:leader="dot" w:pos="9582"/>
            </w:tabs>
          </w:pPr>
          <w:r>
            <w:rPr>
              <w:color w:val="auto"/>
              <w:highlight w:val="none"/>
            </w:rPr>
            <w:fldChar w:fldCharType="begin"/>
          </w:r>
          <w:r>
            <w:rPr>
              <w:highlight w:val="none"/>
            </w:rPr>
            <w:instrText xml:space="preserve"> HYPERLINK \l _Toc1270004604 </w:instrText>
          </w:r>
          <w:r>
            <w:rPr>
              <w:highlight w:val="none"/>
            </w:rPr>
            <w:fldChar w:fldCharType="separate"/>
          </w:r>
          <w:r>
            <w:rPr>
              <w:rFonts w:hint="eastAsia" w:ascii="宋体" w:hAnsi="宋体" w:eastAsia="宋体" w:cs="宋体"/>
              <w:bCs/>
              <w:kern w:val="0"/>
              <w:szCs w:val="21"/>
              <w:highlight w:val="none"/>
            </w:rPr>
            <w:t>《水利工程质量事故处理规定》案由1项</w:t>
          </w:r>
          <w:r>
            <w:tab/>
          </w:r>
          <w:r>
            <w:fldChar w:fldCharType="begin"/>
          </w:r>
          <w:r>
            <w:instrText xml:space="preserve"> PAGEREF _Toc1270004604 \h </w:instrText>
          </w:r>
          <w:r>
            <w:fldChar w:fldCharType="separate"/>
          </w:r>
          <w:r>
            <w:t>221</w:t>
          </w:r>
          <w:r>
            <w:fldChar w:fldCharType="end"/>
          </w:r>
          <w:r>
            <w:rPr>
              <w:color w:val="auto"/>
              <w:highlight w:val="none"/>
            </w:rPr>
            <w:fldChar w:fldCharType="end"/>
          </w:r>
        </w:p>
        <w:p w14:paraId="73DA8E63">
          <w:pPr>
            <w:pStyle w:val="19"/>
            <w:tabs>
              <w:tab w:val="right" w:leader="dot" w:pos="9582"/>
            </w:tabs>
          </w:pPr>
          <w:r>
            <w:rPr>
              <w:color w:val="auto"/>
              <w:highlight w:val="none"/>
            </w:rPr>
            <w:fldChar w:fldCharType="begin"/>
          </w:r>
          <w:r>
            <w:rPr>
              <w:highlight w:val="none"/>
            </w:rPr>
            <w:instrText xml:space="preserve"> HYPERLINK \l _Toc172762941 </w:instrText>
          </w:r>
          <w:r>
            <w:rPr>
              <w:highlight w:val="none"/>
            </w:rPr>
            <w:fldChar w:fldCharType="separate"/>
          </w:r>
          <w:r>
            <w:rPr>
              <w:rFonts w:hint="eastAsia" w:ascii="宋体" w:hAnsi="宋体" w:eastAsia="宋体" w:cs="宋体"/>
              <w:bCs/>
              <w:kern w:val="0"/>
              <w:szCs w:val="21"/>
              <w:highlight w:val="none"/>
            </w:rPr>
            <w:t>《实施工程建设强制性标准监督规定》案由1项</w:t>
          </w:r>
          <w:r>
            <w:tab/>
          </w:r>
          <w:r>
            <w:fldChar w:fldCharType="begin"/>
          </w:r>
          <w:r>
            <w:instrText xml:space="preserve"> PAGEREF _Toc172762941 \h </w:instrText>
          </w:r>
          <w:r>
            <w:fldChar w:fldCharType="separate"/>
          </w:r>
          <w:r>
            <w:t>221</w:t>
          </w:r>
          <w:r>
            <w:fldChar w:fldCharType="end"/>
          </w:r>
          <w:r>
            <w:rPr>
              <w:color w:val="auto"/>
              <w:highlight w:val="none"/>
            </w:rPr>
            <w:fldChar w:fldCharType="end"/>
          </w:r>
        </w:p>
        <w:p w14:paraId="289548F4">
          <w:pPr>
            <w:pStyle w:val="19"/>
            <w:tabs>
              <w:tab w:val="right" w:leader="dot" w:pos="9582"/>
            </w:tabs>
          </w:pPr>
          <w:r>
            <w:rPr>
              <w:color w:val="auto"/>
              <w:highlight w:val="none"/>
            </w:rPr>
            <w:fldChar w:fldCharType="begin"/>
          </w:r>
          <w:r>
            <w:rPr>
              <w:highlight w:val="none"/>
            </w:rPr>
            <w:instrText xml:space="preserve"> HYPERLINK \l _Toc1182103162 </w:instrText>
          </w:r>
          <w:r>
            <w:rPr>
              <w:highlight w:val="none"/>
            </w:rPr>
            <w:fldChar w:fldCharType="separate"/>
          </w:r>
          <w:r>
            <w:rPr>
              <w:rFonts w:hint="eastAsia" w:ascii="宋体" w:hAnsi="宋体" w:eastAsia="宋体" w:cs="宋体"/>
              <w:bCs/>
              <w:kern w:val="0"/>
              <w:szCs w:val="21"/>
              <w:highlight w:val="none"/>
            </w:rPr>
            <w:t>《建设工程勘察质量管理办法》案由1项</w:t>
          </w:r>
          <w:r>
            <w:tab/>
          </w:r>
          <w:r>
            <w:fldChar w:fldCharType="begin"/>
          </w:r>
          <w:r>
            <w:instrText xml:space="preserve"> PAGEREF _Toc1182103162 \h </w:instrText>
          </w:r>
          <w:r>
            <w:fldChar w:fldCharType="separate"/>
          </w:r>
          <w:r>
            <w:t>221</w:t>
          </w:r>
          <w:r>
            <w:fldChar w:fldCharType="end"/>
          </w:r>
          <w:r>
            <w:rPr>
              <w:color w:val="auto"/>
              <w:highlight w:val="none"/>
            </w:rPr>
            <w:fldChar w:fldCharType="end"/>
          </w:r>
        </w:p>
        <w:p w14:paraId="77A90745">
          <w:pPr>
            <w:pStyle w:val="19"/>
            <w:tabs>
              <w:tab w:val="right" w:leader="dot" w:pos="9582"/>
            </w:tabs>
          </w:pPr>
          <w:r>
            <w:rPr>
              <w:color w:val="auto"/>
              <w:highlight w:val="none"/>
            </w:rPr>
            <w:fldChar w:fldCharType="begin"/>
          </w:r>
          <w:r>
            <w:rPr>
              <w:highlight w:val="none"/>
            </w:rPr>
            <w:instrText xml:space="preserve"> HYPERLINK \l _Toc1697907534 </w:instrText>
          </w:r>
          <w:r>
            <w:rPr>
              <w:highlight w:val="none"/>
            </w:rPr>
            <w:fldChar w:fldCharType="separate"/>
          </w:r>
          <w:r>
            <w:rPr>
              <w:rFonts w:hint="eastAsia" w:ascii="宋体" w:hAnsi="宋体" w:eastAsia="宋体" w:cs="宋体"/>
              <w:bCs/>
              <w:kern w:val="0"/>
              <w:szCs w:val="21"/>
              <w:highlight w:val="none"/>
            </w:rPr>
            <w:t>《北京市建设工程质量条例》案由28项</w:t>
          </w:r>
          <w:r>
            <w:tab/>
          </w:r>
          <w:r>
            <w:fldChar w:fldCharType="begin"/>
          </w:r>
          <w:r>
            <w:instrText xml:space="preserve"> PAGEREF _Toc1697907534 \h </w:instrText>
          </w:r>
          <w:r>
            <w:fldChar w:fldCharType="separate"/>
          </w:r>
          <w:r>
            <w:t>222</w:t>
          </w:r>
          <w:r>
            <w:fldChar w:fldCharType="end"/>
          </w:r>
          <w:r>
            <w:rPr>
              <w:color w:val="auto"/>
              <w:highlight w:val="none"/>
            </w:rPr>
            <w:fldChar w:fldCharType="end"/>
          </w:r>
        </w:p>
        <w:p w14:paraId="7626229A">
          <w:pPr>
            <w:pStyle w:val="17"/>
            <w:tabs>
              <w:tab w:val="right" w:leader="dot" w:pos="9582"/>
            </w:tabs>
          </w:pPr>
          <w:r>
            <w:rPr>
              <w:color w:val="auto"/>
              <w:highlight w:val="none"/>
            </w:rPr>
            <w:fldChar w:fldCharType="begin"/>
          </w:r>
          <w:r>
            <w:rPr>
              <w:highlight w:val="none"/>
            </w:rPr>
            <w:instrText xml:space="preserve"> HYPERLINK \l _Toc502764462 </w:instrText>
          </w:r>
          <w:r>
            <w:rPr>
              <w:highlight w:val="none"/>
            </w:rPr>
            <w:fldChar w:fldCharType="separate"/>
          </w:r>
          <w:r>
            <w:rPr>
              <w:rFonts w:hint="eastAsia" w:ascii="黑体" w:hAnsi="黑体" w:eastAsia="黑体" w:cs="黑体"/>
              <w:kern w:val="0"/>
              <w:szCs w:val="28"/>
              <w:highlight w:val="none"/>
            </w:rPr>
            <w:t>水利建设工程安全生产管理方面</w:t>
          </w:r>
          <w:r>
            <w:tab/>
          </w:r>
          <w:r>
            <w:fldChar w:fldCharType="begin"/>
          </w:r>
          <w:r>
            <w:instrText xml:space="preserve"> PAGEREF _Toc502764462 \h </w:instrText>
          </w:r>
          <w:r>
            <w:fldChar w:fldCharType="separate"/>
          </w:r>
          <w:r>
            <w:t>227</w:t>
          </w:r>
          <w:r>
            <w:fldChar w:fldCharType="end"/>
          </w:r>
          <w:r>
            <w:rPr>
              <w:color w:val="auto"/>
              <w:highlight w:val="none"/>
            </w:rPr>
            <w:fldChar w:fldCharType="end"/>
          </w:r>
        </w:p>
        <w:p w14:paraId="5D6CC91B">
          <w:pPr>
            <w:pStyle w:val="19"/>
            <w:tabs>
              <w:tab w:val="right" w:leader="dot" w:pos="9582"/>
            </w:tabs>
          </w:pPr>
          <w:r>
            <w:rPr>
              <w:color w:val="auto"/>
              <w:highlight w:val="none"/>
            </w:rPr>
            <w:fldChar w:fldCharType="begin"/>
          </w:r>
          <w:r>
            <w:rPr>
              <w:highlight w:val="none"/>
            </w:rPr>
            <w:instrText xml:space="preserve"> HYPERLINK \l _Toc421598412 </w:instrText>
          </w:r>
          <w:r>
            <w:rPr>
              <w:highlight w:val="none"/>
            </w:rPr>
            <w:fldChar w:fldCharType="separate"/>
          </w:r>
          <w:r>
            <w:rPr>
              <w:rFonts w:ascii="Times New Roman" w:hAnsi="Times New Roman" w:eastAsia="宋体" w:cs="Times New Roman"/>
              <w:bCs/>
              <w:kern w:val="0"/>
              <w:szCs w:val="21"/>
              <w:highlight w:val="none"/>
            </w:rPr>
            <w:t>《建设工程安全生产管理条例》《水利工程建设监理规定》案由28项</w:t>
          </w:r>
          <w:r>
            <w:tab/>
          </w:r>
          <w:r>
            <w:fldChar w:fldCharType="begin"/>
          </w:r>
          <w:r>
            <w:instrText xml:space="preserve"> PAGEREF _Toc421598412 \h </w:instrText>
          </w:r>
          <w:r>
            <w:fldChar w:fldCharType="separate"/>
          </w:r>
          <w:r>
            <w:t>227</w:t>
          </w:r>
          <w:r>
            <w:fldChar w:fldCharType="end"/>
          </w:r>
          <w:r>
            <w:rPr>
              <w:color w:val="auto"/>
              <w:highlight w:val="none"/>
            </w:rPr>
            <w:fldChar w:fldCharType="end"/>
          </w:r>
        </w:p>
        <w:p w14:paraId="30DC6527">
          <w:pPr>
            <w:pStyle w:val="22"/>
            <w:tabs>
              <w:tab w:val="left" w:pos="1516"/>
            </w:tabs>
            <w:ind w:left="0" w:leftChars="0" w:firstLine="0" w:firstLineChars="0"/>
            <w:rPr>
              <w:color w:val="auto"/>
              <w:highlight w:val="none"/>
            </w:rPr>
          </w:pPr>
          <w:r>
            <w:rPr>
              <w:color w:val="auto"/>
              <w:highlight w:val="none"/>
            </w:rPr>
            <w:fldChar w:fldCharType="end"/>
          </w:r>
        </w:p>
      </w:sdtContent>
    </w:sdt>
    <w:p w14:paraId="460F5B56">
      <w:pPr>
        <w:rPr>
          <w:rFonts w:hint="eastAsia"/>
          <w:color w:val="auto"/>
          <w:highlight w:val="none"/>
        </w:rPr>
      </w:pPr>
    </w:p>
    <w:p w14:paraId="1A197A1D">
      <w:pPr>
        <w:pStyle w:val="22"/>
        <w:rPr>
          <w:rFonts w:hint="eastAsia"/>
          <w:color w:val="auto"/>
          <w:highlight w:val="none"/>
        </w:rPr>
      </w:pPr>
    </w:p>
    <w:p w14:paraId="6189F75F">
      <w:pPr>
        <w:pStyle w:val="22"/>
        <w:rPr>
          <w:rFonts w:hint="eastAsia"/>
          <w:color w:val="auto"/>
          <w:highlight w:val="none"/>
        </w:rPr>
      </w:pPr>
    </w:p>
    <w:p w14:paraId="1A59893A">
      <w:pPr>
        <w:pStyle w:val="22"/>
        <w:rPr>
          <w:rFonts w:hint="eastAsia"/>
          <w:color w:val="auto"/>
          <w:highlight w:val="none"/>
        </w:rPr>
      </w:pPr>
    </w:p>
    <w:p w14:paraId="4B927B9F">
      <w:pPr>
        <w:pStyle w:val="22"/>
        <w:rPr>
          <w:rFonts w:hint="eastAsia"/>
          <w:color w:val="auto"/>
          <w:highlight w:val="none"/>
        </w:rPr>
      </w:pPr>
    </w:p>
    <w:p w14:paraId="21C083B7">
      <w:pPr>
        <w:pStyle w:val="22"/>
        <w:rPr>
          <w:rFonts w:hint="eastAsia"/>
          <w:color w:val="auto"/>
          <w:highlight w:val="none"/>
        </w:rPr>
      </w:pPr>
    </w:p>
    <w:p w14:paraId="77A53247">
      <w:pPr>
        <w:pStyle w:val="22"/>
        <w:rPr>
          <w:rFonts w:hint="eastAsia"/>
          <w:color w:val="auto"/>
          <w:highlight w:val="none"/>
        </w:rPr>
      </w:pPr>
    </w:p>
    <w:p w14:paraId="2C5935AB">
      <w:pPr>
        <w:pStyle w:val="22"/>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0" w:num="1"/>
          <w:rtlGutter w:val="0"/>
          <w:docGrid w:linePitch="634" w:charSpace="0"/>
        </w:sectPr>
      </w:pPr>
    </w:p>
    <w:p w14:paraId="64C4A3A5">
      <w:pPr>
        <w:pStyle w:val="22"/>
        <w:rPr>
          <w:rFonts w:hint="eastAsia"/>
          <w:color w:val="auto"/>
          <w:highlight w:val="none"/>
        </w:rPr>
      </w:pPr>
    </w:p>
    <w:tbl>
      <w:tblPr>
        <w:tblStyle w:val="23"/>
        <w:tblW w:w="14337"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2"/>
        <w:gridCol w:w="1811"/>
        <w:gridCol w:w="17"/>
        <w:gridCol w:w="2776"/>
        <w:gridCol w:w="13"/>
        <w:gridCol w:w="851"/>
        <w:gridCol w:w="840"/>
        <w:gridCol w:w="3426"/>
        <w:gridCol w:w="4"/>
        <w:gridCol w:w="1871"/>
        <w:gridCol w:w="10"/>
        <w:gridCol w:w="1972"/>
        <w:gridCol w:w="1"/>
        <w:gridCol w:w="133"/>
      </w:tblGrid>
      <w:tr w14:paraId="1DEF9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34" w:type="dxa"/>
          <w:trHeight w:val="90" w:hRule="atLeast"/>
          <w:tblHeader/>
        </w:trPr>
        <w:tc>
          <w:tcPr>
            <w:tcW w:w="610" w:type="dxa"/>
            <w:shd w:val="clear" w:color="auto" w:fill="auto"/>
            <w:vAlign w:val="center"/>
          </w:tcPr>
          <w:p w14:paraId="7B0856F1">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830" w:type="dxa"/>
            <w:gridSpan w:val="3"/>
            <w:shd w:val="clear" w:color="auto" w:fill="auto"/>
            <w:vAlign w:val="center"/>
          </w:tcPr>
          <w:p w14:paraId="27E52358">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789" w:type="dxa"/>
            <w:gridSpan w:val="2"/>
            <w:shd w:val="clear" w:color="auto" w:fill="auto"/>
            <w:vAlign w:val="center"/>
          </w:tcPr>
          <w:p w14:paraId="48F280F4">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shd w:val="clear" w:color="auto" w:fill="auto"/>
            <w:vAlign w:val="center"/>
          </w:tcPr>
          <w:p w14:paraId="12E17ECB">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14:paraId="616EBD70">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shd w:val="clear" w:color="auto" w:fill="auto"/>
            <w:vAlign w:val="center"/>
          </w:tcPr>
          <w:p w14:paraId="6B80B845">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14:paraId="2A3F3A2F">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3426" w:type="dxa"/>
            <w:shd w:val="clear" w:color="auto" w:fill="auto"/>
            <w:vAlign w:val="center"/>
          </w:tcPr>
          <w:p w14:paraId="7B96D770">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lang w:eastAsia="zh-CN"/>
              </w:rPr>
              <w:t>情节</w:t>
            </w:r>
            <w:r>
              <w:rPr>
                <w:rFonts w:hint="eastAsia" w:ascii="黑体" w:hAnsi="宋体" w:eastAsia="黑体" w:cs="宋体"/>
                <w:b/>
                <w:bCs/>
                <w:color w:val="auto"/>
                <w:kern w:val="0"/>
                <w:sz w:val="24"/>
                <w:highlight w:val="none"/>
              </w:rPr>
              <w:t>系数</w:t>
            </w:r>
          </w:p>
        </w:tc>
        <w:tc>
          <w:tcPr>
            <w:tcW w:w="1875" w:type="dxa"/>
            <w:gridSpan w:val="2"/>
            <w:shd w:val="clear" w:color="auto" w:fill="auto"/>
            <w:vAlign w:val="center"/>
          </w:tcPr>
          <w:p w14:paraId="60BD1FF5">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1982" w:type="dxa"/>
            <w:gridSpan w:val="2"/>
            <w:shd w:val="clear" w:color="auto" w:fill="auto"/>
            <w:vAlign w:val="center"/>
          </w:tcPr>
          <w:p w14:paraId="5FDF6878">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r>
      <w:tr w14:paraId="27AF7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14203" w:type="dxa"/>
            <w:gridSpan w:val="13"/>
            <w:shd w:val="clear" w:color="auto" w:fill="auto"/>
            <w:vAlign w:val="center"/>
          </w:tcPr>
          <w:p w14:paraId="5E048D52">
            <w:pPr>
              <w:pStyle w:val="2"/>
              <w:keepNext w:val="0"/>
              <w:keepLines w:val="0"/>
              <w:rPr>
                <w:rFonts w:ascii="黑体" w:hAnsi="黑体" w:eastAsia="黑体"/>
                <w:b w:val="0"/>
                <w:color w:val="auto"/>
                <w:sz w:val="28"/>
                <w:szCs w:val="28"/>
                <w:highlight w:val="none"/>
              </w:rPr>
            </w:pPr>
            <w:bookmarkStart w:id="0" w:name="_Toc110851435"/>
            <w:bookmarkStart w:id="1" w:name="_Toc1748547838"/>
            <w:bookmarkStart w:id="2" w:name="_Toc1934318464"/>
            <w:r>
              <w:rPr>
                <w:rFonts w:hint="eastAsia" w:ascii="黑体" w:hAnsi="黑体" w:eastAsia="黑体"/>
                <w:b w:val="0"/>
                <w:color w:val="auto"/>
                <w:sz w:val="28"/>
                <w:szCs w:val="28"/>
                <w:highlight w:val="none"/>
              </w:rPr>
              <w:t>市容环境卫生管理方面</w:t>
            </w:r>
            <w:bookmarkEnd w:id="0"/>
            <w:bookmarkEnd w:id="1"/>
            <w:bookmarkEnd w:id="2"/>
          </w:p>
        </w:tc>
      </w:tr>
      <w:tr w14:paraId="2884C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0" w:hRule="atLeast"/>
          <w:jc w:val="center"/>
        </w:trPr>
        <w:tc>
          <w:tcPr>
            <w:tcW w:w="14203" w:type="dxa"/>
            <w:gridSpan w:val="13"/>
            <w:shd w:val="clear" w:color="auto" w:fill="auto"/>
            <w:vAlign w:val="center"/>
          </w:tcPr>
          <w:p w14:paraId="148B7AE4">
            <w:pPr>
              <w:pStyle w:val="3"/>
              <w:widowControl w:val="0"/>
              <w:spacing w:line="232" w:lineRule="exact"/>
              <w:jc w:val="center"/>
              <w:rPr>
                <w:rFonts w:asciiTheme="minorEastAsia" w:hAnsiTheme="minorEastAsia" w:eastAsiaTheme="minorEastAsia"/>
                <w:color w:val="auto"/>
                <w:sz w:val="22"/>
                <w:szCs w:val="22"/>
                <w:highlight w:val="none"/>
              </w:rPr>
            </w:pPr>
            <w:bookmarkStart w:id="3" w:name="_Toc1944272260"/>
            <w:bookmarkStart w:id="4" w:name="_Toc1760535330"/>
            <w:bookmarkStart w:id="5" w:name="_Toc110851436"/>
            <w:r>
              <w:rPr>
                <w:rFonts w:hint="eastAsia" w:asciiTheme="minorEastAsia" w:hAnsiTheme="minorEastAsia" w:eastAsiaTheme="minorEastAsia"/>
                <w:color w:val="auto"/>
                <w:sz w:val="21"/>
                <w:szCs w:val="21"/>
                <w:highlight w:val="none"/>
              </w:rPr>
              <w:t>《北京市市容环境卫生条例》案由56项</w:t>
            </w:r>
            <w:bookmarkEnd w:id="3"/>
            <w:bookmarkEnd w:id="4"/>
            <w:bookmarkEnd w:id="5"/>
          </w:p>
        </w:tc>
      </w:tr>
      <w:tr w14:paraId="04475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4BC6B0ED">
            <w:pPr>
              <w:spacing w:line="232" w:lineRule="exact"/>
              <w:jc w:val="center"/>
              <w:rPr>
                <w:rFonts w:cs="宋体" w:asciiTheme="minorEastAsia" w:hAnsiTheme="minorEastAsia" w:eastAsiaTheme="minorEastAsia"/>
                <w:color w:val="auto"/>
                <w:kern w:val="0"/>
                <w:sz w:val="15"/>
                <w:szCs w:val="15"/>
                <w:highlight w:val="none"/>
              </w:rPr>
            </w:pPr>
            <w:bookmarkStart w:id="6" w:name="OLE_LINK1"/>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7FA7991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未按要求履行维护市容环境卫生责任</w:t>
            </w:r>
          </w:p>
        </w:tc>
        <w:tc>
          <w:tcPr>
            <w:tcW w:w="2789" w:type="dxa"/>
            <w:gridSpan w:val="2"/>
            <w:shd w:val="clear" w:color="auto" w:fill="auto"/>
            <w:vAlign w:val="center"/>
          </w:tcPr>
          <w:p w14:paraId="51AA7C8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【城镇地区】</w:t>
            </w:r>
          </w:p>
          <w:p w14:paraId="19DFBD9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14:paraId="13D8C85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【农村地区】</w:t>
            </w:r>
          </w:p>
          <w:p w14:paraId="305CCC1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shd w:val="clear" w:color="auto" w:fill="auto"/>
            <w:vAlign w:val="center"/>
          </w:tcPr>
          <w:p w14:paraId="68628CF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14:paraId="20AB1C3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（注：单位：</w:t>
            </w:r>
            <w:r>
              <w:rPr>
                <w:rFonts w:hint="eastAsia" w:cs="宋体" w:asciiTheme="minorEastAsia" w:hAnsiTheme="minorEastAsia" w:eastAsiaTheme="minorEastAsia"/>
                <w:bCs/>
                <w:color w:val="auto"/>
                <w:kern w:val="0"/>
                <w:sz w:val="15"/>
                <w:szCs w:val="15"/>
                <w:highlight w:val="none"/>
              </w:rPr>
              <w:t>元，下同</w:t>
            </w:r>
            <w:r>
              <w:rPr>
                <w:rFonts w:hint="eastAsia"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3847787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C36F230">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w:t>
            </w:r>
          </w:p>
          <w:p w14:paraId="6AD5CDC3">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0A46968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7F6D810">
            <w:pPr>
              <w:spacing w:line="232" w:lineRule="exact"/>
              <w:rPr>
                <w:rFonts w:asciiTheme="minorEastAsia" w:hAnsiTheme="minorEastAsia" w:eastAsiaTheme="minorEastAsia"/>
                <w:strike w:val="0"/>
                <w:dstrike w:val="0"/>
                <w:color w:val="auto"/>
                <w:sz w:val="15"/>
                <w:szCs w:val="15"/>
                <w:highlight w:val="none"/>
              </w:rPr>
            </w:pPr>
          </w:p>
        </w:tc>
      </w:tr>
      <w:bookmarkEnd w:id="6"/>
      <w:tr w14:paraId="0A1C3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7B204AB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2F35A45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擅自在临街的建筑物上设置装饰物品</w:t>
            </w:r>
          </w:p>
        </w:tc>
        <w:tc>
          <w:tcPr>
            <w:tcW w:w="2789" w:type="dxa"/>
            <w:gridSpan w:val="2"/>
            <w:shd w:val="clear" w:color="auto" w:fill="auto"/>
            <w:vAlign w:val="center"/>
          </w:tcPr>
          <w:p w14:paraId="0ADD20E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shd w:val="clear" w:color="auto" w:fill="auto"/>
            <w:vAlign w:val="center"/>
          </w:tcPr>
          <w:p w14:paraId="61F5FA3D">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4D876E0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E92A2D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w:t>
            </w:r>
          </w:p>
        </w:tc>
        <w:tc>
          <w:tcPr>
            <w:tcW w:w="1875" w:type="dxa"/>
            <w:gridSpan w:val="2"/>
            <w:shd w:val="clear" w:color="auto" w:fill="auto"/>
            <w:vAlign w:val="center"/>
          </w:tcPr>
          <w:p w14:paraId="2D8224F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38DACE8E">
            <w:pPr>
              <w:spacing w:line="240" w:lineRule="exact"/>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14:paraId="26AC0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49D61BF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619F8B3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建筑物顶部、外走廊等未保持整洁或堆物堆料</w:t>
            </w:r>
          </w:p>
        </w:tc>
        <w:tc>
          <w:tcPr>
            <w:tcW w:w="2789" w:type="dxa"/>
            <w:gridSpan w:val="2"/>
            <w:shd w:val="clear" w:color="auto" w:fill="auto"/>
            <w:vAlign w:val="center"/>
          </w:tcPr>
          <w:p w14:paraId="769CCE3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14:paraId="4AE92AB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53261BF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92313F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w:t>
            </w:r>
          </w:p>
        </w:tc>
        <w:tc>
          <w:tcPr>
            <w:tcW w:w="1875" w:type="dxa"/>
            <w:gridSpan w:val="2"/>
            <w:shd w:val="clear" w:color="auto" w:fill="auto"/>
            <w:vAlign w:val="center"/>
          </w:tcPr>
          <w:p w14:paraId="519C3CD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1753E85">
            <w:pPr>
              <w:spacing w:line="24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14:paraId="57C8C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98" w:hRule="atLeast"/>
          <w:jc w:val="center"/>
        </w:trPr>
        <w:tc>
          <w:tcPr>
            <w:tcW w:w="610" w:type="dxa"/>
            <w:shd w:val="clear" w:color="auto" w:fill="auto"/>
            <w:vAlign w:val="center"/>
          </w:tcPr>
          <w:p w14:paraId="4774A16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75606AE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规定区域内建筑物顶部、阳台外和窗外设置不符合容貌景观标准的设施</w:t>
            </w:r>
          </w:p>
        </w:tc>
        <w:tc>
          <w:tcPr>
            <w:tcW w:w="2789" w:type="dxa"/>
            <w:gridSpan w:val="2"/>
            <w:vMerge w:val="restart"/>
            <w:shd w:val="clear" w:color="auto" w:fill="auto"/>
            <w:vAlign w:val="center"/>
          </w:tcPr>
          <w:p w14:paraId="21A5F1C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14:paraId="458514F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687977C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D93A127">
            <w:pPr>
              <w:numPr>
                <w:ilvl w:val="0"/>
                <w:numId w:val="0"/>
              </w:numPr>
              <w:spacing w:line="24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造成社会不良影响的，变系数</w:t>
            </w:r>
            <w:r>
              <w:rPr>
                <w:rFonts w:hint="eastAsia" w:cs="宋体" w:asciiTheme="minorEastAsia" w:hAnsiTheme="minorEastAsia" w:eastAsiaTheme="minorEastAsia"/>
                <w:color w:val="auto"/>
                <w:kern w:val="0"/>
                <w:sz w:val="15"/>
                <w:szCs w:val="15"/>
                <w:highlight w:val="none"/>
                <w:lang w:val="en-US" w:eastAsia="zh-CN"/>
              </w:rPr>
              <w:t>5-9。2.</w:t>
            </w:r>
            <w:r>
              <w:rPr>
                <w:rFonts w:hint="default" w:cs="宋体" w:asciiTheme="minorEastAsia" w:hAnsiTheme="minorEastAsia" w:eastAsiaTheme="minorEastAsia"/>
                <w:color w:val="auto"/>
                <w:kern w:val="0"/>
                <w:sz w:val="15"/>
                <w:szCs w:val="15"/>
                <w:highlight w:val="none"/>
                <w:lang w:val="en-US" w:eastAsia="zh-CN"/>
              </w:rPr>
              <w:t>存在基准2.1.3规定情形的，系数按照相关规定确定</w:t>
            </w:r>
            <w:r>
              <w:rPr>
                <w:rFonts w:hint="eastAsia" w:cs="宋体" w:asciiTheme="minorEastAsia" w:hAnsiTheme="minorEastAsia" w:eastAsiaTheme="minorEastAsia"/>
                <w:color w:val="auto"/>
                <w:kern w:val="0"/>
                <w:sz w:val="15"/>
                <w:szCs w:val="15"/>
                <w:highlight w:val="none"/>
                <w:lang w:val="en-US" w:eastAsia="zh-CN"/>
              </w:rPr>
              <w:t>（基准2.1.3.5不适用）。</w:t>
            </w:r>
          </w:p>
        </w:tc>
        <w:tc>
          <w:tcPr>
            <w:tcW w:w="1875" w:type="dxa"/>
            <w:gridSpan w:val="2"/>
            <w:shd w:val="clear" w:color="auto" w:fill="auto"/>
            <w:vAlign w:val="center"/>
          </w:tcPr>
          <w:p w14:paraId="7F2551D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restart"/>
            <w:shd w:val="clear" w:color="auto" w:fill="auto"/>
            <w:vAlign w:val="center"/>
          </w:tcPr>
          <w:p w14:paraId="6E0C72B9">
            <w:pPr>
              <w:spacing w:line="240" w:lineRule="exact"/>
              <w:rPr>
                <w:rFonts w:cs="宋体" w:asciiTheme="minorEastAsia" w:hAnsiTheme="minorEastAsia" w:eastAsiaTheme="minorEastAsia"/>
                <w:strike/>
                <w:dstrike w:val="0"/>
                <w:color w:val="auto"/>
                <w:kern w:val="0"/>
                <w:sz w:val="15"/>
                <w:szCs w:val="15"/>
                <w:highlight w:val="none"/>
                <w:u w:val="singl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14:paraId="7C50C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37BCCCD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155BB89D">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规定区域内建筑物顶部、阳台外和窗外吊挂、晾晒、摆放物品</w:t>
            </w:r>
          </w:p>
        </w:tc>
        <w:tc>
          <w:tcPr>
            <w:tcW w:w="2789" w:type="dxa"/>
            <w:gridSpan w:val="2"/>
            <w:vMerge w:val="continue"/>
            <w:shd w:val="clear" w:color="auto" w:fill="auto"/>
            <w:vAlign w:val="center"/>
          </w:tcPr>
          <w:p w14:paraId="0150C62F">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FA6004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22DD1B6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F08FE23">
            <w:pPr>
              <w:spacing w:line="240"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造成社会不良影响的，系数</w:t>
            </w:r>
            <w:r>
              <w:rPr>
                <w:rFonts w:hint="eastAsia" w:cs="宋体" w:asciiTheme="minorEastAsia" w:hAnsiTheme="minorEastAsia" w:eastAsiaTheme="minorEastAsia"/>
                <w:color w:val="auto"/>
                <w:kern w:val="0"/>
                <w:sz w:val="15"/>
                <w:szCs w:val="15"/>
                <w:highlight w:val="none"/>
                <w:lang w:val="en-US" w:eastAsia="zh-CN"/>
              </w:rPr>
              <w:t>5-9。</w:t>
            </w:r>
          </w:p>
          <w:p w14:paraId="3BD7D1E9">
            <w:pPr>
              <w:spacing w:line="24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eastAsia="zh-CN"/>
              </w:rPr>
              <w:t>存在基准2.1.3规定情形的，系数按照相关规定确定</w:t>
            </w:r>
            <w:r>
              <w:rPr>
                <w:rFonts w:hint="eastAsia" w:cs="宋体" w:asciiTheme="minorEastAsia" w:hAnsiTheme="minorEastAsia" w:eastAsiaTheme="minorEastAsia"/>
                <w:color w:val="auto"/>
                <w:kern w:val="0"/>
                <w:sz w:val="15"/>
                <w:szCs w:val="15"/>
                <w:highlight w:val="none"/>
                <w:lang w:val="en-US" w:eastAsia="zh-CN"/>
              </w:rPr>
              <w:t>（基准2.1.3.5不适用）。</w:t>
            </w:r>
          </w:p>
        </w:tc>
        <w:tc>
          <w:tcPr>
            <w:tcW w:w="1875" w:type="dxa"/>
            <w:gridSpan w:val="2"/>
            <w:shd w:val="clear" w:color="auto" w:fill="auto"/>
            <w:vAlign w:val="center"/>
          </w:tcPr>
          <w:p w14:paraId="3928662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continue"/>
            <w:shd w:val="clear" w:color="auto" w:fill="auto"/>
            <w:vAlign w:val="center"/>
          </w:tcPr>
          <w:p w14:paraId="25C4DBF4">
            <w:pPr>
              <w:spacing w:line="240" w:lineRule="exact"/>
              <w:rPr>
                <w:rFonts w:cs="宋体" w:asciiTheme="minorEastAsia" w:hAnsiTheme="minorEastAsia" w:eastAsiaTheme="minorEastAsia"/>
                <w:color w:val="auto"/>
                <w:kern w:val="0"/>
                <w:sz w:val="15"/>
                <w:szCs w:val="15"/>
                <w:highlight w:val="none"/>
              </w:rPr>
            </w:pPr>
          </w:p>
        </w:tc>
      </w:tr>
      <w:tr w14:paraId="3E355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76" w:hRule="atLeast"/>
          <w:jc w:val="center"/>
        </w:trPr>
        <w:tc>
          <w:tcPr>
            <w:tcW w:w="610" w:type="dxa"/>
            <w:shd w:val="clear" w:color="auto" w:fill="auto"/>
            <w:vAlign w:val="center"/>
          </w:tcPr>
          <w:p w14:paraId="054271E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58DC652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规定区域内建筑物平台、阳台内堆放物品超出护栏高度</w:t>
            </w:r>
          </w:p>
        </w:tc>
        <w:tc>
          <w:tcPr>
            <w:tcW w:w="2789" w:type="dxa"/>
            <w:gridSpan w:val="2"/>
            <w:shd w:val="clear" w:color="auto" w:fill="auto"/>
            <w:vAlign w:val="center"/>
          </w:tcPr>
          <w:p w14:paraId="7254CBE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14:paraId="047B676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18B7CC9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B6821A2">
            <w:pPr>
              <w:spacing w:line="240"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造成社会不良影响的，系数</w:t>
            </w:r>
            <w:r>
              <w:rPr>
                <w:rFonts w:hint="eastAsia" w:cs="宋体" w:asciiTheme="minorEastAsia" w:hAnsiTheme="minorEastAsia" w:eastAsiaTheme="minorEastAsia"/>
                <w:color w:val="auto"/>
                <w:kern w:val="0"/>
                <w:sz w:val="15"/>
                <w:szCs w:val="15"/>
                <w:highlight w:val="none"/>
                <w:lang w:val="en-US" w:eastAsia="zh-CN"/>
              </w:rPr>
              <w:t>5-9。</w:t>
            </w:r>
          </w:p>
          <w:p w14:paraId="7E91566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eastAsia="zh-CN"/>
              </w:rPr>
              <w:t>存在基准2.1.3规定情形的，系数按照相关规定确定</w:t>
            </w:r>
            <w:r>
              <w:rPr>
                <w:rFonts w:hint="eastAsia" w:cs="宋体" w:asciiTheme="minorEastAsia" w:hAnsiTheme="minorEastAsia" w:eastAsiaTheme="minorEastAsia"/>
                <w:color w:val="auto"/>
                <w:kern w:val="0"/>
                <w:sz w:val="15"/>
                <w:szCs w:val="15"/>
                <w:highlight w:val="none"/>
                <w:lang w:val="en-US" w:eastAsia="zh-CN"/>
              </w:rPr>
              <w:t>（基准2.1.3.5不适用）。</w:t>
            </w:r>
          </w:p>
        </w:tc>
        <w:tc>
          <w:tcPr>
            <w:tcW w:w="1875" w:type="dxa"/>
            <w:gridSpan w:val="2"/>
            <w:shd w:val="clear" w:color="auto" w:fill="auto"/>
            <w:vAlign w:val="center"/>
          </w:tcPr>
          <w:p w14:paraId="42D0C67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1DE22B2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14:paraId="0A60A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42" w:hRule="atLeast"/>
          <w:jc w:val="center"/>
        </w:trPr>
        <w:tc>
          <w:tcPr>
            <w:tcW w:w="610" w:type="dxa"/>
            <w:vMerge w:val="restart"/>
            <w:shd w:val="clear" w:color="auto" w:fill="auto"/>
            <w:vAlign w:val="center"/>
          </w:tcPr>
          <w:p w14:paraId="14C45DD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vMerge w:val="restart"/>
            <w:shd w:val="clear" w:color="auto" w:fill="auto"/>
            <w:vAlign w:val="center"/>
          </w:tcPr>
          <w:p w14:paraId="1429613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2789" w:type="dxa"/>
            <w:gridSpan w:val="2"/>
            <w:vMerge w:val="restart"/>
            <w:shd w:val="clear" w:color="auto" w:fill="auto"/>
            <w:vAlign w:val="center"/>
          </w:tcPr>
          <w:p w14:paraId="685DE11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设施处工程造价1倍的罚款。</w:t>
            </w:r>
          </w:p>
        </w:tc>
        <w:tc>
          <w:tcPr>
            <w:tcW w:w="851" w:type="dxa"/>
            <w:shd w:val="clear" w:color="auto" w:fill="auto"/>
            <w:vAlign w:val="center"/>
          </w:tcPr>
          <w:p w14:paraId="00B8764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300元／㎡</w:t>
            </w:r>
          </w:p>
          <w:p w14:paraId="73F2399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w:t>
            </w:r>
          </w:p>
        </w:tc>
        <w:tc>
          <w:tcPr>
            <w:tcW w:w="840" w:type="dxa"/>
            <w:shd w:val="clear" w:color="auto" w:fill="auto"/>
            <w:vAlign w:val="center"/>
          </w:tcPr>
          <w:p w14:paraId="5F1E4FE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14:paraId="5F6CEE49">
            <w:pPr>
              <w:spacing w:line="232"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w:t>
            </w:r>
          </w:p>
        </w:tc>
        <w:tc>
          <w:tcPr>
            <w:tcW w:w="1875" w:type="dxa"/>
            <w:gridSpan w:val="2"/>
            <w:shd w:val="clear" w:color="auto" w:fill="auto"/>
            <w:vAlign w:val="center"/>
          </w:tcPr>
          <w:p w14:paraId="2200603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为违法建筑面积</w:t>
            </w:r>
          </w:p>
        </w:tc>
        <w:tc>
          <w:tcPr>
            <w:tcW w:w="1982" w:type="dxa"/>
            <w:gridSpan w:val="2"/>
            <w:vMerge w:val="restart"/>
            <w:shd w:val="clear" w:color="auto" w:fill="auto"/>
            <w:vAlign w:val="center"/>
          </w:tcPr>
          <w:p w14:paraId="0D5D0D48">
            <w:pPr>
              <w:spacing w:line="232" w:lineRule="exact"/>
              <w:rPr>
                <w:rFonts w:cs="宋体" w:asciiTheme="minorEastAsia" w:hAnsiTheme="minorEastAsia" w:eastAsiaTheme="minorEastAsia"/>
                <w:color w:val="auto"/>
                <w:kern w:val="0"/>
                <w:sz w:val="15"/>
                <w:szCs w:val="15"/>
                <w:highlight w:val="none"/>
              </w:rPr>
            </w:pPr>
          </w:p>
        </w:tc>
      </w:tr>
      <w:tr w14:paraId="4FA39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13" w:hRule="atLeast"/>
          <w:jc w:val="center"/>
        </w:trPr>
        <w:tc>
          <w:tcPr>
            <w:tcW w:w="610" w:type="dxa"/>
            <w:vMerge w:val="continue"/>
            <w:shd w:val="clear" w:color="auto" w:fill="auto"/>
            <w:vAlign w:val="center"/>
          </w:tcPr>
          <w:p w14:paraId="12EAF78B">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7D4BE51F">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6D35A5C2">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5E25E14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造价</w:t>
            </w:r>
          </w:p>
          <w:p w14:paraId="764C4BE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（构筑物、设施）</w:t>
            </w:r>
          </w:p>
        </w:tc>
        <w:tc>
          <w:tcPr>
            <w:tcW w:w="840" w:type="dxa"/>
            <w:shd w:val="clear" w:color="auto" w:fill="auto"/>
            <w:vAlign w:val="center"/>
          </w:tcPr>
          <w:p w14:paraId="6B7A9FC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14:paraId="5D048EFE">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AC76F6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按照法规规定执行。</w:t>
            </w:r>
          </w:p>
        </w:tc>
        <w:tc>
          <w:tcPr>
            <w:tcW w:w="1982" w:type="dxa"/>
            <w:gridSpan w:val="2"/>
            <w:vMerge w:val="continue"/>
            <w:shd w:val="clear" w:color="auto" w:fill="auto"/>
            <w:vAlign w:val="center"/>
          </w:tcPr>
          <w:p w14:paraId="1F6A46BE">
            <w:pPr>
              <w:spacing w:line="232" w:lineRule="exact"/>
              <w:rPr>
                <w:rFonts w:cs="宋体" w:asciiTheme="minorEastAsia" w:hAnsiTheme="minorEastAsia" w:eastAsiaTheme="minorEastAsia"/>
                <w:color w:val="auto"/>
                <w:kern w:val="0"/>
                <w:sz w:val="15"/>
                <w:szCs w:val="15"/>
                <w:highlight w:val="none"/>
              </w:rPr>
            </w:pPr>
          </w:p>
        </w:tc>
      </w:tr>
      <w:tr w14:paraId="46D04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231" w:hRule="atLeast"/>
          <w:jc w:val="center"/>
        </w:trPr>
        <w:tc>
          <w:tcPr>
            <w:tcW w:w="610" w:type="dxa"/>
            <w:shd w:val="clear" w:color="auto" w:fill="auto"/>
            <w:vAlign w:val="center"/>
          </w:tcPr>
          <w:p w14:paraId="334005E9">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14:paraId="4B8D33CE">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未按规定管护井盖雨箅</w:t>
            </w:r>
          </w:p>
        </w:tc>
        <w:tc>
          <w:tcPr>
            <w:tcW w:w="2789" w:type="dxa"/>
            <w:gridSpan w:val="2"/>
            <w:shd w:val="clear" w:color="auto" w:fill="auto"/>
            <w:vAlign w:val="center"/>
          </w:tcPr>
          <w:p w14:paraId="50466BF0">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违反条款：第三十一条第一款；处罚条款：第三十一条第二款，责令改正，并可处200元以上2000元以下罚款。</w:t>
            </w:r>
          </w:p>
        </w:tc>
        <w:tc>
          <w:tcPr>
            <w:tcW w:w="851" w:type="dxa"/>
            <w:shd w:val="clear" w:color="auto" w:fill="auto"/>
            <w:vAlign w:val="center"/>
          </w:tcPr>
          <w:p w14:paraId="363B5CE2">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2C0EDC74">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E1EE819">
            <w:pPr>
              <w:spacing w:line="21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default"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未在规定时间（城市主要道路、公共场所和居民居住区等地区4小时内，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3；延后4小时，系数4；延后5小时，系数5；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14:paraId="7ACD0448">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AF37867">
            <w:pPr>
              <w:spacing w:line="212" w:lineRule="exact"/>
              <w:rPr>
                <w:rFonts w:cs="宋体" w:asciiTheme="minorEastAsia" w:hAnsiTheme="minorEastAsia" w:eastAsiaTheme="minorEastAsia"/>
                <w:color w:val="auto"/>
                <w:kern w:val="0"/>
                <w:sz w:val="15"/>
                <w:szCs w:val="15"/>
                <w:highlight w:val="none"/>
              </w:rPr>
            </w:pPr>
          </w:p>
        </w:tc>
      </w:tr>
      <w:tr w14:paraId="3C598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71" w:hRule="atLeast"/>
          <w:jc w:val="center"/>
        </w:trPr>
        <w:tc>
          <w:tcPr>
            <w:tcW w:w="610" w:type="dxa"/>
            <w:shd w:val="clear" w:color="auto" w:fill="auto"/>
            <w:vAlign w:val="center"/>
          </w:tcPr>
          <w:p w14:paraId="60E64320">
            <w:pPr>
              <w:pStyle w:val="7"/>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14:paraId="0857CBE5">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未经批准或未按照批准要求在公共场所设置设施</w:t>
            </w:r>
          </w:p>
        </w:tc>
        <w:tc>
          <w:tcPr>
            <w:tcW w:w="2789" w:type="dxa"/>
            <w:gridSpan w:val="2"/>
            <w:shd w:val="clear" w:color="auto" w:fill="auto"/>
            <w:vAlign w:val="center"/>
          </w:tcPr>
          <w:p w14:paraId="587250AB">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shd w:val="clear" w:color="auto" w:fill="auto"/>
            <w:vAlign w:val="center"/>
          </w:tcPr>
          <w:p w14:paraId="5F61C9A1">
            <w:pPr>
              <w:pStyle w:val="7"/>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3EB6915C">
            <w:pPr>
              <w:pStyle w:val="7"/>
              <w:spacing w:line="21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E8D84F3">
            <w:pPr>
              <w:pStyle w:val="7"/>
              <w:spacing w:line="212" w:lineRule="exact"/>
              <w:jc w:val="both"/>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0FC21CD">
            <w:pPr>
              <w:pStyle w:val="7"/>
              <w:spacing w:line="212" w:lineRule="exact"/>
              <w:jc w:val="both"/>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07841A7E">
            <w:pPr>
              <w:pStyle w:val="7"/>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非罚款处罚。</w:t>
            </w:r>
          </w:p>
        </w:tc>
      </w:tr>
      <w:tr w14:paraId="40685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42" w:hRule="atLeast"/>
          <w:jc w:val="center"/>
        </w:trPr>
        <w:tc>
          <w:tcPr>
            <w:tcW w:w="610" w:type="dxa"/>
            <w:shd w:val="clear" w:color="auto" w:fill="auto"/>
            <w:vAlign w:val="center"/>
          </w:tcPr>
          <w:p w14:paraId="204F5A9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14:paraId="7A78B092">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未按规定管护公共设施</w:t>
            </w:r>
          </w:p>
        </w:tc>
        <w:tc>
          <w:tcPr>
            <w:tcW w:w="2789" w:type="dxa"/>
            <w:gridSpan w:val="2"/>
            <w:shd w:val="clear" w:color="auto" w:fill="auto"/>
            <w:vAlign w:val="center"/>
          </w:tcPr>
          <w:p w14:paraId="27AEE4EF">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违反、处罚条款：第三十四条，责令限期改正，并可处500元以上5000元以下罚款。</w:t>
            </w:r>
          </w:p>
        </w:tc>
        <w:tc>
          <w:tcPr>
            <w:tcW w:w="851" w:type="dxa"/>
            <w:shd w:val="clear" w:color="auto" w:fill="auto"/>
            <w:vAlign w:val="center"/>
          </w:tcPr>
          <w:p w14:paraId="66173094">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537FA53">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B5A91D5">
            <w:pPr>
              <w:spacing w:line="23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未按照要求</w:t>
            </w:r>
            <w:r>
              <w:rPr>
                <w:rFonts w:hint="eastAsia" w:cs="宋体" w:asciiTheme="minorEastAsia" w:hAnsiTheme="minorEastAsia" w:eastAsiaTheme="minorEastAsia"/>
                <w:color w:val="auto"/>
                <w:kern w:val="0"/>
                <w:sz w:val="15"/>
                <w:szCs w:val="15"/>
                <w:highlight w:val="none"/>
              </w:rPr>
              <w:t>维修、更换、清洗或者补设</w:t>
            </w:r>
            <w:r>
              <w:rPr>
                <w:rFonts w:hint="eastAsia" w:cs="宋体" w:asciiTheme="minorEastAsia" w:hAnsiTheme="minorEastAsia" w:eastAsiaTheme="minorEastAsia"/>
                <w:color w:val="auto"/>
                <w:kern w:val="0"/>
                <w:sz w:val="15"/>
                <w:szCs w:val="15"/>
                <w:highlight w:val="none"/>
                <w:lang w:eastAsia="zh-CN"/>
              </w:rPr>
              <w:t>，影响设施正常使用或者造成其他严重影响，系数</w:t>
            </w:r>
            <w:r>
              <w:rPr>
                <w:rFonts w:hint="eastAsia" w:cs="宋体" w:asciiTheme="minorEastAsia" w:hAnsiTheme="minorEastAsia" w:eastAsiaTheme="minorEastAsia"/>
                <w:color w:val="auto"/>
                <w:kern w:val="0"/>
                <w:sz w:val="15"/>
                <w:szCs w:val="15"/>
                <w:highlight w:val="none"/>
                <w:lang w:val="en-US" w:eastAsia="zh-CN"/>
              </w:rPr>
              <w:t>5-9。</w:t>
            </w:r>
            <w:r>
              <w:rPr>
                <w:rFonts w:hint="default" w:cs="宋体" w:asciiTheme="minorEastAsia" w:hAnsiTheme="minorEastAsia" w:eastAsiaTheme="minorEastAsia"/>
                <w:color w:val="auto"/>
                <w:kern w:val="0"/>
                <w:sz w:val="15"/>
                <w:szCs w:val="15"/>
                <w:highlight w:val="none"/>
                <w:lang w:val="en-US"/>
              </w:rPr>
              <w:t>2.存在基准2.1.3规定情形的，系数按照相关规定确定。</w:t>
            </w:r>
          </w:p>
        </w:tc>
        <w:tc>
          <w:tcPr>
            <w:tcW w:w="1875" w:type="dxa"/>
            <w:gridSpan w:val="2"/>
            <w:shd w:val="clear" w:color="auto" w:fill="auto"/>
            <w:vAlign w:val="center"/>
          </w:tcPr>
          <w:p w14:paraId="0EA53621">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C537766">
            <w:pPr>
              <w:spacing w:line="230" w:lineRule="exact"/>
              <w:rPr>
                <w:rFonts w:cs="宋体" w:asciiTheme="minorEastAsia" w:hAnsiTheme="minorEastAsia" w:eastAsiaTheme="minorEastAsia"/>
                <w:color w:val="auto"/>
                <w:kern w:val="0"/>
                <w:sz w:val="15"/>
                <w:szCs w:val="15"/>
                <w:highlight w:val="none"/>
              </w:rPr>
            </w:pPr>
          </w:p>
        </w:tc>
      </w:tr>
      <w:tr w14:paraId="39390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01" w:hRule="atLeast"/>
          <w:jc w:val="center"/>
        </w:trPr>
        <w:tc>
          <w:tcPr>
            <w:tcW w:w="610" w:type="dxa"/>
            <w:shd w:val="clear" w:color="auto" w:fill="auto"/>
            <w:vAlign w:val="center"/>
          </w:tcPr>
          <w:p w14:paraId="430AB49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14:paraId="207736D1">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擅自摆摊设点</w:t>
            </w:r>
          </w:p>
        </w:tc>
        <w:tc>
          <w:tcPr>
            <w:tcW w:w="2789" w:type="dxa"/>
            <w:gridSpan w:val="2"/>
            <w:shd w:val="clear" w:color="auto" w:fill="auto"/>
            <w:vAlign w:val="center"/>
          </w:tcPr>
          <w:p w14:paraId="22BF9CF7">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14:paraId="6CA114EA">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0A4AA1A">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88D4A3F">
            <w:pPr>
              <w:numPr>
                <w:ilvl w:val="0"/>
                <w:numId w:val="0"/>
              </w:numPr>
              <w:spacing w:line="230" w:lineRule="exact"/>
              <w:rPr>
                <w:color w:val="auto"/>
                <w:highlight w:val="none"/>
                <w:lang w:val="en-US" w:eastAsia="zh-CN"/>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占用过街桥、地下过街通道的，系数1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2.占用非机动车道或者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公共场所，面积较大，系数1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.占用无障碍设施或者机动车道的，系数</w:t>
            </w:r>
            <w:r>
              <w:rPr>
                <w:rFonts w:hint="eastAsia" w:cs="宋体" w:asciiTheme="minorEastAsia" w:hAnsiTheme="minorEastAsia" w:eastAsiaTheme="minorEastAsia"/>
                <w:b w:val="0"/>
                <w:bCs w:val="0"/>
                <w:color w:val="auto"/>
                <w:kern w:val="0"/>
                <w:sz w:val="15"/>
                <w:szCs w:val="15"/>
                <w:highlight w:val="none"/>
                <w:lang w:val="en-US" w:eastAsia="zh-CN"/>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default" w:cs="宋体" w:asciiTheme="minorEastAsia" w:hAnsiTheme="minorEastAsia" w:eastAsiaTheme="minorEastAsia"/>
                <w:b w:val="0"/>
                <w:bCs w:val="0"/>
                <w:color w:val="auto"/>
                <w:kern w:val="0"/>
                <w:sz w:val="15"/>
                <w:szCs w:val="15"/>
                <w:highlight w:val="none"/>
                <w:lang w:val="en-US"/>
              </w:rPr>
              <w:t>4</w:t>
            </w:r>
            <w:r>
              <w:rPr>
                <w:rFonts w:hint="eastAsia" w:cs="宋体" w:asciiTheme="minorEastAsia" w:hAnsiTheme="minorEastAsia" w:eastAsiaTheme="minorEastAsia"/>
                <w:b w:val="0"/>
                <w:bCs w:val="0"/>
                <w:color w:val="auto"/>
                <w:kern w:val="0"/>
                <w:sz w:val="15"/>
                <w:szCs w:val="15"/>
                <w:highlight w:val="none"/>
              </w:rPr>
              <w:t>.使用畜力车、农用运输车及</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机动车、电动车为工具的，</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系数1-3</w:t>
            </w:r>
            <w:r>
              <w:rPr>
                <w:rFonts w:hint="eastAsia" w:cs="宋体" w:asciiTheme="minorEastAsia" w:hAnsiTheme="minorEastAsia" w:eastAsiaTheme="minorEastAsia"/>
                <w:b w:val="0"/>
                <w:bCs w:val="0"/>
                <w:color w:val="auto"/>
                <w:kern w:val="0"/>
                <w:sz w:val="15"/>
                <w:szCs w:val="15"/>
                <w:highlight w:val="none"/>
              </w:rPr>
              <w:t>；</w:t>
            </w:r>
            <w:r>
              <w:rPr>
                <w:rFonts w:hint="default"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eastAsia="zh-CN"/>
              </w:rPr>
              <w:t>使用液化石油气瓶</w:t>
            </w:r>
            <w:r>
              <w:rPr>
                <w:rFonts w:hint="eastAsia" w:cs="宋体" w:asciiTheme="minorEastAsia" w:hAnsiTheme="minorEastAsia" w:eastAsiaTheme="minorEastAsia"/>
                <w:b w:val="0"/>
                <w:bCs w:val="0"/>
                <w:color w:val="auto"/>
                <w:kern w:val="0"/>
                <w:sz w:val="15"/>
                <w:szCs w:val="15"/>
                <w:highlight w:val="none"/>
              </w:rPr>
              <w:t>现场加工制作食品的，系数</w:t>
            </w:r>
            <w:r>
              <w:rPr>
                <w:rFonts w:hint="default" w:cs="宋体" w:asciiTheme="minorEastAsia" w:hAnsiTheme="minorEastAsia" w:eastAsiaTheme="minorEastAsia"/>
                <w:b w:val="0"/>
                <w:bCs w:val="0"/>
                <w:color w:val="auto"/>
                <w:kern w:val="0"/>
                <w:sz w:val="15"/>
                <w:szCs w:val="15"/>
                <w:highlight w:val="none"/>
                <w:lang w:val="en-US" w:eastAsia="zh-CN"/>
              </w:rPr>
              <w:t>5-9</w:t>
            </w:r>
            <w:r>
              <w:rPr>
                <w:rFonts w:hint="eastAsia" w:cs="宋体" w:asciiTheme="minorEastAsia" w:hAnsiTheme="minorEastAsia" w:eastAsiaTheme="minorEastAsia"/>
                <w:b w:val="0"/>
                <w:bCs w:val="0"/>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.造成交通秩序、市容秩序严重混乱的，系数5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；7.摆设摊点经营违禁品的，系数9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8</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14:paraId="16918990">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p w14:paraId="731B5531">
            <w:pPr>
              <w:pStyle w:val="22"/>
              <w:spacing w:after="0" w:line="230" w:lineRule="exact"/>
              <w:ind w:firstLine="300"/>
              <w:rPr>
                <w:rFonts w:cs="宋体" w:asciiTheme="minorEastAsia" w:hAnsiTheme="minorEastAsia" w:eastAsiaTheme="minorEastAsia"/>
                <w:color w:val="auto"/>
                <w:kern w:val="0"/>
                <w:sz w:val="15"/>
                <w:szCs w:val="15"/>
                <w:highlight w:val="none"/>
              </w:rPr>
            </w:pPr>
          </w:p>
          <w:p w14:paraId="3FA5E17D">
            <w:pPr>
              <w:pStyle w:val="22"/>
              <w:spacing w:after="0" w:line="230" w:lineRule="exact"/>
              <w:ind w:firstLine="300"/>
              <w:rPr>
                <w:rFonts w:cs="宋体" w:asciiTheme="minorEastAsia" w:hAnsiTheme="minorEastAsia" w:eastAsiaTheme="minorEastAsia"/>
                <w:color w:val="auto"/>
                <w:kern w:val="0"/>
                <w:sz w:val="15"/>
                <w:szCs w:val="15"/>
                <w:highlight w:val="none"/>
              </w:rPr>
            </w:pPr>
          </w:p>
          <w:p w14:paraId="106AD96B">
            <w:pPr>
              <w:spacing w:line="23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34FA530C">
            <w:pPr>
              <w:spacing w:line="230" w:lineRule="exact"/>
              <w:rPr>
                <w:rFonts w:cs="宋体" w:asciiTheme="minorEastAsia" w:hAnsiTheme="minorEastAsia" w:eastAsiaTheme="minorEastAsia"/>
                <w:color w:val="auto"/>
                <w:kern w:val="0"/>
                <w:sz w:val="15"/>
                <w:szCs w:val="15"/>
                <w:highlight w:val="none"/>
              </w:rPr>
            </w:pPr>
          </w:p>
        </w:tc>
      </w:tr>
      <w:tr w14:paraId="13CE2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18" w:hRule="atLeast"/>
          <w:jc w:val="center"/>
        </w:trPr>
        <w:tc>
          <w:tcPr>
            <w:tcW w:w="610" w:type="dxa"/>
            <w:shd w:val="clear" w:color="auto" w:fill="auto"/>
            <w:vAlign w:val="center"/>
          </w:tcPr>
          <w:p w14:paraId="6C8542E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14:paraId="4780ADE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乱堆物料</w:t>
            </w:r>
          </w:p>
        </w:tc>
        <w:tc>
          <w:tcPr>
            <w:tcW w:w="2789" w:type="dxa"/>
            <w:gridSpan w:val="2"/>
            <w:shd w:val="clear" w:color="auto" w:fill="auto"/>
            <w:vAlign w:val="center"/>
          </w:tcPr>
          <w:p w14:paraId="7860A6B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14:paraId="6EEB9FC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BDD709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DF94812">
            <w:pPr>
              <w:spacing w:line="232" w:lineRule="exac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b w:val="0"/>
                <w:bCs w:val="0"/>
                <w:color w:val="auto"/>
                <w:kern w:val="0"/>
                <w:sz w:val="15"/>
                <w:szCs w:val="15"/>
                <w:highlight w:val="none"/>
                <w:lang w:val="en-US"/>
              </w:rPr>
              <w:t>1.占用过街桥、地下过街通道的，</w:t>
            </w:r>
            <w:r>
              <w:rPr>
                <w:rFonts w:hint="eastAsia" w:cs="宋体" w:asciiTheme="minorEastAsia" w:hAnsiTheme="minorEastAsia" w:eastAsiaTheme="minorEastAsia"/>
                <w:b w:val="0"/>
                <w:bCs w:val="0"/>
                <w:color w:val="auto"/>
                <w:kern w:val="0"/>
                <w:sz w:val="15"/>
                <w:szCs w:val="15"/>
                <w:highlight w:val="none"/>
                <w:lang w:val="en-US" w:eastAsia="zh-CN"/>
              </w:rPr>
              <w:t>系数</w:t>
            </w:r>
            <w:r>
              <w:rPr>
                <w:rFonts w:hint="default" w:cs="宋体" w:asciiTheme="minorEastAsia" w:hAnsiTheme="minorEastAsia" w:eastAsiaTheme="minorEastAsia"/>
                <w:b w:val="0"/>
                <w:bCs w:val="0"/>
                <w:color w:val="auto"/>
                <w:kern w:val="0"/>
                <w:sz w:val="15"/>
                <w:szCs w:val="15"/>
                <w:highlight w:val="none"/>
                <w:lang w:val="en-US"/>
              </w:rPr>
              <w:t>1-3；2.占用非机动车道或者</w:t>
            </w:r>
            <w:r>
              <w:rPr>
                <w:rFonts w:hint="eastAsia" w:cs="宋体" w:asciiTheme="minorEastAsia" w:hAnsiTheme="minorEastAsia" w:eastAsiaTheme="minorEastAsia"/>
                <w:b w:val="0"/>
                <w:bCs w:val="0"/>
                <w:color w:val="auto"/>
                <w:kern w:val="0"/>
                <w:sz w:val="15"/>
                <w:szCs w:val="15"/>
                <w:highlight w:val="none"/>
                <w:lang w:val="en-US" w:eastAsia="zh-CN"/>
              </w:rPr>
              <w:t>其他</w:t>
            </w:r>
            <w:r>
              <w:rPr>
                <w:rFonts w:hint="default" w:cs="宋体" w:asciiTheme="minorEastAsia" w:hAnsiTheme="minorEastAsia" w:eastAsiaTheme="minorEastAsia"/>
                <w:b w:val="0"/>
                <w:bCs w:val="0"/>
                <w:color w:val="auto"/>
                <w:kern w:val="0"/>
                <w:sz w:val="15"/>
                <w:szCs w:val="15"/>
                <w:highlight w:val="none"/>
                <w:lang w:val="en-US"/>
              </w:rPr>
              <w:t>公共场所，面积较大，</w:t>
            </w:r>
            <w:r>
              <w:rPr>
                <w:rFonts w:hint="eastAsia" w:cs="宋体" w:asciiTheme="minorEastAsia" w:hAnsiTheme="minorEastAsia" w:eastAsiaTheme="minorEastAsia"/>
                <w:b w:val="0"/>
                <w:bCs w:val="0"/>
                <w:color w:val="auto"/>
                <w:kern w:val="0"/>
                <w:sz w:val="15"/>
                <w:szCs w:val="15"/>
                <w:highlight w:val="none"/>
                <w:lang w:val="en-US" w:eastAsia="zh-CN"/>
              </w:rPr>
              <w:t>系数</w:t>
            </w:r>
            <w:r>
              <w:rPr>
                <w:rFonts w:hint="default" w:cs="宋体" w:asciiTheme="minorEastAsia" w:hAnsiTheme="minorEastAsia" w:eastAsiaTheme="minorEastAsia"/>
                <w:b w:val="0"/>
                <w:bCs w:val="0"/>
                <w:color w:val="auto"/>
                <w:kern w:val="0"/>
                <w:sz w:val="15"/>
                <w:szCs w:val="15"/>
                <w:highlight w:val="none"/>
                <w:lang w:val="en-US"/>
              </w:rPr>
              <w:t>1-3；3.占用无障碍设施或者机动车道的，</w:t>
            </w:r>
            <w:r>
              <w:rPr>
                <w:rFonts w:hint="eastAsia" w:cs="宋体" w:asciiTheme="minorEastAsia" w:hAnsiTheme="minorEastAsia" w:eastAsiaTheme="minorEastAsia"/>
                <w:b w:val="0"/>
                <w:bCs w:val="0"/>
                <w:color w:val="auto"/>
                <w:kern w:val="0"/>
                <w:sz w:val="15"/>
                <w:szCs w:val="15"/>
                <w:highlight w:val="none"/>
                <w:lang w:val="en-US" w:eastAsia="zh-CN"/>
              </w:rPr>
              <w:t>系数</w:t>
            </w:r>
            <w:r>
              <w:rPr>
                <w:rFonts w:hint="default" w:cs="宋体" w:asciiTheme="minorEastAsia" w:hAnsiTheme="minorEastAsia" w:eastAsiaTheme="minorEastAsia"/>
                <w:b w:val="0"/>
                <w:bCs w:val="0"/>
                <w:color w:val="auto"/>
                <w:kern w:val="0"/>
                <w:sz w:val="15"/>
                <w:szCs w:val="15"/>
                <w:highlight w:val="none"/>
                <w:lang w:val="en-US"/>
              </w:rPr>
              <w:t>4-6；4.在公共绿地、燃气、热力等保护范围、管理范围堆放的，系数4-6；5.堆放易燃易爆等危险物品的，</w:t>
            </w:r>
            <w:r>
              <w:rPr>
                <w:rFonts w:hint="eastAsia" w:cs="宋体" w:asciiTheme="minorEastAsia" w:hAnsiTheme="minorEastAsia" w:eastAsiaTheme="minorEastAsia"/>
                <w:b w:val="0"/>
                <w:bCs w:val="0"/>
                <w:color w:val="auto"/>
                <w:kern w:val="0"/>
                <w:sz w:val="15"/>
                <w:szCs w:val="15"/>
                <w:highlight w:val="none"/>
                <w:lang w:val="en-US" w:eastAsia="zh-CN"/>
              </w:rPr>
              <w:t>系数</w:t>
            </w:r>
            <w:r>
              <w:rPr>
                <w:rFonts w:hint="default" w:cs="宋体" w:asciiTheme="minorEastAsia" w:hAnsiTheme="minorEastAsia" w:eastAsiaTheme="minorEastAsia"/>
                <w:b w:val="0"/>
                <w:bCs w:val="0"/>
                <w:color w:val="auto"/>
                <w:kern w:val="0"/>
                <w:sz w:val="15"/>
                <w:szCs w:val="15"/>
                <w:highlight w:val="none"/>
                <w:lang w:val="en-US"/>
              </w:rPr>
              <w:t>5-9；6.造成交通秩序、市容秩序严重混乱的，系数5-9；7.造成人员伤亡的，系数7-9</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8</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14:paraId="1C8FA12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9947879">
            <w:pPr>
              <w:spacing w:line="232" w:lineRule="exact"/>
              <w:rPr>
                <w:rFonts w:cs="宋体" w:asciiTheme="minorEastAsia" w:hAnsiTheme="minorEastAsia" w:eastAsiaTheme="minorEastAsia"/>
                <w:color w:val="auto"/>
                <w:kern w:val="0"/>
                <w:sz w:val="15"/>
                <w:szCs w:val="15"/>
                <w:highlight w:val="none"/>
              </w:rPr>
            </w:pPr>
          </w:p>
        </w:tc>
      </w:tr>
      <w:tr w14:paraId="309F0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00" w:hRule="atLeast"/>
          <w:jc w:val="center"/>
        </w:trPr>
        <w:tc>
          <w:tcPr>
            <w:tcW w:w="610" w:type="dxa"/>
            <w:shd w:val="clear" w:color="auto" w:fill="auto"/>
            <w:vAlign w:val="center"/>
          </w:tcPr>
          <w:p w14:paraId="1EBD380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14:paraId="6EA4F23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未按规定举办活动</w:t>
            </w:r>
          </w:p>
        </w:tc>
        <w:tc>
          <w:tcPr>
            <w:tcW w:w="2789" w:type="dxa"/>
            <w:gridSpan w:val="2"/>
            <w:shd w:val="clear" w:color="auto" w:fill="auto"/>
            <w:vAlign w:val="center"/>
          </w:tcPr>
          <w:p w14:paraId="3E123B2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违反条款：第三十五条第二款；</w:t>
            </w:r>
          </w:p>
          <w:p w14:paraId="29C6155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处罚条款：第三十五条第五款：责令改正，并可处1000元以上1万元以下的罚款。</w:t>
            </w:r>
          </w:p>
        </w:tc>
        <w:tc>
          <w:tcPr>
            <w:tcW w:w="851" w:type="dxa"/>
            <w:shd w:val="clear" w:color="auto" w:fill="auto"/>
            <w:vAlign w:val="center"/>
          </w:tcPr>
          <w:p w14:paraId="2590939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79ABA32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78C0F4F">
            <w:pPr>
              <w:spacing w:line="232" w:lineRule="exact"/>
              <w:rPr>
                <w:rFonts w:hint="default" w:eastAsiaTheme="minorEastAsia"/>
                <w:color w:val="auto"/>
                <w:highlight w:val="none"/>
                <w:lang w:val="en-US" w:eastAsia="zh-CN"/>
              </w:rPr>
            </w:pPr>
            <w:r>
              <w:rPr>
                <w:rFonts w:hint="default" w:cs="宋体" w:asciiTheme="minorEastAsia" w:hAnsiTheme="minorEastAsia" w:eastAsiaTheme="minorEastAsia"/>
                <w:b w:val="0"/>
                <w:bCs w:val="0"/>
                <w:color w:val="auto"/>
                <w:kern w:val="0"/>
                <w:sz w:val="15"/>
                <w:szCs w:val="15"/>
                <w:highlight w:val="none"/>
                <w:lang w:val="en-US"/>
              </w:rPr>
              <w:t>1.</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占用过街桥、地下过街通道的，</w:t>
            </w:r>
            <w:r>
              <w:rPr>
                <w:rFonts w:hint="eastAsia" w:cs="宋体" w:asciiTheme="minorEastAsia" w:hAnsiTheme="minorEastAsia" w:eastAsiaTheme="minorEastAsia"/>
                <w:b w:val="0"/>
                <w:bCs w:val="0"/>
                <w:color w:val="auto"/>
                <w:kern w:val="0"/>
                <w:sz w:val="15"/>
                <w:szCs w:val="15"/>
                <w:highlight w:val="none"/>
                <w:lang w:eastAsia="zh-CN"/>
              </w:rPr>
              <w:t>系数</w:t>
            </w:r>
            <w:r>
              <w:rPr>
                <w:rFonts w:hint="eastAsia" w:cs="宋体" w:asciiTheme="minorEastAsia" w:hAnsiTheme="minorEastAsia" w:eastAsiaTheme="minorEastAsia"/>
                <w:b w:val="0"/>
                <w:bCs w:val="0"/>
                <w:color w:val="auto"/>
                <w:kern w:val="0"/>
                <w:sz w:val="15"/>
                <w:szCs w:val="15"/>
                <w:highlight w:val="none"/>
              </w:rPr>
              <w:t>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占用非机动车道或者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公共场所，面积较大，</w:t>
            </w:r>
            <w:r>
              <w:rPr>
                <w:rFonts w:hint="eastAsia" w:cs="宋体" w:asciiTheme="minorEastAsia" w:hAnsiTheme="minorEastAsia" w:eastAsiaTheme="minorEastAsia"/>
                <w:b w:val="0"/>
                <w:bCs w:val="0"/>
                <w:color w:val="auto"/>
                <w:kern w:val="0"/>
                <w:sz w:val="15"/>
                <w:szCs w:val="15"/>
                <w:highlight w:val="none"/>
                <w:lang w:eastAsia="zh-CN"/>
              </w:rPr>
              <w:t>系数</w:t>
            </w:r>
            <w:r>
              <w:rPr>
                <w:rFonts w:hint="eastAsia" w:cs="宋体" w:asciiTheme="minorEastAsia" w:hAnsiTheme="minorEastAsia" w:eastAsiaTheme="minorEastAsia"/>
                <w:b w:val="0"/>
                <w:bCs w:val="0"/>
                <w:color w:val="auto"/>
                <w:kern w:val="0"/>
                <w:sz w:val="15"/>
                <w:szCs w:val="15"/>
                <w:highlight w:val="none"/>
              </w:rPr>
              <w:t>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占用无障碍设施或者机动车道的，</w:t>
            </w:r>
            <w:r>
              <w:rPr>
                <w:rFonts w:hint="eastAsia" w:cs="宋体" w:asciiTheme="minorEastAsia" w:hAnsiTheme="minorEastAsia" w:eastAsiaTheme="minorEastAsia"/>
                <w:b w:val="0"/>
                <w:bCs w:val="0"/>
                <w:color w:val="auto"/>
                <w:kern w:val="0"/>
                <w:sz w:val="15"/>
                <w:szCs w:val="15"/>
                <w:highlight w:val="none"/>
                <w:lang w:eastAsia="zh-CN"/>
              </w:rPr>
              <w:t>系数</w:t>
            </w:r>
            <w:r>
              <w:rPr>
                <w:rFonts w:hint="eastAsia" w:cs="宋体" w:asciiTheme="minorEastAsia" w:hAnsiTheme="minorEastAsia" w:eastAsiaTheme="minorEastAsia"/>
                <w:b w:val="0"/>
                <w:bCs w:val="0"/>
                <w:color w:val="auto"/>
                <w:kern w:val="0"/>
                <w:sz w:val="15"/>
                <w:szCs w:val="15"/>
                <w:highlight w:val="none"/>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造成交通秩序、市容秩序严重混乱的，系数5</w:t>
            </w:r>
            <w:r>
              <w:rPr>
                <w:rFonts w:hint="eastAsia" w:cs="宋体" w:asciiTheme="minorEastAsia" w:hAnsiTheme="minorEastAsia" w:eastAsiaTheme="minorEastAsia"/>
                <w:b w:val="0"/>
                <w:bCs w:val="0"/>
                <w:color w:val="auto"/>
                <w:kern w:val="0"/>
                <w:sz w:val="15"/>
                <w:szCs w:val="15"/>
                <w:highlight w:val="none"/>
                <w:lang w:val="en-US" w:eastAsia="zh-CN"/>
              </w:rPr>
              <w:t>-9；5</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14:paraId="7A3DF599">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6A2322B">
            <w:pPr>
              <w:spacing w:line="232" w:lineRule="exact"/>
              <w:rPr>
                <w:rFonts w:cs="宋体" w:asciiTheme="minorEastAsia" w:hAnsiTheme="minorEastAsia" w:eastAsiaTheme="minorEastAsia"/>
                <w:color w:val="auto"/>
                <w:kern w:val="0"/>
                <w:sz w:val="15"/>
                <w:szCs w:val="15"/>
                <w:highlight w:val="none"/>
              </w:rPr>
            </w:pPr>
          </w:p>
        </w:tc>
      </w:tr>
      <w:tr w14:paraId="0D4CC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35" w:hRule="atLeast"/>
          <w:jc w:val="center"/>
        </w:trPr>
        <w:tc>
          <w:tcPr>
            <w:tcW w:w="610" w:type="dxa"/>
            <w:shd w:val="clear" w:color="auto" w:fill="auto"/>
            <w:vAlign w:val="center"/>
          </w:tcPr>
          <w:p w14:paraId="41BD318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14:paraId="3708B936">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店外经营</w:t>
            </w:r>
          </w:p>
        </w:tc>
        <w:tc>
          <w:tcPr>
            <w:tcW w:w="2789" w:type="dxa"/>
            <w:gridSpan w:val="2"/>
            <w:shd w:val="clear" w:color="auto" w:fill="auto"/>
            <w:vAlign w:val="center"/>
          </w:tcPr>
          <w:p w14:paraId="123D84FD">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违反条款：第三十五条第三款；</w:t>
            </w:r>
          </w:p>
          <w:p w14:paraId="5E7BD921">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处罚条款：第三十五条第五款：责令改正，并可处300元以上3000元以下的罚款。</w:t>
            </w:r>
          </w:p>
        </w:tc>
        <w:tc>
          <w:tcPr>
            <w:tcW w:w="851" w:type="dxa"/>
            <w:shd w:val="clear" w:color="auto" w:fill="auto"/>
            <w:vAlign w:val="center"/>
          </w:tcPr>
          <w:p w14:paraId="7C8A9E9B">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1532111F">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05EFB33">
            <w:pPr>
              <w:spacing w:line="21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1.占用非机动车道或者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公共场所，面积</w:t>
            </w:r>
            <w:r>
              <w:rPr>
                <w:rFonts w:hint="eastAsia" w:cs="宋体" w:asciiTheme="minorEastAsia" w:hAnsiTheme="minorEastAsia" w:eastAsiaTheme="minorEastAsia"/>
                <w:b w:val="0"/>
                <w:bCs w:val="0"/>
                <w:color w:val="auto"/>
                <w:kern w:val="0"/>
                <w:sz w:val="15"/>
                <w:szCs w:val="15"/>
                <w:highlight w:val="none"/>
              </w:rPr>
              <w:t>较大，系数1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占用无障碍设施或者机动车道、</w:t>
            </w:r>
            <w:r>
              <w:rPr>
                <w:rFonts w:hint="eastAsia" w:cs="宋体" w:asciiTheme="minorEastAsia" w:hAnsiTheme="minorEastAsia" w:eastAsiaTheme="minorEastAsia"/>
                <w:b w:val="0"/>
                <w:bCs w:val="0"/>
                <w:color w:val="auto"/>
                <w:kern w:val="0"/>
                <w:sz w:val="15"/>
                <w:szCs w:val="15"/>
                <w:highlight w:val="none"/>
                <w:u w:val="none"/>
              </w:rPr>
              <w:t>绿地的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.经营违禁品的，系数9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5</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14:paraId="2FE4AD8A">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D85289A">
            <w:pPr>
              <w:spacing w:line="210" w:lineRule="exact"/>
              <w:rPr>
                <w:rFonts w:cs="宋体" w:asciiTheme="minorEastAsia" w:hAnsiTheme="minorEastAsia" w:eastAsiaTheme="minorEastAsia"/>
                <w:color w:val="auto"/>
                <w:kern w:val="0"/>
                <w:sz w:val="15"/>
                <w:szCs w:val="15"/>
                <w:highlight w:val="none"/>
              </w:rPr>
            </w:pPr>
          </w:p>
        </w:tc>
      </w:tr>
      <w:tr w14:paraId="44F7E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00" w:hRule="atLeast"/>
          <w:jc w:val="center"/>
        </w:trPr>
        <w:tc>
          <w:tcPr>
            <w:tcW w:w="610" w:type="dxa"/>
            <w:shd w:val="clear" w:color="auto" w:fill="auto"/>
            <w:vAlign w:val="center"/>
          </w:tcPr>
          <w:p w14:paraId="3CCCD00D">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14:paraId="24B07194">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在城市道路及</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公共场所晾晒衣物、吊挂物品</w:t>
            </w:r>
          </w:p>
        </w:tc>
        <w:tc>
          <w:tcPr>
            <w:tcW w:w="2789" w:type="dxa"/>
            <w:gridSpan w:val="2"/>
            <w:shd w:val="clear" w:color="auto" w:fill="auto"/>
            <w:vAlign w:val="center"/>
          </w:tcPr>
          <w:p w14:paraId="5DB30684">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违反条款：第三十六条第一款；</w:t>
            </w:r>
          </w:p>
          <w:p w14:paraId="07C57FF4">
            <w:pPr>
              <w:spacing w:line="21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处罚条款：第三十六条第二款：责令改正，并可处20元以上50元以下罚款。</w:t>
            </w:r>
          </w:p>
        </w:tc>
        <w:tc>
          <w:tcPr>
            <w:tcW w:w="851" w:type="dxa"/>
            <w:shd w:val="clear" w:color="auto" w:fill="auto"/>
            <w:vAlign w:val="center"/>
          </w:tcPr>
          <w:p w14:paraId="4FFE8504">
            <w:pPr>
              <w:spacing w:line="21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55CC45E">
            <w:pPr>
              <w:spacing w:line="21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CB54034">
            <w:pPr>
              <w:spacing w:line="21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62718E88">
            <w:pPr>
              <w:spacing w:line="21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5225D7CE">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按照简易程序执行</w:t>
            </w:r>
          </w:p>
        </w:tc>
      </w:tr>
      <w:tr w14:paraId="5C442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02" w:hRule="atLeast"/>
          <w:jc w:val="center"/>
        </w:trPr>
        <w:tc>
          <w:tcPr>
            <w:tcW w:w="610" w:type="dxa"/>
            <w:shd w:val="clear" w:color="auto" w:fill="auto"/>
            <w:vAlign w:val="center"/>
          </w:tcPr>
          <w:p w14:paraId="2270A99B">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14:paraId="16CC61EE">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违反规划设置户外广告设施</w:t>
            </w:r>
          </w:p>
        </w:tc>
        <w:tc>
          <w:tcPr>
            <w:tcW w:w="2789" w:type="dxa"/>
            <w:gridSpan w:val="2"/>
            <w:shd w:val="clear" w:color="auto" w:fill="auto"/>
            <w:vAlign w:val="center"/>
          </w:tcPr>
          <w:p w14:paraId="24D29366">
            <w:pPr>
              <w:spacing w:line="210" w:lineRule="exact"/>
              <w:rPr>
                <w:rFonts w:cs="宋体" w:asciiTheme="minorEastAsia" w:hAnsiTheme="minorEastAsia" w:eastAsiaTheme="minorEastAsia"/>
                <w:color w:val="auto"/>
                <w:kern w:val="0"/>
                <w:sz w:val="15"/>
                <w:szCs w:val="15"/>
                <w:highlight w:val="none"/>
              </w:rPr>
            </w:pPr>
          </w:p>
          <w:p w14:paraId="42302CF2">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14:paraId="1224BA1B">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14:paraId="5441DB55">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269762E">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6D5DF03">
            <w:pPr>
              <w:spacing w:line="232" w:lineRule="exact"/>
              <w:rPr>
                <w:rFonts w:hint="eastAsia"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2；2.违法设置距地十米以上户外广告设施的，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r>
              <w:rPr>
                <w:rFonts w:hint="eastAsia" w:cs="宋体" w:asciiTheme="minorEastAsia" w:hAnsiTheme="minorEastAsia" w:eastAsiaTheme="minorEastAsia"/>
                <w:b w:val="0"/>
                <w:bCs w:val="0"/>
                <w:color w:val="auto"/>
                <w:kern w:val="0"/>
                <w:sz w:val="15"/>
                <w:szCs w:val="15"/>
                <w:highlight w:val="none"/>
                <w:lang w:val="en-US" w:eastAsia="zh-CN"/>
              </w:rPr>
              <w:t>5</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14:paraId="4F7FAF2B">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4BB5A0E">
            <w:pPr>
              <w:pStyle w:val="8"/>
              <w:rPr>
                <w:rFonts w:hint="eastAsia"/>
                <w:color w:val="auto"/>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p w14:paraId="7812F954">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14:paraId="5835CCC9">
            <w:pPr>
              <w:spacing w:line="210" w:lineRule="exact"/>
              <w:rPr>
                <w:rFonts w:hint="eastAsia" w:asciiTheme="minorEastAsia" w:hAnsiTheme="minorEastAsia" w:eastAsiaTheme="minorEastAsia"/>
                <w:color w:val="auto"/>
                <w:sz w:val="15"/>
                <w:szCs w:val="15"/>
                <w:highlight w:val="none"/>
              </w:rPr>
            </w:pPr>
          </w:p>
        </w:tc>
      </w:tr>
      <w:tr w14:paraId="78933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29" w:hRule="atLeast"/>
          <w:jc w:val="center"/>
        </w:trPr>
        <w:tc>
          <w:tcPr>
            <w:tcW w:w="610" w:type="dxa"/>
            <w:shd w:val="clear" w:color="auto" w:fill="auto"/>
            <w:vAlign w:val="center"/>
          </w:tcPr>
          <w:p w14:paraId="34EFB014">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14:paraId="5C4CA66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设置户外广告设施不符合安全技术标准</w:t>
            </w:r>
          </w:p>
        </w:tc>
        <w:tc>
          <w:tcPr>
            <w:tcW w:w="2789" w:type="dxa"/>
            <w:gridSpan w:val="2"/>
            <w:shd w:val="clear" w:color="auto" w:fill="auto"/>
            <w:vAlign w:val="center"/>
          </w:tcPr>
          <w:p w14:paraId="6210F351">
            <w:pPr>
              <w:spacing w:line="210" w:lineRule="exact"/>
              <w:rPr>
                <w:rFonts w:cs="宋体" w:asciiTheme="minorEastAsia" w:hAnsiTheme="minorEastAsia" w:eastAsiaTheme="minorEastAsia"/>
                <w:color w:val="auto"/>
                <w:kern w:val="0"/>
                <w:sz w:val="15"/>
                <w:szCs w:val="15"/>
                <w:highlight w:val="none"/>
              </w:rPr>
            </w:pPr>
          </w:p>
          <w:p w14:paraId="55D27C11">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14:paraId="7C4E5AD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14:paraId="45AE92D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353D84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0A7B297">
            <w:pPr>
              <w:spacing w:line="23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14:paraId="43C8A8F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326570F1">
            <w:pPr>
              <w:pStyle w:val="22"/>
              <w:spacing w:after="0" w:line="232" w:lineRule="exact"/>
              <w:ind w:left="0" w:leftChars="0" w:firstLine="0" w:firstLineChars="0"/>
              <w:jc w:val="left"/>
              <w:rPr>
                <w:rFonts w:hint="eastAsia"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p w14:paraId="77374D2B">
            <w:pPr>
              <w:pStyle w:val="22"/>
              <w:spacing w:after="0" w:line="232" w:lineRule="exact"/>
              <w:ind w:left="0" w:leftChars="0" w:firstLine="0" w:firstLineChars="0"/>
              <w:jc w:val="left"/>
              <w:rPr>
                <w:rFonts w:hint="eastAsia" w:cs="宋体" w:asciiTheme="minorEastAsia" w:hAnsiTheme="minorEastAsia" w:eastAsiaTheme="minorEastAsia"/>
                <w:strike w:val="0"/>
                <w:dstrike w:val="0"/>
                <w:color w:val="auto"/>
                <w:kern w:val="0"/>
                <w:sz w:val="15"/>
                <w:szCs w:val="15"/>
                <w:highlight w:val="none"/>
              </w:rPr>
            </w:pPr>
          </w:p>
          <w:p w14:paraId="515378B5">
            <w:pPr>
              <w:spacing w:line="232" w:lineRule="exact"/>
              <w:rPr>
                <w:rFonts w:cs="宋体" w:asciiTheme="minorEastAsia" w:hAnsiTheme="minorEastAsia" w:eastAsiaTheme="minorEastAsia"/>
                <w:strike/>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14:paraId="41C38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26" w:hRule="atLeast"/>
          <w:jc w:val="center"/>
        </w:trPr>
        <w:tc>
          <w:tcPr>
            <w:tcW w:w="610" w:type="dxa"/>
            <w:shd w:val="clear" w:color="auto" w:fill="auto"/>
            <w:vAlign w:val="center"/>
          </w:tcPr>
          <w:p w14:paraId="5786912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14:paraId="15CF0D8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未按规定设置牌匾标识</w:t>
            </w:r>
          </w:p>
        </w:tc>
        <w:tc>
          <w:tcPr>
            <w:tcW w:w="2789" w:type="dxa"/>
            <w:gridSpan w:val="2"/>
            <w:shd w:val="clear" w:color="auto" w:fill="auto"/>
            <w:vAlign w:val="center"/>
          </w:tcPr>
          <w:p w14:paraId="7DD38D1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w:t>
            </w:r>
            <w:r>
              <w:rPr>
                <w:rFonts w:hint="eastAsia" w:cs="宋体" w:asciiTheme="minorEastAsia" w:hAnsiTheme="minorEastAsia" w:eastAsiaTheme="minorEastAsia"/>
                <w:color w:val="auto"/>
                <w:kern w:val="0"/>
                <w:sz w:val="15"/>
                <w:szCs w:val="15"/>
                <w:highlight w:val="none"/>
                <w:lang w:eastAsia="zh-CN"/>
              </w:rPr>
              <w:t>条</w:t>
            </w:r>
            <w:r>
              <w:rPr>
                <w:rFonts w:hint="eastAsia" w:cs="宋体" w:asciiTheme="minorEastAsia" w:hAnsiTheme="minorEastAsia" w:eastAsiaTheme="minorEastAsia"/>
                <w:color w:val="auto"/>
                <w:kern w:val="0"/>
                <w:sz w:val="15"/>
                <w:szCs w:val="15"/>
                <w:highlight w:val="none"/>
              </w:rPr>
              <w:t>第一款 责令限期改正，逾期不改正的，予以强制拆除，并可处500元以上5000元以下罚款。</w:t>
            </w:r>
          </w:p>
        </w:tc>
        <w:tc>
          <w:tcPr>
            <w:tcW w:w="851" w:type="dxa"/>
            <w:shd w:val="clear" w:color="auto" w:fill="auto"/>
            <w:vAlign w:val="center"/>
          </w:tcPr>
          <w:p w14:paraId="5B61183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9D673A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000032D">
            <w:pPr>
              <w:spacing w:line="232" w:lineRule="exact"/>
              <w:rPr>
                <w:rFonts w:hint="default"/>
                <w:color w:val="auto"/>
                <w:highlight w:val="none"/>
                <w:lang w:val="en-US"/>
              </w:rPr>
            </w:pPr>
            <w:r>
              <w:rPr>
                <w:rFonts w:hint="eastAsia" w:asciiTheme="minorEastAsia" w:hAnsiTheme="minorEastAsia" w:eastAsiaTheme="minorEastAsia"/>
                <w:color w:val="auto"/>
                <w:sz w:val="15"/>
                <w:szCs w:val="15"/>
                <w:highlight w:val="none"/>
              </w:rPr>
              <w:t>1.违法设置大型固定式牌匾标识的，系数2；2.违法设置距地十米以上的固定式牌匾标识的，系数2；3.违法设置2处牌匾标识的，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存在重大隐患或者造成人员伤亡的，系数9；5</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14:paraId="4E162D9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23705D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大型固定式牌匾标识，是指任意边长大于等于四米，或者面积大于等于十平方米的牌匾标识。</w:t>
            </w:r>
          </w:p>
        </w:tc>
      </w:tr>
      <w:tr w14:paraId="05090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19" w:hRule="atLeast"/>
          <w:jc w:val="center"/>
        </w:trPr>
        <w:tc>
          <w:tcPr>
            <w:tcW w:w="610" w:type="dxa"/>
            <w:shd w:val="clear" w:color="auto" w:fill="auto"/>
            <w:vAlign w:val="center"/>
          </w:tcPr>
          <w:p w14:paraId="787DDC11">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19</w:t>
            </w:r>
          </w:p>
        </w:tc>
        <w:tc>
          <w:tcPr>
            <w:tcW w:w="1830" w:type="dxa"/>
            <w:gridSpan w:val="3"/>
            <w:shd w:val="clear" w:color="auto" w:fill="auto"/>
            <w:vAlign w:val="center"/>
          </w:tcPr>
          <w:p w14:paraId="27A4597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未按规定管护牌匾标识</w:t>
            </w:r>
          </w:p>
        </w:tc>
        <w:tc>
          <w:tcPr>
            <w:tcW w:w="2789" w:type="dxa"/>
            <w:gridSpan w:val="2"/>
            <w:shd w:val="clear" w:color="auto" w:fill="auto"/>
            <w:vAlign w:val="center"/>
          </w:tcPr>
          <w:p w14:paraId="4051065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w:t>
            </w:r>
            <w:r>
              <w:rPr>
                <w:rFonts w:hint="eastAsia" w:cs="宋体" w:asciiTheme="minorEastAsia" w:hAnsiTheme="minorEastAsia" w:eastAsiaTheme="minorEastAsia"/>
                <w:color w:val="auto"/>
                <w:kern w:val="0"/>
                <w:sz w:val="15"/>
                <w:szCs w:val="15"/>
                <w:highlight w:val="none"/>
                <w:lang w:eastAsia="zh-CN"/>
              </w:rPr>
              <w:t>条</w:t>
            </w:r>
            <w:r>
              <w:rPr>
                <w:rFonts w:hint="eastAsia" w:cs="宋体" w:asciiTheme="minorEastAsia" w:hAnsiTheme="minorEastAsia" w:eastAsiaTheme="minorEastAsia"/>
                <w:color w:val="auto"/>
                <w:kern w:val="0"/>
                <w:sz w:val="15"/>
                <w:szCs w:val="15"/>
                <w:highlight w:val="none"/>
              </w:rPr>
              <w:t>第二款 责令停止使用，限期修复，并可处500元以上5000元以下罚款。</w:t>
            </w:r>
          </w:p>
        </w:tc>
        <w:tc>
          <w:tcPr>
            <w:tcW w:w="851" w:type="dxa"/>
            <w:shd w:val="clear" w:color="auto" w:fill="auto"/>
            <w:vAlign w:val="center"/>
          </w:tcPr>
          <w:p w14:paraId="22680A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2DEC819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F71FC7C">
            <w:pPr>
              <w:spacing w:line="232" w:lineRule="exact"/>
              <w:rPr>
                <w:color w:val="auto"/>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14:paraId="0B9D0E4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C92E5B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14:paraId="7A91D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11" w:hRule="atLeast"/>
          <w:jc w:val="center"/>
        </w:trPr>
        <w:tc>
          <w:tcPr>
            <w:tcW w:w="610" w:type="dxa"/>
            <w:vMerge w:val="restart"/>
            <w:shd w:val="clear" w:color="auto" w:fill="auto"/>
            <w:vAlign w:val="center"/>
          </w:tcPr>
          <w:p w14:paraId="634A64E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830" w:type="dxa"/>
            <w:gridSpan w:val="3"/>
            <w:vMerge w:val="restart"/>
            <w:shd w:val="clear" w:color="auto" w:fill="auto"/>
            <w:vAlign w:val="center"/>
          </w:tcPr>
          <w:p w14:paraId="69AA3B6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擅自（散发、悬挂、张贴、刻画、涂写、喷涂）宣传品、广告</w:t>
            </w:r>
          </w:p>
        </w:tc>
        <w:tc>
          <w:tcPr>
            <w:tcW w:w="2789" w:type="dxa"/>
            <w:gridSpan w:val="2"/>
            <w:vMerge w:val="restart"/>
            <w:shd w:val="clear" w:color="auto" w:fill="auto"/>
            <w:vAlign w:val="center"/>
          </w:tcPr>
          <w:p w14:paraId="1E00E30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shd w:val="clear" w:color="auto" w:fill="auto"/>
            <w:vAlign w:val="center"/>
          </w:tcPr>
          <w:p w14:paraId="05BFA51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169CFD5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1F884A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p>
          <w:p w14:paraId="39082C8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2.张贴、悬挂，</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p>
          <w:p w14:paraId="03BC427F">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3.刻画、涂写、喷涂，</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14:paraId="36E15AE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E1C4FFF">
            <w:pPr>
              <w:spacing w:line="232" w:lineRule="exact"/>
              <w:rPr>
                <w:rFonts w:cs="宋体" w:asciiTheme="minorEastAsia" w:hAnsiTheme="minorEastAsia" w:eastAsiaTheme="minorEastAsia"/>
                <w:color w:val="auto"/>
                <w:kern w:val="0"/>
                <w:sz w:val="15"/>
                <w:szCs w:val="15"/>
                <w:highlight w:val="none"/>
              </w:rPr>
            </w:pPr>
          </w:p>
        </w:tc>
      </w:tr>
      <w:tr w14:paraId="0C2F9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384" w:hRule="atLeast"/>
          <w:jc w:val="center"/>
        </w:trPr>
        <w:tc>
          <w:tcPr>
            <w:tcW w:w="610" w:type="dxa"/>
            <w:vMerge w:val="continue"/>
            <w:shd w:val="clear" w:color="auto" w:fill="auto"/>
            <w:vAlign w:val="center"/>
          </w:tcPr>
          <w:p w14:paraId="2A313A37">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17F352DF">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20228022">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75C6264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1000（情节严重）</w:t>
            </w:r>
          </w:p>
        </w:tc>
        <w:tc>
          <w:tcPr>
            <w:tcW w:w="840" w:type="dxa"/>
            <w:shd w:val="clear" w:color="auto" w:fill="auto"/>
            <w:vAlign w:val="center"/>
          </w:tcPr>
          <w:p w14:paraId="21D232E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224DE7B">
            <w:pPr>
              <w:numPr>
                <w:ilvl w:val="0"/>
                <w:numId w:val="0"/>
              </w:num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因散发、悬挂等行为影响交通通行的，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p>
          <w:p w14:paraId="4BB05DFD">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2.张贴、喷涂等污损名胜古迹的，或者严重污损市政、环卫、电信等设施、城市道路、墙体的，系数5；</w:t>
            </w:r>
            <w:r>
              <w:rPr>
                <w:rFonts w:hint="eastAsia" w:cs="宋体" w:asciiTheme="minorEastAsia" w:hAnsiTheme="minorEastAsia" w:eastAsiaTheme="minorEastAsia"/>
                <w:color w:val="auto"/>
                <w:kern w:val="0"/>
                <w:sz w:val="15"/>
                <w:szCs w:val="15"/>
                <w:highlight w:val="none"/>
                <w:lang w:val="en-US" w:eastAsia="zh-CN"/>
              </w:rPr>
              <w:t>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p>
        </w:tc>
        <w:tc>
          <w:tcPr>
            <w:tcW w:w="1875" w:type="dxa"/>
            <w:gridSpan w:val="2"/>
            <w:shd w:val="clear" w:color="auto" w:fill="auto"/>
            <w:vAlign w:val="center"/>
          </w:tcPr>
          <w:p w14:paraId="782EF47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F11180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1.一类地区小广告违法行为，按照此档处罚；特殊情况下需给予1000元以下罚款的，报经案审会审核。</w:t>
            </w:r>
          </w:p>
          <w:p w14:paraId="58AE6F1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2.“涉黑”“涉黄”等内容违法的小广告违法行为，如刻章办证、卖药、销售假冒伪劣商品、交友等，按照此档处罚。</w:t>
            </w:r>
          </w:p>
          <w:p w14:paraId="0B545EDC">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3.现场发现小广告数量达到500张以上，悬挂、张贴达到20张以上的，刻画、喷涂、涂写达到10条以上的，按照此档实施处罚。</w:t>
            </w:r>
          </w:p>
          <w:p w14:paraId="3A5A6984">
            <w:pPr>
              <w:spacing w:line="232" w:lineRule="exact"/>
              <w:rPr>
                <w:rFonts w:hint="eastAsia" w:cs="宋体" w:asciiTheme="minorEastAsia" w:hAnsiTheme="minorEastAsia" w:eastAsiaTheme="minorEastAsia"/>
                <w:color w:val="auto"/>
                <w:kern w:val="0"/>
                <w:sz w:val="15"/>
                <w:szCs w:val="15"/>
                <w:highlight w:val="none"/>
              </w:rPr>
            </w:pPr>
          </w:p>
        </w:tc>
      </w:tr>
      <w:tr w14:paraId="45D53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9" w:hRule="atLeast"/>
          <w:jc w:val="center"/>
        </w:trPr>
        <w:tc>
          <w:tcPr>
            <w:tcW w:w="610" w:type="dxa"/>
            <w:vMerge w:val="restart"/>
            <w:shd w:val="clear" w:color="auto" w:fill="auto"/>
            <w:vAlign w:val="center"/>
          </w:tcPr>
          <w:p w14:paraId="3A43E6E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830" w:type="dxa"/>
            <w:gridSpan w:val="3"/>
            <w:vMerge w:val="restart"/>
            <w:shd w:val="clear" w:color="auto" w:fill="auto"/>
            <w:vAlign w:val="center"/>
          </w:tcPr>
          <w:p w14:paraId="183A71C4">
            <w:pPr>
              <w:spacing w:line="232"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擅自利用或者组织（张贴、涂写、刻画、喷涂、散发）（标语、宣传品、广告）进行宣传</w:t>
            </w:r>
          </w:p>
        </w:tc>
        <w:tc>
          <w:tcPr>
            <w:tcW w:w="2789" w:type="dxa"/>
            <w:gridSpan w:val="2"/>
            <w:vMerge w:val="restart"/>
            <w:shd w:val="clear" w:color="auto" w:fill="auto"/>
            <w:vAlign w:val="center"/>
          </w:tcPr>
          <w:p w14:paraId="3FEAC6B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shd w:val="clear" w:color="auto" w:fill="auto"/>
            <w:vAlign w:val="center"/>
          </w:tcPr>
          <w:p w14:paraId="4AAE3F5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37CC3D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7A93F9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p>
          <w:p w14:paraId="3216E91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p>
          <w:p w14:paraId="75BD952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p>
          <w:p w14:paraId="291D926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6B0DB43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E2DAAE4">
            <w:pPr>
              <w:spacing w:line="232" w:lineRule="exact"/>
              <w:rPr>
                <w:rFonts w:cs="宋体" w:asciiTheme="minorEastAsia" w:hAnsiTheme="minorEastAsia" w:eastAsiaTheme="minorEastAsia"/>
                <w:color w:val="auto"/>
                <w:kern w:val="0"/>
                <w:sz w:val="15"/>
                <w:szCs w:val="15"/>
                <w:highlight w:val="none"/>
                <w:u w:val="single"/>
              </w:rPr>
            </w:pPr>
          </w:p>
        </w:tc>
      </w:tr>
      <w:tr w14:paraId="1819C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07" w:hRule="atLeast"/>
          <w:jc w:val="center"/>
        </w:trPr>
        <w:tc>
          <w:tcPr>
            <w:tcW w:w="610" w:type="dxa"/>
            <w:vMerge w:val="continue"/>
            <w:shd w:val="clear" w:color="auto" w:fill="auto"/>
            <w:vAlign w:val="center"/>
          </w:tcPr>
          <w:p w14:paraId="634EA31B">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20EC4B55">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0AE568B2">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2CBAA1A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100000（情节严重）</w:t>
            </w:r>
          </w:p>
        </w:tc>
        <w:tc>
          <w:tcPr>
            <w:tcW w:w="840" w:type="dxa"/>
            <w:shd w:val="clear" w:color="auto" w:fill="auto"/>
            <w:vAlign w:val="center"/>
          </w:tcPr>
          <w:p w14:paraId="11289A2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8B27FB9">
            <w:pPr>
              <w:numPr>
                <w:ilvl w:val="0"/>
                <w:numId w:val="0"/>
              </w:numPr>
              <w:spacing w:line="232" w:lineRule="exact"/>
              <w:rPr>
                <w:rFonts w:hint="eastAsia" w:cs="宋体" w:asciiTheme="minorEastAsia" w:hAnsiTheme="minorEastAsia" w:eastAsiaTheme="minorEastAsia"/>
                <w:color w:val="auto"/>
                <w:kern w:val="0"/>
                <w:sz w:val="15"/>
                <w:szCs w:val="15"/>
                <w:highlight w:val="none"/>
                <w:lang w:val="en-US" w:eastAsia="zh-CN"/>
              </w:rPr>
            </w:pPr>
            <w:r>
              <w:rPr>
                <w:rFonts w:hint="default"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val="en-US" w:eastAsia="zh-CN"/>
              </w:rPr>
              <w:t>拒不改正的，系数1；2.拒不配合调查取证的，系数1；3.一年内已有1次同类性质违法行为受到处罚或告诫的，系数1；一年内已有2次同类性质违法行为受到处罚或告诫的，系数2；以此类推。4.在国家和本市的重大活动、会议、庆典等期间的，系数1。5.发生在二类重点管理地区，系数1；一类严格控制地区，系数2。</w:t>
            </w:r>
          </w:p>
          <w:p w14:paraId="6E1CEEA6">
            <w:pPr>
              <w:numPr>
                <w:ilvl w:val="0"/>
                <w:numId w:val="0"/>
              </w:numPr>
              <w:spacing w:line="232"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上述情形适用，具体以基准2.1.3的具体规定为准。</w:t>
            </w:r>
          </w:p>
          <w:p w14:paraId="771BFB79">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A01574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3EFA058">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组织利用</w:t>
            </w:r>
            <w:r>
              <w:rPr>
                <w:rFonts w:cs="宋体" w:asciiTheme="minorEastAsia" w:hAnsiTheme="minorEastAsia" w:eastAsiaTheme="minorEastAsia"/>
                <w:color w:val="auto"/>
                <w:kern w:val="0"/>
                <w:sz w:val="15"/>
                <w:szCs w:val="15"/>
                <w:highlight w:val="none"/>
              </w:rPr>
              <w:t>不满十周岁的未成年</w:t>
            </w:r>
            <w:r>
              <w:rPr>
                <w:rFonts w:hint="eastAsia" w:cs="宋体" w:asciiTheme="minorEastAsia" w:hAnsiTheme="minorEastAsia" w:eastAsiaTheme="minorEastAsia"/>
                <w:color w:val="auto"/>
                <w:kern w:val="0"/>
                <w:sz w:val="15"/>
                <w:szCs w:val="15"/>
                <w:highlight w:val="none"/>
              </w:rPr>
              <w:t>人进行宣传的；组织利用三名以上（含三名）</w:t>
            </w:r>
            <w:r>
              <w:rPr>
                <w:rFonts w:cs="宋体" w:asciiTheme="minorEastAsia" w:hAnsiTheme="minorEastAsia" w:eastAsiaTheme="minorEastAsia"/>
                <w:color w:val="auto"/>
                <w:kern w:val="0"/>
                <w:sz w:val="15"/>
                <w:szCs w:val="15"/>
                <w:highlight w:val="none"/>
              </w:rPr>
              <w:t>十周岁以上的</w:t>
            </w:r>
            <w:r>
              <w:rPr>
                <w:rFonts w:hint="eastAsia" w:cs="宋体" w:asciiTheme="minorEastAsia" w:hAnsiTheme="minorEastAsia" w:eastAsiaTheme="minorEastAsia"/>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严重危害情节的，可视为情节严重。</w:t>
            </w:r>
          </w:p>
          <w:p w14:paraId="52969B07">
            <w:pPr>
              <w:spacing w:line="232" w:lineRule="exact"/>
              <w:rPr>
                <w:rFonts w:hint="eastAsia" w:cs="宋体" w:asciiTheme="minorEastAsia" w:hAnsiTheme="minorEastAsia" w:eastAsiaTheme="minorEastAsia"/>
                <w:color w:val="auto"/>
                <w:kern w:val="0"/>
                <w:sz w:val="15"/>
                <w:szCs w:val="15"/>
                <w:highlight w:val="none"/>
              </w:rPr>
            </w:pPr>
          </w:p>
        </w:tc>
      </w:tr>
      <w:tr w14:paraId="78147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29B397B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830" w:type="dxa"/>
            <w:gridSpan w:val="3"/>
            <w:shd w:val="clear" w:color="auto" w:fill="auto"/>
            <w:vAlign w:val="center"/>
          </w:tcPr>
          <w:p w14:paraId="74E08324">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未按规划要求设置夜景照明设施</w:t>
            </w:r>
          </w:p>
        </w:tc>
        <w:tc>
          <w:tcPr>
            <w:tcW w:w="2789" w:type="dxa"/>
            <w:gridSpan w:val="2"/>
            <w:shd w:val="clear" w:color="auto" w:fill="auto"/>
            <w:vAlign w:val="center"/>
          </w:tcPr>
          <w:p w14:paraId="6FD3E3E9">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违反条款：第四十三条第一款；</w:t>
            </w:r>
          </w:p>
          <w:p w14:paraId="432FCFF6">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14:paraId="35CCED0F">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BE997F0">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10537AD">
            <w:pPr>
              <w:pStyle w:val="2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0C839471">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p>
        </w:tc>
        <w:tc>
          <w:tcPr>
            <w:tcW w:w="1982" w:type="dxa"/>
            <w:gridSpan w:val="2"/>
            <w:shd w:val="clear" w:color="auto" w:fill="auto"/>
            <w:vAlign w:val="center"/>
          </w:tcPr>
          <w:p w14:paraId="180654D8">
            <w:pPr>
              <w:spacing w:line="25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14:paraId="687AA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6C51DD9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830" w:type="dxa"/>
            <w:gridSpan w:val="3"/>
            <w:shd w:val="clear" w:color="auto" w:fill="auto"/>
            <w:vAlign w:val="center"/>
          </w:tcPr>
          <w:p w14:paraId="5F6941EF">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未经审核实施夜景照明方案</w:t>
            </w:r>
          </w:p>
        </w:tc>
        <w:tc>
          <w:tcPr>
            <w:tcW w:w="2789" w:type="dxa"/>
            <w:gridSpan w:val="2"/>
            <w:shd w:val="clear" w:color="auto" w:fill="auto"/>
            <w:vAlign w:val="center"/>
          </w:tcPr>
          <w:p w14:paraId="6533A67A">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违反条款：第四十三条第二款；</w:t>
            </w:r>
          </w:p>
          <w:p w14:paraId="1F4AC3A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14:paraId="545C3D43">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377EE884">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A845698">
            <w:pPr>
              <w:pStyle w:val="22"/>
              <w:ind w:left="0" w:leftChars="0" w:firstLine="0"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4BF125C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817BDD4">
            <w:pPr>
              <w:spacing w:line="25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14:paraId="5B058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75" w:hRule="atLeast"/>
          <w:jc w:val="center"/>
        </w:trPr>
        <w:tc>
          <w:tcPr>
            <w:tcW w:w="610" w:type="dxa"/>
            <w:shd w:val="clear" w:color="auto" w:fill="auto"/>
            <w:vAlign w:val="center"/>
          </w:tcPr>
          <w:p w14:paraId="602FA5D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830" w:type="dxa"/>
            <w:gridSpan w:val="3"/>
            <w:shd w:val="clear" w:color="auto" w:fill="auto"/>
            <w:vAlign w:val="center"/>
          </w:tcPr>
          <w:p w14:paraId="0621A2C8">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未按照许可要求设置夜景照明设施</w:t>
            </w:r>
          </w:p>
        </w:tc>
        <w:tc>
          <w:tcPr>
            <w:tcW w:w="2789" w:type="dxa"/>
            <w:gridSpan w:val="2"/>
            <w:shd w:val="clear" w:color="auto" w:fill="auto"/>
            <w:vAlign w:val="center"/>
          </w:tcPr>
          <w:p w14:paraId="18F3C7C6">
            <w:pPr>
              <w:spacing w:line="25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违反条款：第四十三条第四款；处罚条款：第四十三条第四款 责令限期改正，逾期不改正的，处500元以上5000元以下罚款。</w:t>
            </w:r>
          </w:p>
        </w:tc>
        <w:tc>
          <w:tcPr>
            <w:tcW w:w="851" w:type="dxa"/>
            <w:shd w:val="clear" w:color="auto" w:fill="auto"/>
            <w:vAlign w:val="center"/>
          </w:tcPr>
          <w:p w14:paraId="6C777C26">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3967F4EA">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5E2A28B">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190B19E0">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CE6886B">
            <w:pPr>
              <w:spacing w:line="25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14:paraId="11C0C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1F3B8FB0">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6388411A">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未按规定管护照明设施</w:t>
            </w:r>
          </w:p>
        </w:tc>
        <w:tc>
          <w:tcPr>
            <w:tcW w:w="2789" w:type="dxa"/>
            <w:gridSpan w:val="2"/>
            <w:shd w:val="clear" w:color="auto" w:fill="auto"/>
            <w:vAlign w:val="center"/>
          </w:tcPr>
          <w:p w14:paraId="4DB9E4F4">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14:paraId="3470AEAE">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2CBF217">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C19A5FA">
            <w:pPr>
              <w:spacing w:line="25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1.存在较大隐患或者造成较大社会影响的，系数1；2.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59AC4820">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FE56C05">
            <w:pPr>
              <w:spacing w:line="25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14:paraId="287A2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7C27E74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830" w:type="dxa"/>
            <w:gridSpan w:val="3"/>
            <w:shd w:val="clear" w:color="auto" w:fill="auto"/>
            <w:vAlign w:val="center"/>
          </w:tcPr>
          <w:p w14:paraId="4918F29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未按规定开闭照明设施</w:t>
            </w:r>
          </w:p>
        </w:tc>
        <w:tc>
          <w:tcPr>
            <w:tcW w:w="2789" w:type="dxa"/>
            <w:gridSpan w:val="2"/>
            <w:shd w:val="clear" w:color="auto" w:fill="auto"/>
            <w:vAlign w:val="center"/>
          </w:tcPr>
          <w:p w14:paraId="119BF31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14:paraId="7906EEA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ACE6B5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32A303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1.存在较大隐患或者造成较大社会影响的，系数1；2.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022C5BD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3461E689">
            <w:pPr>
              <w:spacing w:line="24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逾期不改正的情形，不</w:t>
            </w:r>
            <w:r>
              <w:rPr>
                <w:rFonts w:hint="eastAsia" w:cs="宋体" w:asciiTheme="minorEastAsia" w:hAnsiTheme="minorEastAsia" w:eastAsiaTheme="minorEastAsia"/>
                <w:strike w:val="0"/>
                <w:dstrike w:val="0"/>
                <w:color w:val="auto"/>
                <w:kern w:val="0"/>
                <w:sz w:val="15"/>
                <w:szCs w:val="15"/>
                <w:highlight w:val="none"/>
                <w:lang w:eastAsia="zh-CN"/>
              </w:rPr>
              <w:t>计入</w:t>
            </w:r>
            <w:r>
              <w:rPr>
                <w:rFonts w:hint="eastAsia" w:cs="宋体" w:asciiTheme="minorEastAsia" w:hAnsiTheme="minorEastAsia" w:eastAsiaTheme="minorEastAsia"/>
                <w:strike w:val="0"/>
                <w:dstrike w:val="0"/>
                <w:color w:val="auto"/>
                <w:kern w:val="0"/>
                <w:sz w:val="15"/>
                <w:szCs w:val="15"/>
                <w:highlight w:val="none"/>
              </w:rPr>
              <w:t>本案由</w:t>
            </w:r>
            <w:r>
              <w:rPr>
                <w:rFonts w:hint="eastAsia" w:cs="宋体" w:asciiTheme="minorEastAsia" w:hAnsiTheme="minorEastAsia" w:eastAsiaTheme="minorEastAsia"/>
                <w:strike w:val="0"/>
                <w:dstrike w:val="0"/>
                <w:color w:val="auto"/>
                <w:kern w:val="0"/>
                <w:sz w:val="15"/>
                <w:szCs w:val="15"/>
                <w:highlight w:val="none"/>
                <w:lang w:eastAsia="zh-CN"/>
              </w:rPr>
              <w:t>情节系数</w:t>
            </w:r>
            <w:r>
              <w:rPr>
                <w:rFonts w:hint="eastAsia" w:cs="宋体" w:asciiTheme="minorEastAsia" w:hAnsiTheme="minorEastAsia" w:eastAsiaTheme="minorEastAsia"/>
                <w:strike w:val="0"/>
                <w:dstrike w:val="0"/>
                <w:color w:val="auto"/>
                <w:kern w:val="0"/>
                <w:sz w:val="15"/>
                <w:szCs w:val="15"/>
                <w:highlight w:val="none"/>
              </w:rPr>
              <w:t>。</w:t>
            </w:r>
          </w:p>
        </w:tc>
      </w:tr>
      <w:tr w14:paraId="1831B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54" w:hRule="atLeast"/>
          <w:jc w:val="center"/>
        </w:trPr>
        <w:tc>
          <w:tcPr>
            <w:tcW w:w="610" w:type="dxa"/>
            <w:shd w:val="clear" w:color="auto" w:fill="auto"/>
            <w:vAlign w:val="center"/>
          </w:tcPr>
          <w:p w14:paraId="7496D55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830" w:type="dxa"/>
            <w:gridSpan w:val="3"/>
            <w:shd w:val="clear" w:color="auto" w:fill="auto"/>
            <w:vAlign w:val="center"/>
          </w:tcPr>
          <w:p w14:paraId="66BE1D8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未按规定清扫保洁</w:t>
            </w:r>
          </w:p>
        </w:tc>
        <w:tc>
          <w:tcPr>
            <w:tcW w:w="2789" w:type="dxa"/>
            <w:gridSpan w:val="2"/>
            <w:shd w:val="clear" w:color="auto" w:fill="auto"/>
            <w:vAlign w:val="center"/>
          </w:tcPr>
          <w:p w14:paraId="0357CB1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违反、处罚条款：第四十五条 责令改正，并可处100元以上1000元以下罚款。</w:t>
            </w:r>
          </w:p>
        </w:tc>
        <w:tc>
          <w:tcPr>
            <w:tcW w:w="851" w:type="dxa"/>
            <w:shd w:val="clear" w:color="auto" w:fill="auto"/>
            <w:vAlign w:val="center"/>
          </w:tcPr>
          <w:p w14:paraId="4349357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3C85F62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224DD9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22E9C0D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48E22DA">
            <w:pPr>
              <w:spacing w:line="240" w:lineRule="exact"/>
              <w:rPr>
                <w:rFonts w:cs="宋体" w:asciiTheme="minorEastAsia" w:hAnsiTheme="minorEastAsia" w:eastAsiaTheme="minorEastAsia"/>
                <w:color w:val="auto"/>
                <w:kern w:val="0"/>
                <w:sz w:val="15"/>
                <w:szCs w:val="15"/>
                <w:highlight w:val="none"/>
              </w:rPr>
            </w:pPr>
          </w:p>
        </w:tc>
      </w:tr>
      <w:tr w14:paraId="410AE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1" w:hRule="atLeast"/>
          <w:jc w:val="center"/>
        </w:trPr>
        <w:tc>
          <w:tcPr>
            <w:tcW w:w="610" w:type="dxa"/>
            <w:shd w:val="clear" w:color="auto" w:fill="auto"/>
            <w:vAlign w:val="center"/>
          </w:tcPr>
          <w:p w14:paraId="3E6790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830" w:type="dxa"/>
            <w:gridSpan w:val="3"/>
            <w:tcBorders>
              <w:bottom w:val="single" w:color="auto" w:sz="4" w:space="0"/>
            </w:tcBorders>
            <w:shd w:val="clear" w:color="auto" w:fill="auto"/>
            <w:vAlign w:val="center"/>
          </w:tcPr>
          <w:p w14:paraId="2817FDE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建设工程未按规定设置围挡、临时厕所和垃圾收集设施</w:t>
            </w:r>
          </w:p>
        </w:tc>
        <w:tc>
          <w:tcPr>
            <w:tcW w:w="2789" w:type="dxa"/>
            <w:gridSpan w:val="2"/>
            <w:shd w:val="clear" w:color="auto" w:fill="auto"/>
            <w:vAlign w:val="center"/>
          </w:tcPr>
          <w:p w14:paraId="322DD46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14:paraId="07CD4D6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0011548F">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DF25B80">
            <w:pPr>
              <w:pStyle w:val="22"/>
              <w:ind w:left="0" w:leftChars="0" w:firstLine="0" w:firstLineChars="0"/>
              <w:rPr>
                <w:color w:val="auto"/>
                <w:highlight w:val="none"/>
              </w:rPr>
            </w:pPr>
            <w:r>
              <w:rPr>
                <w:rFonts w:hint="eastAsia" w:asciiTheme="minorEastAsia" w:hAnsiTheme="minorEastAsia" w:eastAsiaTheme="minorEastAsia"/>
                <w:color w:val="auto"/>
                <w:sz w:val="15"/>
                <w:szCs w:val="15"/>
                <w:highlight w:val="none"/>
              </w:rPr>
              <w:t>1.未按规定</w:t>
            </w:r>
            <w:r>
              <w:rPr>
                <w:rFonts w:hint="eastAsia" w:asciiTheme="minorEastAsia" w:hAnsiTheme="minorEastAsia" w:eastAsiaTheme="minorEastAsia"/>
                <w:color w:val="auto"/>
                <w:sz w:val="15"/>
                <w:szCs w:val="15"/>
                <w:highlight w:val="none"/>
                <w:lang w:eastAsia="zh-CN"/>
              </w:rPr>
              <w:t>设置</w:t>
            </w:r>
            <w:r>
              <w:rPr>
                <w:rFonts w:hint="eastAsia" w:asciiTheme="minorEastAsia" w:hAnsiTheme="minorEastAsia" w:eastAsiaTheme="minorEastAsia"/>
                <w:color w:val="auto"/>
                <w:sz w:val="15"/>
                <w:szCs w:val="15"/>
                <w:highlight w:val="none"/>
              </w:rPr>
              <w:t>围挡长度16-30米的，系数1；31-45米的，系数2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118FCFE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7F04404">
            <w:pPr>
              <w:spacing w:line="240" w:lineRule="exact"/>
              <w:rPr>
                <w:rFonts w:cs="宋体" w:asciiTheme="minorEastAsia" w:hAnsiTheme="minorEastAsia" w:eastAsiaTheme="minorEastAsia"/>
                <w:color w:val="auto"/>
                <w:kern w:val="0"/>
                <w:sz w:val="15"/>
                <w:szCs w:val="15"/>
                <w:highlight w:val="none"/>
              </w:rPr>
            </w:pPr>
          </w:p>
        </w:tc>
      </w:tr>
      <w:tr w14:paraId="765F6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65" w:hRule="atLeast"/>
          <w:jc w:val="center"/>
        </w:trPr>
        <w:tc>
          <w:tcPr>
            <w:tcW w:w="610" w:type="dxa"/>
            <w:shd w:val="clear" w:color="auto" w:fill="auto"/>
            <w:vAlign w:val="center"/>
          </w:tcPr>
          <w:p w14:paraId="4641001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830" w:type="dxa"/>
            <w:gridSpan w:val="3"/>
            <w:shd w:val="clear" w:color="auto" w:fill="auto"/>
            <w:vAlign w:val="center"/>
          </w:tcPr>
          <w:p w14:paraId="59BA827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建设工程未按规定采取防尘措施</w:t>
            </w:r>
          </w:p>
        </w:tc>
        <w:tc>
          <w:tcPr>
            <w:tcW w:w="2789" w:type="dxa"/>
            <w:gridSpan w:val="2"/>
            <w:shd w:val="clear" w:color="auto" w:fill="auto"/>
            <w:vAlign w:val="center"/>
          </w:tcPr>
          <w:p w14:paraId="3598879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14:paraId="153196E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24ABAE66">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BCDA1AF">
            <w:pPr>
              <w:spacing w:line="24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41-55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lang w:val="en-US" w:eastAsia="zh-CN"/>
              </w:rPr>
              <w:t>3</w:t>
            </w:r>
            <w:r>
              <w:rPr>
                <w:rFonts w:hint="eastAsia" w:cs="Batang" w:asciiTheme="minorEastAsia" w:hAnsiTheme="minorEastAsia" w:eastAsiaTheme="minorEastAsia"/>
                <w:color w:val="auto"/>
                <w:sz w:val="15"/>
                <w:szCs w:val="15"/>
                <w:highlight w:val="none"/>
                <w:lang w:eastAsia="zh-CN"/>
              </w:rPr>
              <w:t>；</w:t>
            </w:r>
            <w:r>
              <w:rPr>
                <w:rFonts w:hint="eastAsia" w:cs="Batang" w:asciiTheme="minorEastAsia" w:hAnsiTheme="minorEastAsia" w:eastAsiaTheme="minorEastAsia"/>
                <w:color w:val="auto"/>
                <w:sz w:val="15"/>
                <w:szCs w:val="15"/>
                <w:highlight w:val="none"/>
                <w:lang w:val="en-US" w:eastAsia="zh-CN"/>
              </w:rPr>
              <w:t>56-70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lang w:val="en-US" w:eastAsia="zh-CN"/>
              </w:rPr>
              <w:t>4；71-85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76F793C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F36258F">
            <w:pPr>
              <w:spacing w:line="240" w:lineRule="exact"/>
              <w:rPr>
                <w:rFonts w:cs="宋体" w:asciiTheme="minorEastAsia" w:hAnsiTheme="minorEastAsia" w:eastAsiaTheme="minorEastAsia"/>
                <w:color w:val="auto"/>
                <w:kern w:val="0"/>
                <w:sz w:val="15"/>
                <w:szCs w:val="15"/>
                <w:highlight w:val="none"/>
              </w:rPr>
            </w:pPr>
          </w:p>
        </w:tc>
      </w:tr>
      <w:tr w14:paraId="4521C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24" w:hRule="atLeast"/>
          <w:jc w:val="center"/>
        </w:trPr>
        <w:tc>
          <w:tcPr>
            <w:tcW w:w="610" w:type="dxa"/>
            <w:shd w:val="clear" w:color="auto" w:fill="auto"/>
            <w:vAlign w:val="center"/>
          </w:tcPr>
          <w:p w14:paraId="5266D83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830" w:type="dxa"/>
            <w:gridSpan w:val="3"/>
            <w:tcBorders>
              <w:bottom w:val="single" w:color="auto" w:sz="4" w:space="0"/>
            </w:tcBorders>
            <w:shd w:val="clear" w:color="auto" w:fill="auto"/>
            <w:vAlign w:val="center"/>
          </w:tcPr>
          <w:p w14:paraId="25FBEC8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建设工程现场污水流溢</w:t>
            </w:r>
          </w:p>
        </w:tc>
        <w:tc>
          <w:tcPr>
            <w:tcW w:w="2789" w:type="dxa"/>
            <w:gridSpan w:val="2"/>
            <w:shd w:val="clear" w:color="auto" w:fill="auto"/>
            <w:vAlign w:val="center"/>
          </w:tcPr>
          <w:p w14:paraId="12972AB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14:paraId="17D518C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681A6F8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C2A183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31-35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2.严重污染环境的，</w:t>
            </w:r>
            <w:r>
              <w:rPr>
                <w:rFonts w:hint="eastAsia" w:asciiTheme="minorEastAsia" w:hAnsiTheme="minorEastAsia" w:eastAsiaTheme="minorEastAsia"/>
                <w:color w:val="auto"/>
                <w:sz w:val="15"/>
                <w:szCs w:val="15"/>
                <w:highlight w:val="none"/>
                <w:lang w:eastAsia="zh-CN"/>
              </w:rPr>
              <w:t>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5DB961B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BACFE23">
            <w:pPr>
              <w:spacing w:line="232" w:lineRule="exact"/>
              <w:rPr>
                <w:rFonts w:cs="宋体" w:asciiTheme="minorEastAsia" w:hAnsiTheme="minorEastAsia" w:eastAsiaTheme="minorEastAsia"/>
                <w:color w:val="auto"/>
                <w:kern w:val="0"/>
                <w:sz w:val="15"/>
                <w:szCs w:val="15"/>
                <w:highlight w:val="none"/>
              </w:rPr>
            </w:pPr>
          </w:p>
        </w:tc>
      </w:tr>
      <w:tr w14:paraId="3180B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67" w:hRule="atLeast"/>
          <w:jc w:val="center"/>
        </w:trPr>
        <w:tc>
          <w:tcPr>
            <w:tcW w:w="610" w:type="dxa"/>
            <w:shd w:val="clear" w:color="auto" w:fill="auto"/>
            <w:vAlign w:val="center"/>
          </w:tcPr>
          <w:p w14:paraId="719CD9E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830" w:type="dxa"/>
            <w:gridSpan w:val="3"/>
            <w:shd w:val="clear" w:color="auto" w:fill="auto"/>
            <w:vAlign w:val="center"/>
          </w:tcPr>
          <w:p w14:paraId="379513F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建筑垃圾未日产日清</w:t>
            </w:r>
          </w:p>
        </w:tc>
        <w:tc>
          <w:tcPr>
            <w:tcW w:w="2789" w:type="dxa"/>
            <w:gridSpan w:val="2"/>
            <w:shd w:val="clear" w:color="auto" w:fill="auto"/>
            <w:vAlign w:val="center"/>
          </w:tcPr>
          <w:p w14:paraId="6823BC1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14:paraId="080D992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763532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D4FFBF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31-35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2.逾期不清的，逾期</w:t>
            </w:r>
            <w:r>
              <w:rPr>
                <w:rFonts w:hint="eastAsia" w:cs="宋体" w:asciiTheme="minorEastAsia" w:hAnsiTheme="minorEastAsia" w:eastAsiaTheme="minorEastAsia"/>
                <w:strike w:val="0"/>
                <w:dstrike w:val="0"/>
                <w:color w:val="auto"/>
                <w:kern w:val="0"/>
                <w:sz w:val="15"/>
                <w:szCs w:val="15"/>
                <w:highlight w:val="none"/>
                <w:lang w:eastAsia="zh-CN"/>
              </w:rPr>
              <w:t>达</w:t>
            </w:r>
            <w:r>
              <w:rPr>
                <w:rFonts w:hint="eastAsia" w:cs="宋体" w:asciiTheme="minorEastAsia" w:hAnsiTheme="minorEastAsia" w:eastAsiaTheme="minorEastAsia"/>
                <w:strike w:val="0"/>
                <w:dstrike w:val="0"/>
                <w:color w:val="auto"/>
                <w:kern w:val="0"/>
                <w:sz w:val="15"/>
                <w:szCs w:val="15"/>
                <w:highlight w:val="none"/>
              </w:rPr>
              <w:t>2天</w:t>
            </w:r>
            <w:r>
              <w:rPr>
                <w:rFonts w:hint="eastAsia" w:cs="宋体" w:asciiTheme="minorEastAsia" w:hAnsiTheme="minorEastAsia" w:eastAsiaTheme="minorEastAsia"/>
                <w:strike w:val="0"/>
                <w:dstrike w:val="0"/>
                <w:color w:val="auto"/>
                <w:kern w:val="0"/>
                <w:sz w:val="15"/>
                <w:szCs w:val="15"/>
                <w:highlight w:val="none"/>
                <w:lang w:eastAsia="zh-CN"/>
              </w:rPr>
              <w:t>的，</w:t>
            </w:r>
            <w:r>
              <w:rPr>
                <w:rFonts w:hint="eastAsia" w:cs="宋体" w:asciiTheme="minorEastAsia" w:hAnsiTheme="minorEastAsia" w:eastAsiaTheme="minorEastAsia"/>
                <w:strike w:val="0"/>
                <w:dstrike w:val="0"/>
                <w:color w:val="auto"/>
                <w:kern w:val="0"/>
                <w:sz w:val="15"/>
                <w:szCs w:val="15"/>
                <w:highlight w:val="none"/>
              </w:rPr>
              <w:t>系数１</w:t>
            </w:r>
            <w:r>
              <w:rPr>
                <w:rFonts w:hint="eastAsia" w:cs="宋体" w:asciiTheme="minorEastAsia" w:hAnsiTheme="minorEastAsia" w:eastAsiaTheme="minorEastAsia"/>
                <w:strike w:val="0"/>
                <w:dstrike w:val="0"/>
                <w:color w:val="auto"/>
                <w:kern w:val="0"/>
                <w:sz w:val="15"/>
                <w:szCs w:val="15"/>
                <w:highlight w:val="none"/>
                <w:lang w:eastAsia="zh-CN"/>
              </w:rPr>
              <w:t>；逾期达</w:t>
            </w:r>
            <w:r>
              <w:rPr>
                <w:rFonts w:hint="eastAsia" w:cs="宋体" w:asciiTheme="minorEastAsia" w:hAnsiTheme="minorEastAsia" w:eastAsiaTheme="minorEastAsia"/>
                <w:strike w:val="0"/>
                <w:dstrike w:val="0"/>
                <w:color w:val="auto"/>
                <w:kern w:val="0"/>
                <w:sz w:val="15"/>
                <w:szCs w:val="15"/>
                <w:highlight w:val="none"/>
                <w:lang w:val="en-US" w:eastAsia="zh-CN"/>
              </w:rPr>
              <w:t>4天的，系数2；逾期达6天的，系数3；逾期达8天的，系数4；逾期达10天的，系数5；以此类推</w:t>
            </w:r>
            <w:r>
              <w:rPr>
                <w:rFonts w:hint="eastAsia" w:cs="宋体" w:asciiTheme="minorEastAsia" w:hAnsiTheme="minorEastAsia" w:eastAsiaTheme="minorEastAsia"/>
                <w:strike w:val="0"/>
                <w:dstrike w:val="0"/>
                <w:color w:val="auto"/>
                <w:kern w:val="0"/>
                <w:sz w:val="15"/>
                <w:szCs w:val="15"/>
                <w:highlight w:val="none"/>
                <w:lang w:eastAsia="zh-CN"/>
              </w:rPr>
              <w:t>，逾期达</w:t>
            </w:r>
            <w:r>
              <w:rPr>
                <w:rFonts w:hint="eastAsia" w:cs="宋体" w:asciiTheme="minorEastAsia" w:hAnsiTheme="minorEastAsia" w:eastAsiaTheme="minorEastAsia"/>
                <w:strike w:val="0"/>
                <w:dstrike w:val="0"/>
                <w:color w:val="auto"/>
                <w:kern w:val="0"/>
                <w:sz w:val="15"/>
                <w:szCs w:val="15"/>
                <w:highlight w:val="none"/>
                <w:lang w:val="en-US" w:eastAsia="zh-CN"/>
              </w:rPr>
              <w:t>18天及以上的，</w:t>
            </w:r>
            <w:r>
              <w:rPr>
                <w:rFonts w:hint="eastAsia" w:cs="Batang" w:asciiTheme="minorEastAsia" w:hAnsiTheme="minorEastAsia" w:eastAsiaTheme="minorEastAsia"/>
                <w:strike w:val="0"/>
                <w:dstrike w:val="0"/>
                <w:color w:val="auto"/>
                <w:sz w:val="15"/>
                <w:szCs w:val="15"/>
                <w:highlight w:val="none"/>
                <w:lang w:eastAsia="zh-CN"/>
              </w:rPr>
              <w:t>系数</w:t>
            </w:r>
            <w:r>
              <w:rPr>
                <w:rFonts w:hint="eastAsia" w:cs="Batang" w:asciiTheme="minorEastAsia" w:hAnsiTheme="minorEastAsia" w:eastAsiaTheme="minorEastAsia"/>
                <w:strike w:val="0"/>
                <w:dstrike w:val="0"/>
                <w:color w:val="auto"/>
                <w:sz w:val="15"/>
                <w:szCs w:val="15"/>
                <w:highlight w:val="none"/>
                <w:lang w:val="en-US" w:eastAsia="zh-CN"/>
              </w:rPr>
              <w:t>9</w:t>
            </w:r>
            <w:r>
              <w:rPr>
                <w:rFonts w:hint="eastAsia" w:cs="宋体" w:asciiTheme="minorEastAsia" w:hAnsiTheme="minorEastAsia" w:eastAsiaTheme="minorEastAsia"/>
                <w:strike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造成尘土飞扬，严重污染环境的，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1B55536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F4B604A">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不适用基准</w:t>
            </w:r>
            <w:r>
              <w:rPr>
                <w:rFonts w:hint="eastAsia" w:cs="宋体" w:asciiTheme="minorEastAsia" w:hAnsiTheme="minorEastAsia" w:eastAsiaTheme="minorEastAsia"/>
                <w:color w:val="auto"/>
                <w:kern w:val="0"/>
                <w:sz w:val="15"/>
                <w:szCs w:val="15"/>
                <w:highlight w:val="none"/>
                <w:lang w:val="en-US" w:eastAsia="zh-CN"/>
              </w:rPr>
              <w:t>2.1.3.1规定的“拒不改正”的情形。</w:t>
            </w:r>
          </w:p>
        </w:tc>
      </w:tr>
      <w:tr w14:paraId="04F5F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31" w:hRule="atLeast"/>
          <w:jc w:val="center"/>
        </w:trPr>
        <w:tc>
          <w:tcPr>
            <w:tcW w:w="610" w:type="dxa"/>
            <w:shd w:val="clear" w:color="auto" w:fill="auto"/>
            <w:vAlign w:val="center"/>
          </w:tcPr>
          <w:p w14:paraId="56325A5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830" w:type="dxa"/>
            <w:gridSpan w:val="3"/>
            <w:shd w:val="clear" w:color="auto" w:fill="auto"/>
            <w:vAlign w:val="center"/>
          </w:tcPr>
          <w:p w14:paraId="2430519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未及时清除施工弃物弃料或者临时设施</w:t>
            </w:r>
          </w:p>
        </w:tc>
        <w:tc>
          <w:tcPr>
            <w:tcW w:w="2789" w:type="dxa"/>
            <w:gridSpan w:val="2"/>
            <w:shd w:val="clear" w:color="auto" w:fill="auto"/>
            <w:vAlign w:val="center"/>
          </w:tcPr>
          <w:p w14:paraId="068CC98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14:paraId="3CD8344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411950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7ED9489">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1.废料占地面积10㎡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31-35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strike w:val="0"/>
                <w:dstrike w:val="0"/>
                <w:color w:val="auto"/>
                <w:kern w:val="0"/>
                <w:sz w:val="15"/>
                <w:szCs w:val="15"/>
                <w:highlight w:val="none"/>
                <w:lang w:eastAsia="zh-CN"/>
              </w:rPr>
              <w:t>经责令改正</w:t>
            </w:r>
            <w:r>
              <w:rPr>
                <w:rFonts w:hint="eastAsia" w:cs="宋体" w:asciiTheme="minorEastAsia" w:hAnsiTheme="minorEastAsia" w:eastAsiaTheme="minorEastAsia"/>
                <w:strike w:val="0"/>
                <w:dstrike w:val="0"/>
                <w:color w:val="auto"/>
                <w:kern w:val="0"/>
                <w:sz w:val="15"/>
                <w:szCs w:val="15"/>
                <w:highlight w:val="none"/>
              </w:rPr>
              <w:t>逾期不清除临时设施的，逾期</w:t>
            </w:r>
            <w:r>
              <w:rPr>
                <w:rFonts w:hint="eastAsia" w:cs="宋体" w:asciiTheme="minorEastAsia" w:hAnsiTheme="minorEastAsia" w:eastAsiaTheme="minorEastAsia"/>
                <w:strike w:val="0"/>
                <w:dstrike w:val="0"/>
                <w:color w:val="auto"/>
                <w:kern w:val="0"/>
                <w:sz w:val="15"/>
                <w:szCs w:val="15"/>
                <w:highlight w:val="none"/>
                <w:lang w:eastAsia="zh-CN"/>
              </w:rPr>
              <w:t>达</w:t>
            </w:r>
            <w:r>
              <w:rPr>
                <w:rFonts w:hint="eastAsia" w:cs="宋体" w:asciiTheme="minorEastAsia" w:hAnsiTheme="minorEastAsia" w:eastAsiaTheme="minorEastAsia"/>
                <w:strike w:val="0"/>
                <w:dstrike w:val="0"/>
                <w:color w:val="auto"/>
                <w:kern w:val="0"/>
                <w:sz w:val="15"/>
                <w:szCs w:val="15"/>
                <w:highlight w:val="none"/>
              </w:rPr>
              <w:t>2天</w:t>
            </w:r>
            <w:r>
              <w:rPr>
                <w:rFonts w:hint="eastAsia" w:cs="宋体" w:asciiTheme="minorEastAsia" w:hAnsiTheme="minorEastAsia" w:eastAsiaTheme="minorEastAsia"/>
                <w:strike w:val="0"/>
                <w:dstrike w:val="0"/>
                <w:color w:val="auto"/>
                <w:kern w:val="0"/>
                <w:sz w:val="15"/>
                <w:szCs w:val="15"/>
                <w:highlight w:val="none"/>
                <w:lang w:eastAsia="zh-CN"/>
              </w:rPr>
              <w:t>的，</w:t>
            </w:r>
            <w:r>
              <w:rPr>
                <w:rFonts w:hint="eastAsia" w:cs="宋体" w:asciiTheme="minorEastAsia" w:hAnsiTheme="minorEastAsia" w:eastAsiaTheme="minorEastAsia"/>
                <w:strike w:val="0"/>
                <w:dstrike w:val="0"/>
                <w:color w:val="auto"/>
                <w:kern w:val="0"/>
                <w:sz w:val="15"/>
                <w:szCs w:val="15"/>
                <w:highlight w:val="none"/>
              </w:rPr>
              <w:t>系数１</w:t>
            </w:r>
            <w:r>
              <w:rPr>
                <w:rFonts w:hint="eastAsia" w:cs="宋体" w:asciiTheme="minorEastAsia" w:hAnsiTheme="minorEastAsia" w:eastAsiaTheme="minorEastAsia"/>
                <w:strike w:val="0"/>
                <w:dstrike w:val="0"/>
                <w:color w:val="auto"/>
                <w:kern w:val="0"/>
                <w:sz w:val="15"/>
                <w:szCs w:val="15"/>
                <w:highlight w:val="none"/>
                <w:lang w:eastAsia="zh-CN"/>
              </w:rPr>
              <w:t>；逾期达</w:t>
            </w:r>
            <w:r>
              <w:rPr>
                <w:rFonts w:hint="eastAsia" w:cs="宋体" w:asciiTheme="minorEastAsia" w:hAnsiTheme="minorEastAsia" w:eastAsiaTheme="minorEastAsia"/>
                <w:strike w:val="0"/>
                <w:dstrike w:val="0"/>
                <w:color w:val="auto"/>
                <w:kern w:val="0"/>
                <w:sz w:val="15"/>
                <w:szCs w:val="15"/>
                <w:highlight w:val="none"/>
                <w:lang w:val="en-US" w:eastAsia="zh-CN"/>
              </w:rPr>
              <w:t>4天的，系数2；逾期达6天的，系数3；逾期达8天的，系数4；逾期达10天的，系数5；以此类推</w:t>
            </w:r>
            <w:r>
              <w:rPr>
                <w:rFonts w:hint="eastAsia" w:cs="宋体" w:asciiTheme="minorEastAsia" w:hAnsiTheme="minorEastAsia" w:eastAsiaTheme="minorEastAsia"/>
                <w:strike w:val="0"/>
                <w:dstrike w:val="0"/>
                <w:color w:val="auto"/>
                <w:kern w:val="0"/>
                <w:sz w:val="15"/>
                <w:szCs w:val="15"/>
                <w:highlight w:val="none"/>
                <w:lang w:eastAsia="zh-CN"/>
              </w:rPr>
              <w:t>，逾期达</w:t>
            </w:r>
            <w:r>
              <w:rPr>
                <w:rFonts w:hint="eastAsia" w:cs="宋体" w:asciiTheme="minorEastAsia" w:hAnsiTheme="minorEastAsia" w:eastAsiaTheme="minorEastAsia"/>
                <w:strike w:val="0"/>
                <w:dstrike w:val="0"/>
                <w:color w:val="auto"/>
                <w:kern w:val="0"/>
                <w:sz w:val="15"/>
                <w:szCs w:val="15"/>
                <w:highlight w:val="none"/>
                <w:lang w:val="en-US" w:eastAsia="zh-CN"/>
              </w:rPr>
              <w:t>18天及以上的，</w:t>
            </w:r>
            <w:r>
              <w:rPr>
                <w:rFonts w:hint="eastAsia" w:cs="Batang" w:asciiTheme="minorEastAsia" w:hAnsiTheme="minorEastAsia" w:eastAsiaTheme="minorEastAsia"/>
                <w:strike w:val="0"/>
                <w:dstrike w:val="0"/>
                <w:color w:val="auto"/>
                <w:sz w:val="15"/>
                <w:szCs w:val="15"/>
                <w:highlight w:val="none"/>
                <w:lang w:eastAsia="zh-CN"/>
              </w:rPr>
              <w:t>系数</w:t>
            </w:r>
            <w:r>
              <w:rPr>
                <w:rFonts w:hint="eastAsia" w:cs="Batang" w:asciiTheme="minorEastAsia" w:hAnsiTheme="minorEastAsia" w:eastAsiaTheme="minorEastAsia"/>
                <w:strike w:val="0"/>
                <w:dstrike w:val="0"/>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严重污染环境的，</w:t>
            </w:r>
            <w:r>
              <w:rPr>
                <w:rFonts w:hint="eastAsia" w:asciiTheme="minorEastAsia" w:hAnsiTheme="minorEastAsia" w:eastAsiaTheme="minorEastAsia"/>
                <w:color w:val="auto"/>
                <w:sz w:val="15"/>
                <w:szCs w:val="15"/>
                <w:highlight w:val="none"/>
                <w:lang w:eastAsia="zh-CN"/>
              </w:rPr>
              <w:t>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16F9DDD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B55E32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不适用基准</w:t>
            </w:r>
            <w:r>
              <w:rPr>
                <w:rFonts w:hint="eastAsia" w:cs="宋体" w:asciiTheme="minorEastAsia" w:hAnsiTheme="minorEastAsia" w:eastAsiaTheme="minorEastAsia"/>
                <w:color w:val="auto"/>
                <w:kern w:val="0"/>
                <w:sz w:val="15"/>
                <w:szCs w:val="15"/>
                <w:highlight w:val="none"/>
                <w:lang w:val="en-US" w:eastAsia="zh-CN"/>
              </w:rPr>
              <w:t>2.1.3.1规定的“拒不改正”的情形。</w:t>
            </w:r>
          </w:p>
        </w:tc>
      </w:tr>
      <w:tr w14:paraId="258BD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11" w:hRule="atLeast"/>
          <w:jc w:val="center"/>
        </w:trPr>
        <w:tc>
          <w:tcPr>
            <w:tcW w:w="610" w:type="dxa"/>
            <w:shd w:val="clear" w:color="auto" w:fill="auto"/>
            <w:vAlign w:val="center"/>
          </w:tcPr>
          <w:p w14:paraId="6E067F50">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33</w:t>
            </w:r>
          </w:p>
        </w:tc>
        <w:tc>
          <w:tcPr>
            <w:tcW w:w="1830" w:type="dxa"/>
            <w:gridSpan w:val="3"/>
            <w:shd w:val="clear" w:color="auto" w:fill="auto"/>
            <w:vAlign w:val="center"/>
          </w:tcPr>
          <w:p w14:paraId="338E0B1F">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公共设施管护作业未按规定清除废弃物</w:t>
            </w:r>
            <w:r>
              <w:rPr>
                <w:rFonts w:hint="eastAsia" w:asciiTheme="minorEastAsia" w:hAnsiTheme="minorEastAsia" w:eastAsiaTheme="minorEastAsia"/>
                <w:b w:val="0"/>
                <w:bCs w:val="0"/>
                <w:color w:val="auto"/>
                <w:sz w:val="15"/>
                <w:szCs w:val="15"/>
                <w:highlight w:val="none"/>
              </w:rPr>
              <w:t xml:space="preserve"> </w:t>
            </w:r>
          </w:p>
        </w:tc>
        <w:tc>
          <w:tcPr>
            <w:tcW w:w="2789" w:type="dxa"/>
            <w:gridSpan w:val="2"/>
            <w:shd w:val="clear" w:color="auto" w:fill="auto"/>
            <w:vAlign w:val="center"/>
          </w:tcPr>
          <w:p w14:paraId="2A2E6CE7">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违反、处罚条款：第四十七条 责令限期清理，并可处500元以上5000元以下罚款。</w:t>
            </w:r>
          </w:p>
        </w:tc>
        <w:tc>
          <w:tcPr>
            <w:tcW w:w="851" w:type="dxa"/>
            <w:shd w:val="clear" w:color="auto" w:fill="auto"/>
            <w:vAlign w:val="center"/>
          </w:tcPr>
          <w:p w14:paraId="28846466">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0820B4D">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2E4241D">
            <w:pPr>
              <w:pStyle w:val="2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1.严重影响市容环境卫生或者造成较大社会影响的，系数5-9；</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71867BEA">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1257FB84">
            <w:pPr>
              <w:spacing w:line="232" w:lineRule="exact"/>
              <w:rPr>
                <w:rFonts w:cs="宋体" w:asciiTheme="minorEastAsia" w:hAnsiTheme="minorEastAsia" w:eastAsiaTheme="minorEastAsia"/>
                <w:color w:val="auto"/>
                <w:kern w:val="0"/>
                <w:sz w:val="15"/>
                <w:szCs w:val="15"/>
                <w:highlight w:val="none"/>
              </w:rPr>
            </w:pPr>
          </w:p>
        </w:tc>
      </w:tr>
      <w:tr w14:paraId="7767A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4B85ABC0">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34</w:t>
            </w:r>
          </w:p>
        </w:tc>
        <w:tc>
          <w:tcPr>
            <w:tcW w:w="1830" w:type="dxa"/>
            <w:gridSpan w:val="3"/>
            <w:shd w:val="clear" w:color="auto" w:fill="auto"/>
            <w:vAlign w:val="center"/>
          </w:tcPr>
          <w:p w14:paraId="02534B77">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城市绿地管理养护单位未保持绿地整洁</w:t>
            </w:r>
          </w:p>
        </w:tc>
        <w:tc>
          <w:tcPr>
            <w:tcW w:w="2789" w:type="dxa"/>
            <w:gridSpan w:val="2"/>
            <w:shd w:val="clear" w:color="auto" w:fill="auto"/>
            <w:vAlign w:val="center"/>
          </w:tcPr>
          <w:p w14:paraId="7C4951F5">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14:paraId="0F565511">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F26B44D">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C7373A9">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1.严重影响市容环境卫生或者造成较大社会影响的，系数5-9；</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1632F9FE">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F0AE89E">
            <w:pPr>
              <w:spacing w:line="232" w:lineRule="exact"/>
              <w:rPr>
                <w:rFonts w:cs="宋体" w:asciiTheme="minorEastAsia" w:hAnsiTheme="minorEastAsia" w:eastAsiaTheme="minorEastAsia"/>
                <w:color w:val="auto"/>
                <w:kern w:val="0"/>
                <w:sz w:val="15"/>
                <w:szCs w:val="15"/>
                <w:highlight w:val="none"/>
              </w:rPr>
            </w:pPr>
          </w:p>
        </w:tc>
      </w:tr>
      <w:tr w14:paraId="4AC18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89" w:hRule="atLeast"/>
          <w:jc w:val="center"/>
        </w:trPr>
        <w:tc>
          <w:tcPr>
            <w:tcW w:w="610" w:type="dxa"/>
            <w:shd w:val="clear" w:color="auto" w:fill="auto"/>
            <w:vAlign w:val="center"/>
          </w:tcPr>
          <w:p w14:paraId="63E8E7F4">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4CDAD99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绿化作业未按规定清除废弃物</w:t>
            </w:r>
          </w:p>
        </w:tc>
        <w:tc>
          <w:tcPr>
            <w:tcW w:w="2789" w:type="dxa"/>
            <w:gridSpan w:val="2"/>
            <w:shd w:val="clear" w:color="auto" w:fill="auto"/>
            <w:vAlign w:val="center"/>
          </w:tcPr>
          <w:p w14:paraId="262554C3">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14:paraId="2D52FBD1">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53D6D2A">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3C8D25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1.严重影响市容环境卫生或者造成较大社会影响的，系数5-9；</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1883A5D1">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6BB5854">
            <w:pPr>
              <w:spacing w:line="232" w:lineRule="exact"/>
              <w:rPr>
                <w:rFonts w:cs="宋体" w:asciiTheme="minorEastAsia" w:hAnsiTheme="minorEastAsia" w:eastAsiaTheme="minorEastAsia"/>
                <w:color w:val="auto"/>
                <w:kern w:val="0"/>
                <w:sz w:val="15"/>
                <w:szCs w:val="15"/>
                <w:highlight w:val="none"/>
              </w:rPr>
            </w:pPr>
          </w:p>
        </w:tc>
      </w:tr>
      <w:tr w14:paraId="0C2C6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46" w:hRule="atLeast"/>
          <w:jc w:val="center"/>
        </w:trPr>
        <w:tc>
          <w:tcPr>
            <w:tcW w:w="610" w:type="dxa"/>
            <w:vMerge w:val="restart"/>
            <w:shd w:val="clear" w:color="auto" w:fill="auto"/>
            <w:vAlign w:val="center"/>
          </w:tcPr>
          <w:p w14:paraId="69A6349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830" w:type="dxa"/>
            <w:gridSpan w:val="3"/>
            <w:vMerge w:val="restart"/>
            <w:shd w:val="clear" w:color="auto" w:fill="auto"/>
            <w:vAlign w:val="center"/>
          </w:tcPr>
          <w:p w14:paraId="267BA2A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占用公共场所从事车辆清洗、维修业务</w:t>
            </w:r>
          </w:p>
        </w:tc>
        <w:tc>
          <w:tcPr>
            <w:tcW w:w="2789" w:type="dxa"/>
            <w:gridSpan w:val="2"/>
            <w:vMerge w:val="restart"/>
            <w:shd w:val="clear" w:color="auto" w:fill="auto"/>
            <w:vAlign w:val="center"/>
          </w:tcPr>
          <w:p w14:paraId="47ABC6B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违反条款：第五十条第一款；</w:t>
            </w:r>
          </w:p>
          <w:p w14:paraId="6F850CC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w:t>
            </w:r>
            <w:r>
              <w:rPr>
                <w:rFonts w:hint="eastAsia" w:cs="宋体" w:asciiTheme="minorEastAsia" w:hAnsiTheme="minorEastAsia" w:eastAsiaTheme="minorEastAsia"/>
                <w:color w:val="auto"/>
                <w:kern w:val="0"/>
                <w:sz w:val="15"/>
                <w:szCs w:val="15"/>
                <w:highlight w:val="none"/>
                <w:lang w:eastAsia="zh-CN"/>
              </w:rPr>
              <w:t>条</w:t>
            </w:r>
            <w:r>
              <w:rPr>
                <w:rFonts w:hint="eastAsia" w:cs="宋体" w:asciiTheme="minorEastAsia" w:hAnsiTheme="minorEastAsia" w:eastAsiaTheme="minorEastAsia"/>
                <w:color w:val="auto"/>
                <w:kern w:val="0"/>
                <w:sz w:val="15"/>
                <w:szCs w:val="15"/>
                <w:highlight w:val="none"/>
              </w:rPr>
              <w:t>第三款 责令改正，并处50元以上300元以下罚款；情节严重的，处300元以上3000元以下罚款。</w:t>
            </w:r>
          </w:p>
        </w:tc>
        <w:tc>
          <w:tcPr>
            <w:tcW w:w="851" w:type="dxa"/>
            <w:shd w:val="clear" w:color="auto" w:fill="auto"/>
            <w:vAlign w:val="center"/>
          </w:tcPr>
          <w:p w14:paraId="6FD221C6">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74A09FEB">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26A1896">
            <w:pPr>
              <w:spacing w:line="220" w:lineRule="exact"/>
              <w:rPr>
                <w:rFonts w:hint="eastAsia" w:cs="宋体" w:asciiTheme="minorEastAsia" w:hAnsiTheme="minorEastAsia" w:eastAsiaTheme="minorEastAsia"/>
                <w:color w:val="auto"/>
                <w:kern w:val="0"/>
                <w:sz w:val="15"/>
                <w:szCs w:val="15"/>
                <w:highlight w:val="none"/>
                <w:lang w:eastAsia="zh-CN"/>
              </w:rPr>
            </w:pP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198CB9F2">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D63938F">
            <w:pPr>
              <w:spacing w:line="232" w:lineRule="exact"/>
              <w:rPr>
                <w:rFonts w:cs="宋体" w:asciiTheme="minorEastAsia" w:hAnsiTheme="minorEastAsia" w:eastAsiaTheme="minorEastAsia"/>
                <w:color w:val="auto"/>
                <w:kern w:val="0"/>
                <w:sz w:val="15"/>
                <w:szCs w:val="15"/>
                <w:highlight w:val="none"/>
              </w:rPr>
            </w:pPr>
          </w:p>
        </w:tc>
      </w:tr>
      <w:tr w14:paraId="51FA7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17" w:hRule="atLeast"/>
          <w:jc w:val="center"/>
        </w:trPr>
        <w:tc>
          <w:tcPr>
            <w:tcW w:w="610" w:type="dxa"/>
            <w:vMerge w:val="continue"/>
            <w:shd w:val="clear" w:color="auto" w:fill="auto"/>
            <w:vAlign w:val="center"/>
          </w:tcPr>
          <w:p w14:paraId="1F1A69B2">
            <w:pPr>
              <w:spacing w:line="232" w:lineRule="exact"/>
              <w:jc w:val="center"/>
              <w:rPr>
                <w:rFonts w:cs="宋体" w:asciiTheme="minorEastAsia" w:hAnsiTheme="minorEastAsia" w:eastAsiaTheme="minorEastAsia"/>
                <w:b/>
                <w:color w:val="auto"/>
                <w:kern w:val="0"/>
                <w:sz w:val="15"/>
                <w:szCs w:val="15"/>
                <w:highlight w:val="none"/>
              </w:rPr>
            </w:pPr>
          </w:p>
        </w:tc>
        <w:tc>
          <w:tcPr>
            <w:tcW w:w="1830" w:type="dxa"/>
            <w:gridSpan w:val="3"/>
            <w:vMerge w:val="continue"/>
            <w:shd w:val="clear" w:color="auto" w:fill="auto"/>
            <w:vAlign w:val="center"/>
          </w:tcPr>
          <w:p w14:paraId="43E44A80">
            <w:pPr>
              <w:spacing w:line="232" w:lineRule="exact"/>
              <w:rPr>
                <w:rFonts w:cs="宋体" w:asciiTheme="minorEastAsia" w:hAnsiTheme="minorEastAsia" w:eastAsiaTheme="minorEastAsia"/>
                <w:b/>
                <w:color w:val="auto"/>
                <w:kern w:val="0"/>
                <w:sz w:val="15"/>
                <w:szCs w:val="15"/>
                <w:highlight w:val="none"/>
              </w:rPr>
            </w:pPr>
          </w:p>
        </w:tc>
        <w:tc>
          <w:tcPr>
            <w:tcW w:w="2789" w:type="dxa"/>
            <w:gridSpan w:val="2"/>
            <w:vMerge w:val="continue"/>
            <w:shd w:val="clear" w:color="auto" w:fill="auto"/>
            <w:vAlign w:val="center"/>
          </w:tcPr>
          <w:p w14:paraId="5DBB66E9">
            <w:pPr>
              <w:spacing w:line="220" w:lineRule="exact"/>
              <w:rPr>
                <w:rFonts w:cs="宋体" w:asciiTheme="minorEastAsia" w:hAnsiTheme="minorEastAsia" w:eastAsiaTheme="minorEastAsia"/>
                <w:b/>
                <w:color w:val="auto"/>
                <w:kern w:val="0"/>
                <w:sz w:val="15"/>
                <w:szCs w:val="15"/>
                <w:highlight w:val="none"/>
              </w:rPr>
            </w:pPr>
          </w:p>
        </w:tc>
        <w:tc>
          <w:tcPr>
            <w:tcW w:w="851" w:type="dxa"/>
            <w:shd w:val="clear" w:color="auto" w:fill="auto"/>
            <w:vAlign w:val="center"/>
          </w:tcPr>
          <w:p w14:paraId="4F48960C">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0E1BBA1E">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5C1A052">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1.占用非机动车道或者占用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公共场所面积较大，或者造成通行秩序、市容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秩序混乱的</w:t>
            </w:r>
            <w:r>
              <w:rPr>
                <w:rFonts w:hint="eastAsia" w:cs="宋体" w:asciiTheme="minorEastAsia" w:hAnsiTheme="minorEastAsia" w:eastAsiaTheme="minorEastAsia"/>
                <w:strike w:val="0"/>
                <w:dstrike w:val="0"/>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lang w:eastAsia="zh-CN"/>
              </w:rPr>
              <w:t>系数</w:t>
            </w:r>
            <w:r>
              <w:rPr>
                <w:rFonts w:hint="eastAsia" w:cs="宋体" w:asciiTheme="minorEastAsia" w:hAnsiTheme="minorEastAsia" w:eastAsiaTheme="minorEastAsia"/>
                <w:strike w:val="0"/>
                <w:dstrike w:val="0"/>
                <w:color w:val="auto"/>
                <w:kern w:val="0"/>
                <w:sz w:val="15"/>
                <w:szCs w:val="15"/>
                <w:highlight w:val="none"/>
                <w:lang w:val="en-US" w:eastAsia="zh-CN"/>
              </w:rPr>
              <w:t>0-3</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占用无障碍设施、机动车道、绿地的，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4-6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53962B2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07C0556">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构成</w:t>
            </w:r>
            <w:r>
              <w:rPr>
                <w:rFonts w:hint="eastAsia" w:cs="宋体" w:asciiTheme="minorEastAsia" w:hAnsiTheme="minorEastAsia" w:eastAsiaTheme="minorEastAsia"/>
                <w:color w:val="auto"/>
                <w:kern w:val="0"/>
                <w:sz w:val="15"/>
                <w:szCs w:val="15"/>
                <w:highlight w:val="none"/>
                <w:lang w:eastAsia="zh-CN"/>
              </w:rPr>
              <w:t>《基准表》中情节</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val="en-US" w:eastAsia="zh-CN"/>
              </w:rPr>
              <w:t>规定情形</w:t>
            </w:r>
            <w:r>
              <w:rPr>
                <w:rFonts w:hint="eastAsia" w:cs="宋体" w:asciiTheme="minorEastAsia" w:hAnsiTheme="minorEastAsia" w:eastAsiaTheme="minorEastAsia"/>
                <w:color w:val="auto"/>
                <w:kern w:val="0"/>
                <w:sz w:val="15"/>
                <w:szCs w:val="15"/>
                <w:highlight w:val="none"/>
              </w:rPr>
              <w:t>的，视为情节严重，适用此档处罚。</w:t>
            </w:r>
          </w:p>
        </w:tc>
      </w:tr>
      <w:tr w14:paraId="70FF6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32" w:hRule="atLeast"/>
          <w:jc w:val="center"/>
        </w:trPr>
        <w:tc>
          <w:tcPr>
            <w:tcW w:w="610" w:type="dxa"/>
            <w:vMerge w:val="restart"/>
            <w:shd w:val="clear" w:color="auto" w:fill="auto"/>
            <w:vAlign w:val="center"/>
          </w:tcPr>
          <w:p w14:paraId="471ACB3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37</w:t>
            </w:r>
          </w:p>
        </w:tc>
        <w:tc>
          <w:tcPr>
            <w:tcW w:w="1830" w:type="dxa"/>
            <w:gridSpan w:val="3"/>
            <w:vMerge w:val="restart"/>
            <w:shd w:val="clear" w:color="auto" w:fill="auto"/>
            <w:vAlign w:val="center"/>
          </w:tcPr>
          <w:p w14:paraId="7814411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车辆作业场所环境脏乱</w:t>
            </w:r>
          </w:p>
        </w:tc>
        <w:tc>
          <w:tcPr>
            <w:tcW w:w="2789" w:type="dxa"/>
            <w:gridSpan w:val="2"/>
            <w:vMerge w:val="restart"/>
            <w:shd w:val="clear" w:color="auto" w:fill="auto"/>
            <w:vAlign w:val="center"/>
          </w:tcPr>
          <w:p w14:paraId="4624936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违反条款：第五十条第二款；</w:t>
            </w:r>
          </w:p>
          <w:p w14:paraId="0F673F6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处罚条款：第五十条第三款 责令改正，并处50元以上300元以下罚款；情节严重的，处300元以上3000元以下罚款。</w:t>
            </w:r>
          </w:p>
        </w:tc>
        <w:tc>
          <w:tcPr>
            <w:tcW w:w="851" w:type="dxa"/>
            <w:shd w:val="clear" w:color="auto" w:fill="auto"/>
            <w:vAlign w:val="center"/>
          </w:tcPr>
          <w:p w14:paraId="0619FE4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77D4D13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7B69520">
            <w:pPr>
              <w:spacing w:line="240" w:lineRule="exact"/>
              <w:rPr>
                <w:rFonts w:hint="eastAsia" w:cs="宋体" w:asciiTheme="minorEastAsia" w:hAnsiTheme="minorEastAsia" w:eastAsiaTheme="minorEastAsia"/>
                <w:color w:val="auto"/>
                <w:kern w:val="0"/>
                <w:sz w:val="15"/>
                <w:szCs w:val="15"/>
                <w:highlight w:val="none"/>
                <w:lang w:eastAsia="zh-CN"/>
              </w:rPr>
            </w:pP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5F6F5B4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4CBAA8D">
            <w:pPr>
              <w:spacing w:line="240" w:lineRule="exact"/>
              <w:rPr>
                <w:rFonts w:cs="宋体" w:asciiTheme="minorEastAsia" w:hAnsiTheme="minorEastAsia" w:eastAsiaTheme="minorEastAsia"/>
                <w:b/>
                <w:color w:val="auto"/>
                <w:kern w:val="0"/>
                <w:sz w:val="15"/>
                <w:szCs w:val="15"/>
                <w:highlight w:val="none"/>
              </w:rPr>
            </w:pPr>
          </w:p>
        </w:tc>
      </w:tr>
      <w:tr w14:paraId="672EC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83" w:hRule="atLeast"/>
          <w:jc w:val="center"/>
        </w:trPr>
        <w:tc>
          <w:tcPr>
            <w:tcW w:w="610" w:type="dxa"/>
            <w:vMerge w:val="continue"/>
            <w:shd w:val="clear" w:color="auto" w:fill="auto"/>
            <w:vAlign w:val="center"/>
          </w:tcPr>
          <w:p w14:paraId="1C563B3B">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5D2EA1C2">
            <w:pPr>
              <w:spacing w:line="240"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6D947466">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54C4FE5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715F343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C760A5F">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11-15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16-20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2FB4205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38572EDC">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违法行为发生在一类地区的，或者构成</w:t>
            </w:r>
            <w:r>
              <w:rPr>
                <w:rFonts w:hint="eastAsia" w:cs="宋体" w:asciiTheme="minorEastAsia" w:hAnsiTheme="minorEastAsia" w:eastAsiaTheme="minorEastAsia"/>
                <w:color w:val="auto"/>
                <w:kern w:val="0"/>
                <w:sz w:val="15"/>
                <w:szCs w:val="15"/>
                <w:highlight w:val="none"/>
                <w:lang w:eastAsia="zh-CN"/>
              </w:rPr>
              <w:t>《基准表》情节</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val="en-US" w:eastAsia="zh-CN"/>
              </w:rPr>
              <w:t>规定情形</w:t>
            </w:r>
            <w:r>
              <w:rPr>
                <w:rFonts w:hint="eastAsia" w:cs="宋体" w:asciiTheme="minorEastAsia" w:hAnsiTheme="minorEastAsia" w:eastAsiaTheme="minorEastAsia"/>
                <w:color w:val="auto"/>
                <w:kern w:val="0"/>
                <w:sz w:val="15"/>
                <w:szCs w:val="15"/>
                <w:highlight w:val="none"/>
              </w:rPr>
              <w:t>的，视为情节严重，适用此档处罚</w:t>
            </w:r>
            <w:r>
              <w:rPr>
                <w:rFonts w:hint="eastAsia" w:cs="宋体" w:asciiTheme="minorEastAsia" w:hAnsiTheme="minorEastAsia" w:eastAsiaTheme="minorEastAsia"/>
                <w:color w:val="auto"/>
                <w:kern w:val="0"/>
                <w:sz w:val="15"/>
                <w:szCs w:val="15"/>
                <w:highlight w:val="none"/>
                <w:lang w:eastAsia="zh-CN"/>
              </w:rPr>
              <w:t>。</w:t>
            </w:r>
          </w:p>
        </w:tc>
      </w:tr>
      <w:tr w14:paraId="11406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20" w:hRule="atLeast"/>
          <w:jc w:val="center"/>
        </w:trPr>
        <w:tc>
          <w:tcPr>
            <w:tcW w:w="610" w:type="dxa"/>
            <w:shd w:val="clear" w:color="auto" w:fill="auto"/>
            <w:vAlign w:val="center"/>
          </w:tcPr>
          <w:p w14:paraId="7884E35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38</w:t>
            </w:r>
          </w:p>
        </w:tc>
        <w:tc>
          <w:tcPr>
            <w:tcW w:w="1830" w:type="dxa"/>
            <w:gridSpan w:val="3"/>
            <w:shd w:val="clear" w:color="auto" w:fill="auto"/>
            <w:vAlign w:val="center"/>
          </w:tcPr>
          <w:p w14:paraId="537880E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废品收购场所环境脏乱</w:t>
            </w:r>
          </w:p>
        </w:tc>
        <w:tc>
          <w:tcPr>
            <w:tcW w:w="2789" w:type="dxa"/>
            <w:gridSpan w:val="2"/>
            <w:vMerge w:val="restart"/>
            <w:shd w:val="clear" w:color="auto" w:fill="auto"/>
            <w:vAlign w:val="center"/>
          </w:tcPr>
          <w:p w14:paraId="628E055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违反、处罚条款：第五十一条 责令限期改正，并处300元以上3000元以下罚款。</w:t>
            </w:r>
          </w:p>
        </w:tc>
        <w:tc>
          <w:tcPr>
            <w:tcW w:w="851" w:type="dxa"/>
            <w:shd w:val="clear" w:color="auto" w:fill="auto"/>
            <w:vAlign w:val="center"/>
          </w:tcPr>
          <w:p w14:paraId="131C0DD6">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63CCC6C1">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14C04D3">
            <w:pPr>
              <w:spacing w:line="24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11-15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16-20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1AF88F9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798C16F">
            <w:pPr>
              <w:spacing w:line="240" w:lineRule="exact"/>
              <w:rPr>
                <w:rFonts w:cs="宋体" w:asciiTheme="minorEastAsia" w:hAnsiTheme="minorEastAsia" w:eastAsiaTheme="minorEastAsia"/>
                <w:color w:val="auto"/>
                <w:kern w:val="0"/>
                <w:sz w:val="15"/>
                <w:szCs w:val="15"/>
                <w:highlight w:val="none"/>
              </w:rPr>
            </w:pPr>
          </w:p>
        </w:tc>
      </w:tr>
      <w:tr w14:paraId="253B7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49" w:hRule="atLeast"/>
          <w:jc w:val="center"/>
        </w:trPr>
        <w:tc>
          <w:tcPr>
            <w:tcW w:w="610" w:type="dxa"/>
            <w:shd w:val="clear" w:color="auto" w:fill="auto"/>
            <w:vAlign w:val="center"/>
          </w:tcPr>
          <w:p w14:paraId="35A9460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39</w:t>
            </w:r>
          </w:p>
        </w:tc>
        <w:tc>
          <w:tcPr>
            <w:tcW w:w="1830" w:type="dxa"/>
            <w:gridSpan w:val="3"/>
            <w:shd w:val="clear" w:color="auto" w:fill="auto"/>
            <w:vAlign w:val="center"/>
          </w:tcPr>
          <w:p w14:paraId="732DB07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焚烧废旧物品</w:t>
            </w:r>
          </w:p>
        </w:tc>
        <w:tc>
          <w:tcPr>
            <w:tcW w:w="2789" w:type="dxa"/>
            <w:gridSpan w:val="2"/>
            <w:vMerge w:val="continue"/>
            <w:shd w:val="clear" w:color="auto" w:fill="auto"/>
            <w:vAlign w:val="center"/>
          </w:tcPr>
          <w:p w14:paraId="22610297">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490C83E7">
            <w:pPr>
              <w:spacing w:line="24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300</w:t>
            </w:r>
          </w:p>
        </w:tc>
        <w:tc>
          <w:tcPr>
            <w:tcW w:w="840" w:type="dxa"/>
            <w:shd w:val="clear" w:color="auto" w:fill="auto"/>
            <w:vAlign w:val="center"/>
          </w:tcPr>
          <w:p w14:paraId="13127F8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602A347">
            <w:pPr>
              <w:spacing w:line="240" w:lineRule="exact"/>
              <w:rPr>
                <w:rFonts w:hint="default" w:eastAsiaTheme="minorEastAsia"/>
                <w:color w:val="auto"/>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2C6E2BF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300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892EA11">
            <w:pPr>
              <w:spacing w:line="240" w:lineRule="exact"/>
              <w:rPr>
                <w:rFonts w:asciiTheme="minorEastAsia" w:hAnsiTheme="minorEastAsia" w:eastAsiaTheme="minorEastAsia"/>
                <w:color w:val="auto"/>
                <w:sz w:val="15"/>
                <w:szCs w:val="15"/>
                <w:highlight w:val="none"/>
              </w:rPr>
            </w:pPr>
          </w:p>
        </w:tc>
      </w:tr>
      <w:tr w14:paraId="4741D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43" w:hRule="atLeast"/>
          <w:jc w:val="center"/>
        </w:trPr>
        <w:tc>
          <w:tcPr>
            <w:tcW w:w="610" w:type="dxa"/>
            <w:shd w:val="clear" w:color="auto" w:fill="auto"/>
            <w:vAlign w:val="center"/>
          </w:tcPr>
          <w:p w14:paraId="23670D2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40</w:t>
            </w:r>
          </w:p>
        </w:tc>
        <w:tc>
          <w:tcPr>
            <w:tcW w:w="1830" w:type="dxa"/>
            <w:gridSpan w:val="3"/>
            <w:shd w:val="clear" w:color="auto" w:fill="auto"/>
            <w:vAlign w:val="center"/>
          </w:tcPr>
          <w:p w14:paraId="55F0241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废品储存场所未采取遮挡措施</w:t>
            </w:r>
          </w:p>
        </w:tc>
        <w:tc>
          <w:tcPr>
            <w:tcW w:w="2789" w:type="dxa"/>
            <w:gridSpan w:val="2"/>
            <w:vMerge w:val="continue"/>
            <w:shd w:val="clear" w:color="auto" w:fill="auto"/>
            <w:vAlign w:val="center"/>
          </w:tcPr>
          <w:p w14:paraId="4FA5E4E0">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5A8286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46138D1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CEC3ADD">
            <w:pPr>
              <w:spacing w:line="24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69980B7E">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14C68DFF">
            <w:pPr>
              <w:spacing w:line="240" w:lineRule="exact"/>
              <w:rPr>
                <w:rFonts w:cs="宋体" w:asciiTheme="minorEastAsia" w:hAnsiTheme="minorEastAsia" w:eastAsiaTheme="minorEastAsia"/>
                <w:color w:val="auto"/>
                <w:kern w:val="0"/>
                <w:sz w:val="15"/>
                <w:szCs w:val="15"/>
                <w:highlight w:val="none"/>
              </w:rPr>
            </w:pPr>
          </w:p>
        </w:tc>
      </w:tr>
      <w:tr w14:paraId="4B5EA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26" w:hRule="atLeast"/>
          <w:jc w:val="center"/>
        </w:trPr>
        <w:tc>
          <w:tcPr>
            <w:tcW w:w="610" w:type="dxa"/>
            <w:vMerge w:val="restart"/>
            <w:shd w:val="clear" w:color="auto" w:fill="auto"/>
            <w:vAlign w:val="center"/>
          </w:tcPr>
          <w:p w14:paraId="55450B1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41</w:t>
            </w:r>
          </w:p>
        </w:tc>
        <w:tc>
          <w:tcPr>
            <w:tcW w:w="1830" w:type="dxa"/>
            <w:gridSpan w:val="3"/>
            <w:vMerge w:val="restart"/>
            <w:shd w:val="clear" w:color="auto" w:fill="auto"/>
            <w:vAlign w:val="center"/>
          </w:tcPr>
          <w:p w14:paraId="7143DDB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随地吐痰</w:t>
            </w:r>
          </w:p>
        </w:tc>
        <w:tc>
          <w:tcPr>
            <w:tcW w:w="2789" w:type="dxa"/>
            <w:gridSpan w:val="2"/>
            <w:vMerge w:val="restart"/>
            <w:shd w:val="clear" w:color="auto" w:fill="auto"/>
            <w:vAlign w:val="center"/>
          </w:tcPr>
          <w:p w14:paraId="37B5372D">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14:paraId="4C6BAD12">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14:paraId="483659B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69EBACA2">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4D644D10">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3AFB40D5">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661ED743">
            <w:pPr>
              <w:spacing w:line="232" w:lineRule="exact"/>
              <w:rPr>
                <w:rFonts w:cs="宋体" w:asciiTheme="minorEastAsia" w:hAnsiTheme="minorEastAsia" w:eastAsiaTheme="minorEastAsia"/>
                <w:color w:val="auto"/>
                <w:kern w:val="0"/>
                <w:sz w:val="15"/>
                <w:szCs w:val="15"/>
                <w:highlight w:val="none"/>
              </w:rPr>
            </w:pPr>
          </w:p>
        </w:tc>
      </w:tr>
      <w:tr w14:paraId="68021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19" w:hRule="atLeast"/>
          <w:jc w:val="center"/>
        </w:trPr>
        <w:tc>
          <w:tcPr>
            <w:tcW w:w="610" w:type="dxa"/>
            <w:vMerge w:val="continue"/>
            <w:shd w:val="clear" w:color="auto" w:fill="auto"/>
            <w:vAlign w:val="center"/>
          </w:tcPr>
          <w:p w14:paraId="03E47D35">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3FFDF637">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17D6F75F">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5AC11C9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35C0AFC6">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0F919A39">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06F015F7">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1D3D749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14:paraId="1E33C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91" w:hRule="atLeast"/>
          <w:jc w:val="center"/>
        </w:trPr>
        <w:tc>
          <w:tcPr>
            <w:tcW w:w="610" w:type="dxa"/>
            <w:vMerge w:val="restart"/>
            <w:shd w:val="clear" w:color="auto" w:fill="auto"/>
            <w:vAlign w:val="center"/>
          </w:tcPr>
          <w:p w14:paraId="75F110D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42</w:t>
            </w:r>
          </w:p>
        </w:tc>
        <w:tc>
          <w:tcPr>
            <w:tcW w:w="1830" w:type="dxa"/>
            <w:gridSpan w:val="3"/>
            <w:vMerge w:val="restart"/>
            <w:shd w:val="clear" w:color="auto" w:fill="auto"/>
            <w:vAlign w:val="center"/>
          </w:tcPr>
          <w:p w14:paraId="53B8441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随地便溺</w:t>
            </w:r>
          </w:p>
        </w:tc>
        <w:tc>
          <w:tcPr>
            <w:tcW w:w="2789" w:type="dxa"/>
            <w:gridSpan w:val="2"/>
            <w:vMerge w:val="restart"/>
            <w:shd w:val="clear" w:color="auto" w:fill="auto"/>
            <w:vAlign w:val="center"/>
          </w:tcPr>
          <w:p w14:paraId="4DD2D97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14:paraId="6A7315C5">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14:paraId="0857E41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49484319">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6BFA88AF">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09512073">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393791DD">
            <w:pPr>
              <w:spacing w:line="232" w:lineRule="exact"/>
              <w:rPr>
                <w:rFonts w:cs="宋体" w:asciiTheme="minorEastAsia" w:hAnsiTheme="minorEastAsia" w:eastAsiaTheme="minorEastAsia"/>
                <w:color w:val="auto"/>
                <w:kern w:val="0"/>
                <w:sz w:val="15"/>
                <w:szCs w:val="15"/>
                <w:highlight w:val="none"/>
              </w:rPr>
            </w:pPr>
          </w:p>
        </w:tc>
      </w:tr>
      <w:tr w14:paraId="779AC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05" w:hRule="atLeast"/>
          <w:jc w:val="center"/>
        </w:trPr>
        <w:tc>
          <w:tcPr>
            <w:tcW w:w="610" w:type="dxa"/>
            <w:vMerge w:val="continue"/>
            <w:shd w:val="clear" w:color="auto" w:fill="auto"/>
            <w:vAlign w:val="center"/>
          </w:tcPr>
          <w:p w14:paraId="611E750D">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511FEA0A">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172F31C6">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44E7A5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5B234FC5">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1A6643A0">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4F431CD1">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62AEFBF4">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p w14:paraId="582864A1">
            <w:pPr>
              <w:spacing w:line="232" w:lineRule="exact"/>
              <w:rPr>
                <w:rFonts w:hint="eastAsia" w:cs="宋体" w:asciiTheme="minorEastAsia" w:hAnsiTheme="minorEastAsia" w:eastAsiaTheme="minorEastAsia"/>
                <w:color w:val="auto"/>
                <w:kern w:val="0"/>
                <w:sz w:val="15"/>
                <w:szCs w:val="15"/>
                <w:highlight w:val="none"/>
              </w:rPr>
            </w:pPr>
          </w:p>
        </w:tc>
      </w:tr>
      <w:tr w14:paraId="14AAA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03" w:hRule="atLeast"/>
          <w:jc w:val="center"/>
        </w:trPr>
        <w:tc>
          <w:tcPr>
            <w:tcW w:w="610" w:type="dxa"/>
            <w:vMerge w:val="restart"/>
            <w:shd w:val="clear" w:color="auto" w:fill="auto"/>
            <w:vAlign w:val="center"/>
          </w:tcPr>
          <w:p w14:paraId="6B2A0A5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43</w:t>
            </w:r>
          </w:p>
        </w:tc>
        <w:tc>
          <w:tcPr>
            <w:tcW w:w="1830" w:type="dxa"/>
            <w:gridSpan w:val="3"/>
            <w:vMerge w:val="restart"/>
            <w:shd w:val="clear" w:color="auto" w:fill="auto"/>
            <w:vAlign w:val="center"/>
          </w:tcPr>
          <w:p w14:paraId="0939136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随地丢弃废弃物</w:t>
            </w:r>
          </w:p>
        </w:tc>
        <w:tc>
          <w:tcPr>
            <w:tcW w:w="2789" w:type="dxa"/>
            <w:gridSpan w:val="2"/>
            <w:vMerge w:val="restart"/>
            <w:shd w:val="clear" w:color="auto" w:fill="auto"/>
            <w:vAlign w:val="center"/>
          </w:tcPr>
          <w:p w14:paraId="0FDD22AA">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违反条款：第五十二条第一款第（二）项；</w:t>
            </w:r>
          </w:p>
          <w:p w14:paraId="4BAB0249">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14:paraId="170AF86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31B7A376">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73F628FC">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1263D6D6">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48DF2C7F">
            <w:pPr>
              <w:spacing w:line="232" w:lineRule="exact"/>
              <w:rPr>
                <w:rFonts w:cs="宋体" w:asciiTheme="minorEastAsia" w:hAnsiTheme="minorEastAsia" w:eastAsiaTheme="minorEastAsia"/>
                <w:color w:val="auto"/>
                <w:kern w:val="0"/>
                <w:sz w:val="15"/>
                <w:szCs w:val="15"/>
                <w:highlight w:val="none"/>
              </w:rPr>
            </w:pPr>
          </w:p>
        </w:tc>
      </w:tr>
      <w:tr w14:paraId="2C803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25" w:hRule="atLeast"/>
          <w:jc w:val="center"/>
        </w:trPr>
        <w:tc>
          <w:tcPr>
            <w:tcW w:w="610" w:type="dxa"/>
            <w:vMerge w:val="continue"/>
            <w:shd w:val="clear" w:color="auto" w:fill="auto"/>
            <w:vAlign w:val="center"/>
          </w:tcPr>
          <w:p w14:paraId="40960B71">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0FF99A89">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28242419">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235AF3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623A2C16">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04AF1916">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2BD778E7">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402BA18D">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p w14:paraId="0C13022E">
            <w:pPr>
              <w:spacing w:line="232" w:lineRule="exact"/>
              <w:rPr>
                <w:rFonts w:hint="eastAsia" w:cs="宋体" w:asciiTheme="minorEastAsia" w:hAnsiTheme="minorEastAsia" w:eastAsiaTheme="minorEastAsia"/>
                <w:color w:val="auto"/>
                <w:kern w:val="0"/>
                <w:sz w:val="15"/>
                <w:szCs w:val="15"/>
                <w:highlight w:val="none"/>
              </w:rPr>
            </w:pPr>
          </w:p>
        </w:tc>
      </w:tr>
      <w:tr w14:paraId="23311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57" w:hRule="atLeast"/>
          <w:jc w:val="center"/>
        </w:trPr>
        <w:tc>
          <w:tcPr>
            <w:tcW w:w="610" w:type="dxa"/>
            <w:vMerge w:val="restart"/>
            <w:shd w:val="clear" w:color="auto" w:fill="auto"/>
            <w:vAlign w:val="center"/>
          </w:tcPr>
          <w:p w14:paraId="5BAF41F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44</w:t>
            </w:r>
          </w:p>
        </w:tc>
        <w:tc>
          <w:tcPr>
            <w:tcW w:w="1830" w:type="dxa"/>
            <w:gridSpan w:val="3"/>
            <w:vMerge w:val="restart"/>
            <w:shd w:val="clear" w:color="auto" w:fill="auto"/>
            <w:vAlign w:val="center"/>
          </w:tcPr>
          <w:p w14:paraId="5E027F6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乱倒污水、垃圾</w:t>
            </w:r>
          </w:p>
        </w:tc>
        <w:tc>
          <w:tcPr>
            <w:tcW w:w="2789" w:type="dxa"/>
            <w:gridSpan w:val="2"/>
            <w:vMerge w:val="restart"/>
            <w:shd w:val="clear" w:color="auto" w:fill="auto"/>
            <w:vAlign w:val="center"/>
          </w:tcPr>
          <w:p w14:paraId="5512F35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14:paraId="71B453E8">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14:paraId="19D2EE0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338F5296">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1B3D274A">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1BD3F0C1">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7949C213">
            <w:pPr>
              <w:spacing w:line="232" w:lineRule="exact"/>
              <w:rPr>
                <w:rFonts w:cs="宋体" w:asciiTheme="minorEastAsia" w:hAnsiTheme="minorEastAsia" w:eastAsiaTheme="minorEastAsia"/>
                <w:color w:val="auto"/>
                <w:kern w:val="0"/>
                <w:sz w:val="15"/>
                <w:szCs w:val="15"/>
                <w:highlight w:val="none"/>
              </w:rPr>
            </w:pPr>
          </w:p>
        </w:tc>
      </w:tr>
      <w:tr w14:paraId="41834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93" w:hRule="atLeast"/>
          <w:jc w:val="center"/>
        </w:trPr>
        <w:tc>
          <w:tcPr>
            <w:tcW w:w="610" w:type="dxa"/>
            <w:vMerge w:val="continue"/>
            <w:shd w:val="clear" w:color="auto" w:fill="auto"/>
            <w:vAlign w:val="center"/>
          </w:tcPr>
          <w:p w14:paraId="514DD911">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514F3AD9">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0AED7CF1">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527BD2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27F0552">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7772574E">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25BE23B0">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347F3DA7">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p w14:paraId="40D80BE8">
            <w:pPr>
              <w:spacing w:line="232" w:lineRule="exact"/>
              <w:rPr>
                <w:rFonts w:hint="eastAsia" w:cs="宋体" w:asciiTheme="minorEastAsia" w:hAnsiTheme="minorEastAsia" w:eastAsiaTheme="minorEastAsia"/>
                <w:color w:val="auto"/>
                <w:kern w:val="0"/>
                <w:sz w:val="15"/>
                <w:szCs w:val="15"/>
                <w:highlight w:val="none"/>
              </w:rPr>
            </w:pPr>
          </w:p>
        </w:tc>
      </w:tr>
      <w:tr w14:paraId="3EC51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76" w:hRule="atLeast"/>
          <w:jc w:val="center"/>
        </w:trPr>
        <w:tc>
          <w:tcPr>
            <w:tcW w:w="610" w:type="dxa"/>
            <w:vMerge w:val="restart"/>
            <w:shd w:val="clear" w:color="auto" w:fill="auto"/>
            <w:vAlign w:val="center"/>
          </w:tcPr>
          <w:p w14:paraId="564AD500">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5</w:t>
            </w:r>
          </w:p>
        </w:tc>
        <w:tc>
          <w:tcPr>
            <w:tcW w:w="1830" w:type="dxa"/>
            <w:gridSpan w:val="3"/>
            <w:vMerge w:val="restart"/>
            <w:shd w:val="clear" w:color="auto" w:fill="auto"/>
            <w:vAlign w:val="center"/>
          </w:tcPr>
          <w:p w14:paraId="3CDF705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焚烧树叶、垃圾</w:t>
            </w:r>
          </w:p>
        </w:tc>
        <w:tc>
          <w:tcPr>
            <w:tcW w:w="2789" w:type="dxa"/>
            <w:gridSpan w:val="2"/>
            <w:vMerge w:val="restart"/>
            <w:shd w:val="clear" w:color="auto" w:fill="auto"/>
            <w:vAlign w:val="center"/>
          </w:tcPr>
          <w:p w14:paraId="4F0C632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14:paraId="4A93113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14:paraId="7881D8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42578638">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0361BF43">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55A27FA5">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2FDA4B6E">
            <w:pPr>
              <w:spacing w:line="232" w:lineRule="exact"/>
              <w:rPr>
                <w:rFonts w:cs="宋体" w:asciiTheme="minorEastAsia" w:hAnsiTheme="minorEastAsia" w:eastAsiaTheme="minorEastAsia"/>
                <w:color w:val="auto"/>
                <w:kern w:val="0"/>
                <w:sz w:val="15"/>
                <w:szCs w:val="15"/>
                <w:highlight w:val="none"/>
              </w:rPr>
            </w:pPr>
          </w:p>
        </w:tc>
      </w:tr>
      <w:tr w14:paraId="15E74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59" w:hRule="atLeast"/>
          <w:jc w:val="center"/>
        </w:trPr>
        <w:tc>
          <w:tcPr>
            <w:tcW w:w="610" w:type="dxa"/>
            <w:vMerge w:val="continue"/>
            <w:shd w:val="clear" w:color="auto" w:fill="auto"/>
            <w:vAlign w:val="center"/>
          </w:tcPr>
          <w:p w14:paraId="4482A13F">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7E28A47B">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0DBA7BB7">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650DCE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0A994268">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02A2F1C0">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12679479">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70704DA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r>
      <w:tr w14:paraId="5EF8B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90" w:hRule="atLeast"/>
          <w:jc w:val="center"/>
        </w:trPr>
        <w:tc>
          <w:tcPr>
            <w:tcW w:w="610" w:type="dxa"/>
            <w:shd w:val="clear" w:color="auto" w:fill="auto"/>
            <w:vAlign w:val="center"/>
          </w:tcPr>
          <w:p w14:paraId="56478FA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46</w:t>
            </w:r>
          </w:p>
        </w:tc>
        <w:tc>
          <w:tcPr>
            <w:tcW w:w="1830" w:type="dxa"/>
            <w:gridSpan w:val="3"/>
            <w:shd w:val="clear" w:color="auto" w:fill="auto"/>
            <w:vAlign w:val="center"/>
          </w:tcPr>
          <w:p w14:paraId="482B195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在城镇地区饲养家禽家畜</w:t>
            </w:r>
          </w:p>
        </w:tc>
        <w:tc>
          <w:tcPr>
            <w:tcW w:w="2789" w:type="dxa"/>
            <w:gridSpan w:val="2"/>
            <w:shd w:val="clear" w:color="auto" w:fill="auto"/>
            <w:vAlign w:val="center"/>
          </w:tcPr>
          <w:p w14:paraId="4C8EF54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违反、处罚条款：第五十三条第一款责令限期改正，并可按照每只（头）处20元以上50元以下罚款。</w:t>
            </w:r>
          </w:p>
        </w:tc>
        <w:tc>
          <w:tcPr>
            <w:tcW w:w="851" w:type="dxa"/>
            <w:shd w:val="clear" w:color="auto" w:fill="auto"/>
            <w:vAlign w:val="center"/>
          </w:tcPr>
          <w:p w14:paraId="63B48DE4">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DCE095F">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74C09F07">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075095C9">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2513394D">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根据实际情况执行</w:t>
            </w:r>
            <w:r>
              <w:rPr>
                <w:rFonts w:hint="eastAsia" w:cs="宋体" w:asciiTheme="minorEastAsia" w:hAnsiTheme="minorEastAsia" w:eastAsiaTheme="minorEastAsia"/>
                <w:color w:val="auto"/>
                <w:kern w:val="0"/>
                <w:sz w:val="15"/>
                <w:szCs w:val="15"/>
                <w:highlight w:val="none"/>
                <w:lang w:eastAsia="zh-CN"/>
              </w:rPr>
              <w:t>。</w:t>
            </w:r>
          </w:p>
        </w:tc>
      </w:tr>
      <w:tr w14:paraId="61456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93" w:hRule="atLeast"/>
          <w:jc w:val="center"/>
        </w:trPr>
        <w:tc>
          <w:tcPr>
            <w:tcW w:w="610" w:type="dxa"/>
            <w:shd w:val="clear" w:color="auto" w:fill="auto"/>
            <w:vAlign w:val="center"/>
          </w:tcPr>
          <w:p w14:paraId="4F0959C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47</w:t>
            </w:r>
          </w:p>
        </w:tc>
        <w:tc>
          <w:tcPr>
            <w:tcW w:w="1830" w:type="dxa"/>
            <w:gridSpan w:val="3"/>
            <w:shd w:val="clear" w:color="auto" w:fill="auto"/>
            <w:vAlign w:val="center"/>
          </w:tcPr>
          <w:p w14:paraId="718C222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饲养鸽子影响市容环境卫生</w:t>
            </w:r>
          </w:p>
        </w:tc>
        <w:tc>
          <w:tcPr>
            <w:tcW w:w="2789" w:type="dxa"/>
            <w:gridSpan w:val="2"/>
            <w:shd w:val="clear" w:color="auto" w:fill="auto"/>
            <w:vAlign w:val="center"/>
          </w:tcPr>
          <w:p w14:paraId="46E9E68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shd w:val="clear" w:color="auto" w:fill="auto"/>
            <w:vAlign w:val="center"/>
          </w:tcPr>
          <w:p w14:paraId="7AB4ABB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3139D29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FB35852">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1.导致建筑物外立面污损的，系数3；2.导致地面污染面积5㎡</w:t>
            </w:r>
            <w:r>
              <w:rPr>
                <w:rFonts w:hint="eastAsia" w:cs="仿宋_GB2312" w:asciiTheme="minorEastAsia" w:hAnsiTheme="minorEastAsia" w:eastAsiaTheme="minorEastAsia"/>
                <w:color w:val="auto"/>
                <w:kern w:val="0"/>
                <w:sz w:val="15"/>
                <w:szCs w:val="15"/>
                <w:highlight w:val="none"/>
              </w:rPr>
              <w:t>以上的，系数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32A1A5B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1BA4416">
            <w:pPr>
              <w:spacing w:line="232" w:lineRule="exact"/>
              <w:rPr>
                <w:rFonts w:cs="宋体" w:asciiTheme="minorEastAsia" w:hAnsiTheme="minorEastAsia" w:eastAsiaTheme="minorEastAsia"/>
                <w:color w:val="auto"/>
                <w:kern w:val="0"/>
                <w:sz w:val="15"/>
                <w:szCs w:val="15"/>
                <w:highlight w:val="none"/>
              </w:rPr>
            </w:pPr>
          </w:p>
        </w:tc>
      </w:tr>
      <w:tr w14:paraId="2F16C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06" w:hRule="atLeast"/>
          <w:jc w:val="center"/>
        </w:trPr>
        <w:tc>
          <w:tcPr>
            <w:tcW w:w="610" w:type="dxa"/>
            <w:shd w:val="clear" w:color="auto" w:fill="auto"/>
            <w:vAlign w:val="center"/>
          </w:tcPr>
          <w:p w14:paraId="260D85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48</w:t>
            </w:r>
          </w:p>
        </w:tc>
        <w:tc>
          <w:tcPr>
            <w:tcW w:w="1830" w:type="dxa"/>
            <w:gridSpan w:val="3"/>
            <w:shd w:val="clear" w:color="auto" w:fill="auto"/>
            <w:vAlign w:val="center"/>
          </w:tcPr>
          <w:p w14:paraId="469FAA6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擅自设置建筑垃圾、渣土消纳场所</w:t>
            </w:r>
          </w:p>
        </w:tc>
        <w:tc>
          <w:tcPr>
            <w:tcW w:w="2789" w:type="dxa"/>
            <w:gridSpan w:val="2"/>
            <w:shd w:val="clear" w:color="auto" w:fill="auto"/>
            <w:vAlign w:val="center"/>
          </w:tcPr>
          <w:p w14:paraId="6D9822F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违反、处罚条款：第五十五条 责令改正，并处5000元以上1万元以下罚款。</w:t>
            </w:r>
          </w:p>
        </w:tc>
        <w:tc>
          <w:tcPr>
            <w:tcW w:w="851" w:type="dxa"/>
            <w:shd w:val="clear" w:color="auto" w:fill="auto"/>
            <w:vAlign w:val="center"/>
          </w:tcPr>
          <w:p w14:paraId="7895DF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A178C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547713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2B9654F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E09148B">
            <w:pPr>
              <w:spacing w:line="232" w:lineRule="exact"/>
              <w:rPr>
                <w:rFonts w:hint="eastAsia" w:cs="宋体" w:asciiTheme="minorEastAsia" w:hAnsiTheme="minorEastAsia" w:eastAsiaTheme="minorEastAsia"/>
                <w:color w:val="auto"/>
                <w:kern w:val="0"/>
                <w:sz w:val="15"/>
                <w:szCs w:val="15"/>
                <w:highlight w:val="none"/>
                <w:lang w:eastAsia="zh-CN"/>
              </w:rPr>
            </w:pPr>
          </w:p>
        </w:tc>
      </w:tr>
      <w:tr w14:paraId="5CC27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88" w:hRule="atLeast"/>
          <w:jc w:val="center"/>
        </w:trPr>
        <w:tc>
          <w:tcPr>
            <w:tcW w:w="610" w:type="dxa"/>
            <w:shd w:val="clear" w:color="auto" w:fill="auto"/>
            <w:vAlign w:val="center"/>
          </w:tcPr>
          <w:p w14:paraId="692247E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49</w:t>
            </w:r>
          </w:p>
        </w:tc>
        <w:tc>
          <w:tcPr>
            <w:tcW w:w="1830" w:type="dxa"/>
            <w:gridSpan w:val="3"/>
            <w:shd w:val="clear" w:color="auto" w:fill="auto"/>
            <w:vAlign w:val="center"/>
          </w:tcPr>
          <w:p w14:paraId="4D97143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未按规定管护公共厕所</w:t>
            </w:r>
          </w:p>
        </w:tc>
        <w:tc>
          <w:tcPr>
            <w:tcW w:w="2789" w:type="dxa"/>
            <w:gridSpan w:val="2"/>
            <w:shd w:val="clear" w:color="auto" w:fill="auto"/>
            <w:vAlign w:val="center"/>
          </w:tcPr>
          <w:p w14:paraId="69DF786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违反、处罚条款：第五十七条第二款 责令限期改正，并可处500元以上3000元以下罚款。</w:t>
            </w:r>
          </w:p>
        </w:tc>
        <w:tc>
          <w:tcPr>
            <w:tcW w:w="851" w:type="dxa"/>
            <w:shd w:val="clear" w:color="auto" w:fill="auto"/>
            <w:vAlign w:val="center"/>
          </w:tcPr>
          <w:p w14:paraId="57D6035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3DF425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1D0AA9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3-5；2严重影响使用或者造成其他较大影响的，系数5；3.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32D9096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135A9DD">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14:paraId="38A6F761">
            <w:pPr>
              <w:spacing w:line="232" w:lineRule="exact"/>
              <w:rPr>
                <w:rFonts w:cs="宋体" w:asciiTheme="minorEastAsia" w:hAnsiTheme="minorEastAsia" w:eastAsiaTheme="minorEastAsia"/>
                <w:color w:val="auto"/>
                <w:kern w:val="0"/>
                <w:sz w:val="15"/>
                <w:szCs w:val="15"/>
                <w:highlight w:val="none"/>
              </w:rPr>
            </w:pPr>
          </w:p>
        </w:tc>
      </w:tr>
      <w:tr w14:paraId="4882C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94" w:hRule="atLeast"/>
          <w:jc w:val="center"/>
        </w:trPr>
        <w:tc>
          <w:tcPr>
            <w:tcW w:w="610" w:type="dxa"/>
            <w:shd w:val="clear" w:color="auto" w:fill="auto"/>
            <w:vAlign w:val="center"/>
          </w:tcPr>
          <w:p w14:paraId="5C0344E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1830" w:type="dxa"/>
            <w:gridSpan w:val="3"/>
            <w:shd w:val="clear" w:color="auto" w:fill="auto"/>
            <w:vAlign w:val="center"/>
          </w:tcPr>
          <w:p w14:paraId="44418D5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未按规定排入粪便</w:t>
            </w:r>
          </w:p>
        </w:tc>
        <w:tc>
          <w:tcPr>
            <w:tcW w:w="2789" w:type="dxa"/>
            <w:gridSpan w:val="2"/>
            <w:shd w:val="clear" w:color="auto" w:fill="auto"/>
            <w:vAlign w:val="center"/>
          </w:tcPr>
          <w:p w14:paraId="1FFC9F9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违反条款：第五十八条第一款；处罚条款：第五十八条第三款 责令改正，并处1000元以上2000元以下罚款。</w:t>
            </w:r>
          </w:p>
        </w:tc>
        <w:tc>
          <w:tcPr>
            <w:tcW w:w="851" w:type="dxa"/>
            <w:shd w:val="clear" w:color="auto" w:fill="auto"/>
            <w:vAlign w:val="center"/>
          </w:tcPr>
          <w:p w14:paraId="3B0CE14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09E8678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0060B2E">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1.造成较大影响的，系数1；2.存在基准2.1.3规定情形的，系数按照相关规定确定（基准2.1.3.5不适用）。</w:t>
            </w:r>
          </w:p>
        </w:tc>
        <w:tc>
          <w:tcPr>
            <w:tcW w:w="1875" w:type="dxa"/>
            <w:gridSpan w:val="2"/>
            <w:shd w:val="clear" w:color="auto" w:fill="auto"/>
            <w:vAlign w:val="center"/>
          </w:tcPr>
          <w:p w14:paraId="2C0D52E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2FFDAC0">
            <w:pPr>
              <w:spacing w:line="232" w:lineRule="exact"/>
              <w:rPr>
                <w:rFonts w:cs="宋体" w:asciiTheme="minorEastAsia" w:hAnsiTheme="minorEastAsia" w:eastAsiaTheme="minorEastAsia"/>
                <w:color w:val="auto"/>
                <w:kern w:val="0"/>
                <w:sz w:val="15"/>
                <w:szCs w:val="15"/>
                <w:highlight w:val="none"/>
              </w:rPr>
            </w:pPr>
          </w:p>
        </w:tc>
      </w:tr>
      <w:tr w14:paraId="5B34E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51" w:hRule="atLeast"/>
          <w:jc w:val="center"/>
        </w:trPr>
        <w:tc>
          <w:tcPr>
            <w:tcW w:w="610" w:type="dxa"/>
            <w:shd w:val="clear" w:color="auto" w:fill="auto"/>
            <w:vAlign w:val="center"/>
          </w:tcPr>
          <w:p w14:paraId="167F329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51</w:t>
            </w:r>
          </w:p>
        </w:tc>
        <w:tc>
          <w:tcPr>
            <w:tcW w:w="1830" w:type="dxa"/>
            <w:gridSpan w:val="3"/>
            <w:shd w:val="clear" w:color="auto" w:fill="auto"/>
            <w:vAlign w:val="center"/>
          </w:tcPr>
          <w:p w14:paraId="114A936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未按规定清掏（运输）粪便</w:t>
            </w:r>
          </w:p>
        </w:tc>
        <w:tc>
          <w:tcPr>
            <w:tcW w:w="2789" w:type="dxa"/>
            <w:gridSpan w:val="2"/>
            <w:shd w:val="clear" w:color="auto" w:fill="auto"/>
            <w:vAlign w:val="center"/>
          </w:tcPr>
          <w:p w14:paraId="7B365C3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责令改正，并处1000元以上2000元以下罚款。</w:t>
            </w:r>
          </w:p>
        </w:tc>
        <w:tc>
          <w:tcPr>
            <w:tcW w:w="851" w:type="dxa"/>
            <w:shd w:val="clear" w:color="auto" w:fill="auto"/>
            <w:vAlign w:val="center"/>
          </w:tcPr>
          <w:p w14:paraId="14E5CF0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2F75BFB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E7B8A1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1.造成较大影响的，系数1；2.存在基准2.1.3规定情形的，系数按照相关规定确定（基准2.1.3.5不适用）。</w:t>
            </w:r>
          </w:p>
        </w:tc>
        <w:tc>
          <w:tcPr>
            <w:tcW w:w="1875" w:type="dxa"/>
            <w:gridSpan w:val="2"/>
            <w:shd w:val="clear" w:color="auto" w:fill="auto"/>
            <w:vAlign w:val="center"/>
          </w:tcPr>
          <w:p w14:paraId="1BE9BE5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88D9E27">
            <w:pPr>
              <w:spacing w:line="232" w:lineRule="exact"/>
              <w:rPr>
                <w:rFonts w:cs="宋体" w:asciiTheme="minorEastAsia" w:hAnsiTheme="minorEastAsia" w:eastAsiaTheme="minorEastAsia"/>
                <w:color w:val="auto"/>
                <w:kern w:val="0"/>
                <w:sz w:val="15"/>
                <w:szCs w:val="15"/>
                <w:highlight w:val="none"/>
              </w:rPr>
            </w:pPr>
          </w:p>
        </w:tc>
      </w:tr>
      <w:tr w14:paraId="5F14D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81" w:hRule="atLeast"/>
          <w:jc w:val="center"/>
        </w:trPr>
        <w:tc>
          <w:tcPr>
            <w:tcW w:w="610" w:type="dxa"/>
            <w:shd w:val="clear" w:color="auto" w:fill="auto"/>
            <w:vAlign w:val="center"/>
          </w:tcPr>
          <w:p w14:paraId="3741A8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52</w:t>
            </w:r>
          </w:p>
        </w:tc>
        <w:tc>
          <w:tcPr>
            <w:tcW w:w="1830" w:type="dxa"/>
            <w:gridSpan w:val="3"/>
            <w:shd w:val="clear" w:color="auto" w:fill="auto"/>
            <w:vAlign w:val="center"/>
          </w:tcPr>
          <w:p w14:paraId="72DECE56">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随意倾倒粪便</w:t>
            </w:r>
          </w:p>
        </w:tc>
        <w:tc>
          <w:tcPr>
            <w:tcW w:w="2789" w:type="dxa"/>
            <w:gridSpan w:val="2"/>
            <w:shd w:val="clear" w:color="auto" w:fill="auto"/>
            <w:vAlign w:val="center"/>
          </w:tcPr>
          <w:p w14:paraId="527AC7F0">
            <w:pPr>
              <w:spacing w:line="212" w:lineRule="exact"/>
              <w:rPr>
                <w:rFonts w:hint="eastAsia" w:cs="宋体" w:asciiTheme="minorEastAsia" w:hAnsiTheme="minorEastAsia" w:eastAsiaTheme="minorEastAsia"/>
                <w:color w:val="auto"/>
                <w:kern w:val="0"/>
                <w:sz w:val="15"/>
                <w:szCs w:val="15"/>
                <w:highlight w:val="none"/>
                <w:u w:val="single"/>
                <w:lang w:eastAsia="zh-CN"/>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随意倾倒粪便的，处5000元以上5万元以下罚款</w:t>
            </w:r>
            <w:r>
              <w:rPr>
                <w:rFonts w:hint="eastAsia" w:cs="宋体" w:asciiTheme="minorEastAsia" w:hAnsiTheme="minorEastAsia" w:eastAsiaTheme="minorEastAsia"/>
                <w:color w:val="auto"/>
                <w:kern w:val="0"/>
                <w:sz w:val="15"/>
                <w:szCs w:val="15"/>
                <w:highlight w:val="none"/>
                <w:lang w:eastAsia="zh-CN"/>
              </w:rPr>
              <w:t>。</w:t>
            </w:r>
          </w:p>
        </w:tc>
        <w:tc>
          <w:tcPr>
            <w:tcW w:w="851" w:type="dxa"/>
            <w:shd w:val="clear" w:color="auto" w:fill="auto"/>
            <w:vAlign w:val="center"/>
          </w:tcPr>
          <w:p w14:paraId="5ABA87DB">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4EDF83C7">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9084AA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default" w:cs="宋体" w:asciiTheme="minorEastAsia" w:hAnsiTheme="minorEastAsia" w:eastAsiaTheme="minorEastAsia"/>
                <w:color w:val="auto"/>
                <w:kern w:val="0"/>
                <w:sz w:val="15"/>
                <w:szCs w:val="15"/>
                <w:highlight w:val="none"/>
                <w:lang w:val="en-US"/>
              </w:rPr>
              <w:t>.</w:t>
            </w:r>
            <w:r>
              <w:rPr>
                <w:rFonts w:hint="eastAsia" w:cs="宋体" w:asciiTheme="minorEastAsia" w:hAnsiTheme="minorEastAsia" w:eastAsiaTheme="minorEastAsia"/>
                <w:color w:val="auto"/>
                <w:kern w:val="0"/>
                <w:sz w:val="15"/>
                <w:szCs w:val="15"/>
                <w:highlight w:val="none"/>
              </w:rPr>
              <w:t>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strike w:val="0"/>
                <w:dstrike w:val="0"/>
                <w:color w:val="auto"/>
                <w:kern w:val="0"/>
                <w:sz w:val="15"/>
                <w:szCs w:val="15"/>
                <w:highlight w:val="none"/>
                <w:lang w:val="en-US" w:eastAsia="zh-CN"/>
              </w:rPr>
              <w:t>0</w:t>
            </w:r>
            <w:r>
              <w:rPr>
                <w:rFonts w:hint="eastAsia" w:cs="宋体" w:asciiTheme="minorEastAsia" w:hAnsiTheme="minorEastAsia" w:eastAsiaTheme="minorEastAsia"/>
                <w:strike w:val="0"/>
                <w:dstrike w:val="0"/>
                <w:color w:val="auto"/>
                <w:kern w:val="0"/>
                <w:sz w:val="15"/>
                <w:szCs w:val="15"/>
                <w:highlight w:val="none"/>
              </w:rPr>
              <w:t>；6－10㎡</w:t>
            </w:r>
            <w:r>
              <w:rPr>
                <w:rFonts w:hint="eastAsia" w:cs="仿宋_GB2312" w:asciiTheme="minorEastAsia" w:hAnsiTheme="minorEastAsia" w:eastAsiaTheme="minorEastAsia"/>
                <w:strike w:val="0"/>
                <w:dstrike w:val="0"/>
                <w:color w:val="auto"/>
                <w:kern w:val="0"/>
                <w:sz w:val="15"/>
                <w:szCs w:val="15"/>
                <w:highlight w:val="none"/>
              </w:rPr>
              <w:t>，系数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11-15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16-20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21-25</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26-30</w:t>
            </w:r>
            <w:r>
              <w:rPr>
                <w:rFonts w:hint="eastAsia" w:cs="宋体"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default" w:asciiTheme="minorEastAsia" w:hAnsiTheme="minorEastAsia" w:eastAsia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；2.倾倒在绿地、城市道路等公共场所，或者燃气、供暖等公用管道和设施保护（管理）范围的，或者</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内的，系数3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557FEA5F">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1EB90289">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区域台账与《基准表》中情节系数相关点位重叠的，不适用区域台账。</w:t>
            </w:r>
          </w:p>
        </w:tc>
      </w:tr>
      <w:tr w14:paraId="30463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79" w:hRule="atLeast"/>
          <w:jc w:val="center"/>
        </w:trPr>
        <w:tc>
          <w:tcPr>
            <w:tcW w:w="610" w:type="dxa"/>
            <w:shd w:val="clear" w:color="auto" w:fill="auto"/>
            <w:vAlign w:val="center"/>
          </w:tcPr>
          <w:p w14:paraId="0D4BEA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53</w:t>
            </w:r>
          </w:p>
        </w:tc>
        <w:tc>
          <w:tcPr>
            <w:tcW w:w="1830" w:type="dxa"/>
            <w:gridSpan w:val="3"/>
            <w:shd w:val="clear" w:color="auto" w:fill="auto"/>
            <w:vAlign w:val="center"/>
          </w:tcPr>
          <w:p w14:paraId="169DB2D4">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环卫设施未经验收（验收不合格）投入使用</w:t>
            </w:r>
          </w:p>
        </w:tc>
        <w:tc>
          <w:tcPr>
            <w:tcW w:w="2789" w:type="dxa"/>
            <w:gridSpan w:val="2"/>
            <w:shd w:val="clear" w:color="auto" w:fill="auto"/>
            <w:vAlign w:val="center"/>
          </w:tcPr>
          <w:p w14:paraId="7F0E44F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违反条款：第六十条第二款；</w:t>
            </w:r>
          </w:p>
          <w:p w14:paraId="402E287C">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处罚条款：第六十条第三款 责令限期改正，并处5000元以上3万元以下罚款。</w:t>
            </w:r>
          </w:p>
        </w:tc>
        <w:tc>
          <w:tcPr>
            <w:tcW w:w="851" w:type="dxa"/>
            <w:shd w:val="clear" w:color="auto" w:fill="auto"/>
            <w:vAlign w:val="center"/>
          </w:tcPr>
          <w:p w14:paraId="7965A6FC">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42B4ED52">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40C95B8">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auto"/>
                <w:kern w:val="0"/>
                <w:sz w:val="15"/>
                <w:szCs w:val="15"/>
                <w:highlight w:val="none"/>
                <w:lang w:val="en-US" w:eastAsia="zh-CN"/>
              </w:rPr>
              <w:t>3-5；2.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4BFEC9A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3CDA15E7">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14:paraId="6B6D6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20" w:hRule="atLeast"/>
          <w:jc w:val="center"/>
        </w:trPr>
        <w:tc>
          <w:tcPr>
            <w:tcW w:w="610" w:type="dxa"/>
            <w:shd w:val="clear" w:color="auto" w:fill="auto"/>
            <w:vAlign w:val="center"/>
          </w:tcPr>
          <w:p w14:paraId="123AB2A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54</w:t>
            </w:r>
          </w:p>
        </w:tc>
        <w:tc>
          <w:tcPr>
            <w:tcW w:w="1830" w:type="dxa"/>
            <w:gridSpan w:val="3"/>
            <w:shd w:val="clear" w:color="auto" w:fill="auto"/>
            <w:vAlign w:val="center"/>
          </w:tcPr>
          <w:p w14:paraId="64CE0691">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擅自占用、损毁环卫设施</w:t>
            </w:r>
          </w:p>
        </w:tc>
        <w:tc>
          <w:tcPr>
            <w:tcW w:w="2789" w:type="dxa"/>
            <w:gridSpan w:val="2"/>
            <w:shd w:val="clear" w:color="auto" w:fill="auto"/>
            <w:vAlign w:val="center"/>
          </w:tcPr>
          <w:p w14:paraId="26AE0755">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违反条款：第六十一条第一款；</w:t>
            </w:r>
          </w:p>
          <w:p w14:paraId="053B65E4">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责令恢复原状或者赔偿损失，并处500元以上3000元以下罚款。</w:t>
            </w:r>
          </w:p>
        </w:tc>
        <w:tc>
          <w:tcPr>
            <w:tcW w:w="851" w:type="dxa"/>
            <w:shd w:val="clear" w:color="auto" w:fill="auto"/>
            <w:vAlign w:val="center"/>
          </w:tcPr>
          <w:p w14:paraId="2229E41E">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22A2F635">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871C896">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占用、损毁车站、机场、居民小区、医院、学校、体育场馆、影剧院、繁华商业街区、旅游景区等人口集中地区环卫设施的，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6F1F748A">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88C6190">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14:paraId="3BA37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66" w:hRule="atLeast"/>
          <w:jc w:val="center"/>
        </w:trPr>
        <w:tc>
          <w:tcPr>
            <w:tcW w:w="610" w:type="dxa"/>
            <w:shd w:val="clear" w:color="auto" w:fill="auto"/>
            <w:vAlign w:val="center"/>
          </w:tcPr>
          <w:p w14:paraId="1DD0E2B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55</w:t>
            </w:r>
          </w:p>
        </w:tc>
        <w:tc>
          <w:tcPr>
            <w:tcW w:w="1830" w:type="dxa"/>
            <w:gridSpan w:val="3"/>
            <w:shd w:val="clear" w:color="auto" w:fill="auto"/>
            <w:vAlign w:val="center"/>
          </w:tcPr>
          <w:p w14:paraId="5C68640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擅自拆除、迁移、改建、停用环卫设施</w:t>
            </w:r>
          </w:p>
        </w:tc>
        <w:tc>
          <w:tcPr>
            <w:tcW w:w="2789" w:type="dxa"/>
            <w:gridSpan w:val="2"/>
            <w:shd w:val="clear" w:color="auto" w:fill="auto"/>
            <w:vAlign w:val="center"/>
          </w:tcPr>
          <w:p w14:paraId="5AB105B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14:paraId="23DE8CD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14:paraId="5A78AFB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032ECD2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132C13C">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拆除、迁移、改建、停用车站、机场、居民小区、医院、学校、体育场馆、影剧院、繁华商业街区、旅游景区等人口集中地区环卫设施的，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0B8EC7A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114E03BF">
            <w:pP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14:paraId="4EBCD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09" w:hRule="atLeast"/>
          <w:jc w:val="center"/>
        </w:trPr>
        <w:tc>
          <w:tcPr>
            <w:tcW w:w="610" w:type="dxa"/>
            <w:shd w:val="clear" w:color="auto" w:fill="auto"/>
            <w:vAlign w:val="center"/>
          </w:tcPr>
          <w:p w14:paraId="426A966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56</w:t>
            </w:r>
          </w:p>
        </w:tc>
        <w:tc>
          <w:tcPr>
            <w:tcW w:w="1830" w:type="dxa"/>
            <w:gridSpan w:val="3"/>
            <w:shd w:val="clear" w:color="auto" w:fill="auto"/>
            <w:vAlign w:val="center"/>
          </w:tcPr>
          <w:p w14:paraId="522EB7B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擅自改变环卫设施用途</w:t>
            </w:r>
          </w:p>
        </w:tc>
        <w:tc>
          <w:tcPr>
            <w:tcW w:w="2789" w:type="dxa"/>
            <w:gridSpan w:val="2"/>
            <w:shd w:val="clear" w:color="auto" w:fill="auto"/>
            <w:vAlign w:val="center"/>
          </w:tcPr>
          <w:p w14:paraId="5E95B10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14:paraId="6483AA4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14:paraId="67331E2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005AFF2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C7B60C1">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擅自改变车站、机场、居民小区、医院、学校、体育场馆、影剧院、繁华商业街区、旅游景区等人口集中地区环卫设施的，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US"/>
              </w:rPr>
              <w:t>存在基准2.1.3规定情形的，系数按照相关规定确定</w:t>
            </w:r>
            <w:r>
              <w:rPr>
                <w:rFonts w:hint="eastAsia" w:cs="宋体" w:asciiTheme="minorEastAsia" w:hAnsiTheme="minorEastAsia" w:eastAsiaTheme="minorEastAsia"/>
                <w:color w:val="auto"/>
                <w:kern w:val="0"/>
                <w:sz w:val="15"/>
                <w:szCs w:val="15"/>
                <w:highlight w:val="none"/>
              </w:rPr>
              <w:t>。</w:t>
            </w:r>
          </w:p>
        </w:tc>
        <w:tc>
          <w:tcPr>
            <w:tcW w:w="1875" w:type="dxa"/>
            <w:gridSpan w:val="2"/>
            <w:shd w:val="clear" w:color="auto" w:fill="auto"/>
            <w:vAlign w:val="center"/>
          </w:tcPr>
          <w:p w14:paraId="7AFED8B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E0DFEB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14:paraId="74F19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30" w:hRule="atLeast"/>
          <w:jc w:val="center"/>
        </w:trPr>
        <w:tc>
          <w:tcPr>
            <w:tcW w:w="14203" w:type="dxa"/>
            <w:gridSpan w:val="13"/>
            <w:shd w:val="clear" w:color="auto" w:fill="auto"/>
            <w:vAlign w:val="center"/>
          </w:tcPr>
          <w:p w14:paraId="31BD43E2">
            <w:pPr>
              <w:pStyle w:val="3"/>
              <w:widowControl w:val="0"/>
              <w:spacing w:line="232" w:lineRule="exact"/>
              <w:jc w:val="center"/>
              <w:rPr>
                <w:rFonts w:asciiTheme="minorEastAsia" w:hAnsiTheme="minorEastAsia" w:eastAsiaTheme="minorEastAsia"/>
                <w:color w:val="auto"/>
                <w:sz w:val="15"/>
                <w:szCs w:val="15"/>
                <w:highlight w:val="none"/>
              </w:rPr>
            </w:pPr>
            <w:bookmarkStart w:id="7" w:name="_Toc1542301765"/>
            <w:bookmarkStart w:id="8" w:name="_Toc110851437"/>
            <w:bookmarkStart w:id="9" w:name="_Toc1020847667"/>
            <w:r>
              <w:rPr>
                <w:rFonts w:hint="eastAsia" w:asciiTheme="minorEastAsia" w:hAnsiTheme="minorEastAsia" w:eastAsiaTheme="minorEastAsia"/>
                <w:color w:val="auto"/>
                <w:sz w:val="21"/>
                <w:szCs w:val="21"/>
                <w:highlight w:val="none"/>
              </w:rPr>
              <w:t>《北京市生活垃圾管理条例》案由</w:t>
            </w:r>
            <w:r>
              <w:rPr>
                <w:rFonts w:asciiTheme="minorEastAsia" w:hAnsiTheme="minorEastAsia" w:eastAsiaTheme="minorEastAsia"/>
                <w:color w:val="auto"/>
                <w:sz w:val="21"/>
                <w:szCs w:val="21"/>
                <w:highlight w:val="none"/>
              </w:rPr>
              <w:t>36</w:t>
            </w:r>
            <w:r>
              <w:rPr>
                <w:rFonts w:hint="eastAsia" w:asciiTheme="minorEastAsia" w:hAnsiTheme="minorEastAsia" w:eastAsiaTheme="minorEastAsia"/>
                <w:color w:val="auto"/>
                <w:sz w:val="21"/>
                <w:szCs w:val="21"/>
                <w:highlight w:val="none"/>
              </w:rPr>
              <w:t>项</w:t>
            </w:r>
            <w:bookmarkEnd w:id="7"/>
            <w:bookmarkEnd w:id="8"/>
            <w:bookmarkEnd w:id="9"/>
          </w:p>
        </w:tc>
      </w:tr>
      <w:tr w14:paraId="7CAAD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15" w:hRule="atLeast"/>
          <w:jc w:val="center"/>
        </w:trPr>
        <w:tc>
          <w:tcPr>
            <w:tcW w:w="610" w:type="dxa"/>
            <w:vMerge w:val="restart"/>
            <w:shd w:val="clear" w:color="auto" w:fill="auto"/>
            <w:vAlign w:val="center"/>
          </w:tcPr>
          <w:p w14:paraId="0FE1A92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14:paraId="49C07827">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主动向消费者提供一次性用品</w:t>
            </w:r>
          </w:p>
        </w:tc>
        <w:tc>
          <w:tcPr>
            <w:tcW w:w="2789" w:type="dxa"/>
            <w:gridSpan w:val="2"/>
            <w:vMerge w:val="restart"/>
            <w:shd w:val="clear" w:color="auto" w:fill="auto"/>
            <w:vAlign w:val="center"/>
          </w:tcPr>
          <w:p w14:paraId="0DA10C2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shd w:val="clear" w:color="auto" w:fill="auto"/>
            <w:vAlign w:val="center"/>
          </w:tcPr>
          <w:p w14:paraId="269E9E8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5000（初次违反）</w:t>
            </w:r>
          </w:p>
        </w:tc>
        <w:tc>
          <w:tcPr>
            <w:tcW w:w="840" w:type="dxa"/>
            <w:shd w:val="clear" w:color="auto" w:fill="auto"/>
            <w:vAlign w:val="center"/>
          </w:tcPr>
          <w:p w14:paraId="440A03E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83F016E">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lang w:eastAsia="zh-CN"/>
              </w:rPr>
              <w:t>造成不良社会影响的，系数</w:t>
            </w:r>
            <w:r>
              <w:rPr>
                <w:rFonts w:hint="eastAsia" w:asciiTheme="minorEastAsia" w:hAnsiTheme="minorEastAsia" w:eastAsiaTheme="minorEastAsia"/>
                <w:color w:val="auto"/>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14:paraId="411C145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16009D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初次违反适用此情形。</w:t>
            </w:r>
          </w:p>
        </w:tc>
      </w:tr>
      <w:tr w14:paraId="450C4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81" w:hRule="atLeast"/>
          <w:jc w:val="center"/>
        </w:trPr>
        <w:tc>
          <w:tcPr>
            <w:tcW w:w="610" w:type="dxa"/>
            <w:vMerge w:val="continue"/>
            <w:shd w:val="clear" w:color="auto" w:fill="auto"/>
            <w:vAlign w:val="center"/>
          </w:tcPr>
          <w:p w14:paraId="7977BF88">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23A7B445">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4CBC190E">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1417DB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10000（再次违反）</w:t>
            </w:r>
          </w:p>
        </w:tc>
        <w:tc>
          <w:tcPr>
            <w:tcW w:w="840" w:type="dxa"/>
            <w:shd w:val="clear" w:color="auto" w:fill="auto"/>
            <w:vAlign w:val="center"/>
          </w:tcPr>
          <w:p w14:paraId="566A0C1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5FF4FAF">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lang w:eastAsia="zh-CN"/>
              </w:rPr>
              <w:t>造成不良社会影响的，系数</w:t>
            </w:r>
            <w:r>
              <w:rPr>
                <w:rFonts w:hint="eastAsia" w:asciiTheme="minorEastAsia" w:hAnsiTheme="minorEastAsia" w:eastAsiaTheme="minorEastAsia"/>
                <w:color w:val="auto"/>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14:paraId="766D60F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3FCA646">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一年度内</w:t>
            </w:r>
            <w:r>
              <w:rPr>
                <w:rFonts w:hint="eastAsia" w:cs="宋体" w:asciiTheme="minorEastAsia" w:hAnsiTheme="minorEastAsia" w:eastAsiaTheme="minorEastAsia"/>
                <w:color w:val="auto"/>
                <w:kern w:val="0"/>
                <w:sz w:val="15"/>
                <w:szCs w:val="15"/>
                <w:highlight w:val="none"/>
                <w:lang w:eastAsia="zh-CN"/>
              </w:rPr>
              <w:t>因</w:t>
            </w:r>
            <w:r>
              <w:rPr>
                <w:rFonts w:hint="eastAsia" w:cs="宋体" w:asciiTheme="minorEastAsia" w:hAnsiTheme="minorEastAsia" w:eastAsiaTheme="minorEastAsia"/>
                <w:color w:val="auto"/>
                <w:kern w:val="0"/>
                <w:sz w:val="15"/>
                <w:szCs w:val="15"/>
                <w:highlight w:val="none"/>
              </w:rPr>
              <w:t>同类性质违法行为</w:t>
            </w:r>
            <w:r>
              <w:rPr>
                <w:rFonts w:hint="eastAsia" w:cs="宋体" w:asciiTheme="minorEastAsia" w:hAnsiTheme="minorEastAsia" w:eastAsiaTheme="minorEastAsia"/>
                <w:color w:val="auto"/>
                <w:kern w:val="0"/>
                <w:sz w:val="15"/>
                <w:szCs w:val="15"/>
                <w:highlight w:val="none"/>
                <w:lang w:eastAsia="zh-CN"/>
              </w:rPr>
              <w:t>再次</w:t>
            </w:r>
            <w:r>
              <w:rPr>
                <w:rFonts w:hint="eastAsia" w:cs="宋体" w:asciiTheme="minorEastAsia" w:hAnsiTheme="minorEastAsia" w:eastAsiaTheme="minorEastAsia"/>
                <w:color w:val="auto"/>
                <w:kern w:val="0"/>
                <w:sz w:val="15"/>
                <w:szCs w:val="15"/>
                <w:highlight w:val="none"/>
              </w:rPr>
              <w:t>受到书面告诫或者处罚的</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不适用本案由。</w:t>
            </w:r>
          </w:p>
        </w:tc>
      </w:tr>
      <w:tr w14:paraId="180CA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54" w:hRule="atLeast"/>
          <w:jc w:val="center"/>
        </w:trPr>
        <w:tc>
          <w:tcPr>
            <w:tcW w:w="610" w:type="dxa"/>
            <w:vMerge w:val="restart"/>
            <w:shd w:val="clear" w:color="auto" w:fill="auto"/>
            <w:vAlign w:val="center"/>
          </w:tcPr>
          <w:p w14:paraId="3D5B1E2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vMerge w:val="restart"/>
            <w:shd w:val="clear" w:color="auto" w:fill="auto"/>
            <w:vAlign w:val="center"/>
          </w:tcPr>
          <w:p w14:paraId="3FF87CC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未将生活垃圾分别投入相应标识的收集容器</w:t>
            </w:r>
          </w:p>
        </w:tc>
        <w:tc>
          <w:tcPr>
            <w:tcW w:w="2789" w:type="dxa"/>
            <w:gridSpan w:val="2"/>
            <w:shd w:val="clear" w:color="auto" w:fill="auto"/>
            <w:vAlign w:val="center"/>
          </w:tcPr>
          <w:p w14:paraId="52D68DF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shd w:val="clear" w:color="auto" w:fill="auto"/>
            <w:vAlign w:val="center"/>
          </w:tcPr>
          <w:p w14:paraId="3D7B7074">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5ACBE04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（单位情节严重的）</w:t>
            </w:r>
          </w:p>
        </w:tc>
        <w:tc>
          <w:tcPr>
            <w:tcW w:w="840" w:type="dxa"/>
            <w:shd w:val="clear" w:color="auto" w:fill="auto"/>
            <w:vAlign w:val="center"/>
          </w:tcPr>
          <w:p w14:paraId="1D9C303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DAB3534">
            <w:pPr>
              <w:spacing w:line="220" w:lineRule="exact"/>
              <w:rPr>
                <w:rFonts w:hint="eastAsia" w:asciiTheme="minorEastAsia" w:hAnsiTheme="minorEastAsia" w:eastAsiaTheme="minorEastAsia"/>
                <w:b/>
                <w:color w:val="auto"/>
                <w:sz w:val="15"/>
                <w:szCs w:val="15"/>
                <w:highlight w:val="none"/>
                <w:lang w:eastAsia="zh-CN"/>
              </w:rPr>
            </w:pPr>
            <w:r>
              <w:rPr>
                <w:rFonts w:hint="eastAsia" w:asciiTheme="minorEastAsia" w:hAnsiTheme="minorEastAsia" w:eastAsiaTheme="minorEastAsia"/>
                <w:color w:val="auto"/>
                <w:sz w:val="15"/>
                <w:szCs w:val="15"/>
                <w:highlight w:val="none"/>
              </w:rPr>
              <w:t>1.可回收物</w:t>
            </w:r>
            <w:r>
              <w:rPr>
                <w:rFonts w:hint="eastAsia" w:asciiTheme="minorEastAsia" w:hAnsiTheme="minorEastAsia" w:eastAsiaTheme="minorEastAsia"/>
                <w:color w:val="auto"/>
                <w:sz w:val="15"/>
                <w:szCs w:val="15"/>
                <w:highlight w:val="none"/>
                <w:lang w:eastAsia="zh-CN"/>
              </w:rPr>
              <w:t>未</w:t>
            </w:r>
            <w:r>
              <w:rPr>
                <w:rFonts w:hint="eastAsia" w:asciiTheme="minorEastAsia" w:hAnsiTheme="minorEastAsia" w:eastAsiaTheme="minorEastAsia"/>
                <w:b w:val="0"/>
                <w:bCs w:val="0"/>
                <w:color w:val="auto"/>
                <w:sz w:val="15"/>
                <w:szCs w:val="15"/>
                <w:highlight w:val="none"/>
              </w:rPr>
              <w:t>投入</w:t>
            </w:r>
            <w:r>
              <w:rPr>
                <w:rFonts w:hint="eastAsia" w:asciiTheme="minorEastAsia" w:hAnsiTheme="minorEastAsia" w:eastAsiaTheme="minorEastAsia"/>
                <w:b w:val="0"/>
                <w:bCs w:val="0"/>
                <w:strike w:val="0"/>
                <w:dstrike w:val="0"/>
                <w:color w:val="auto"/>
                <w:sz w:val="15"/>
                <w:szCs w:val="15"/>
                <w:highlight w:val="none"/>
                <w:lang w:eastAsia="zh-CN"/>
              </w:rPr>
              <w:t>相对应</w:t>
            </w:r>
            <w:r>
              <w:rPr>
                <w:rFonts w:hint="eastAsia" w:asciiTheme="minorEastAsia" w:hAnsiTheme="minorEastAsia" w:eastAsiaTheme="minorEastAsia"/>
                <w:b w:val="0"/>
                <w:bCs w:val="0"/>
                <w:color w:val="auto"/>
                <w:sz w:val="15"/>
                <w:szCs w:val="15"/>
                <w:highlight w:val="none"/>
              </w:rPr>
              <w:t>标识的收集容器</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0</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strike w:val="0"/>
                <w:dstrike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；2.其他垃圾</w:t>
            </w:r>
            <w:r>
              <w:rPr>
                <w:rFonts w:hint="eastAsia" w:asciiTheme="minorEastAsia" w:hAnsiTheme="minorEastAsia" w:eastAsiaTheme="minorEastAsia"/>
                <w:b w:val="0"/>
                <w:bCs w:val="0"/>
                <w:color w:val="auto"/>
                <w:sz w:val="15"/>
                <w:szCs w:val="15"/>
                <w:highlight w:val="none"/>
                <w:lang w:eastAsia="zh-CN"/>
              </w:rPr>
              <w:t>未</w:t>
            </w:r>
            <w:r>
              <w:rPr>
                <w:rFonts w:hint="eastAsia" w:asciiTheme="minorEastAsia" w:hAnsiTheme="minorEastAsia" w:eastAsiaTheme="minorEastAsia"/>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Theme="minorEastAsia" w:hAnsiTheme="minorEastAsia" w:eastAsiaTheme="minorEastAsia"/>
                <w:b w:val="0"/>
                <w:bCs w:val="0"/>
                <w:color w:val="auto"/>
                <w:sz w:val="15"/>
                <w:szCs w:val="15"/>
                <w:highlight w:val="none"/>
              </w:rPr>
              <w:t>标识的收集容器</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0</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strike w:val="0"/>
                <w:dstrike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；3.厨余垃圾</w:t>
            </w:r>
            <w:r>
              <w:rPr>
                <w:rFonts w:hint="eastAsia" w:asciiTheme="minorEastAsia" w:hAnsiTheme="minorEastAsia" w:eastAsiaTheme="minorEastAsia"/>
                <w:b w:val="0"/>
                <w:bCs w:val="0"/>
                <w:color w:val="auto"/>
                <w:sz w:val="15"/>
                <w:szCs w:val="15"/>
                <w:highlight w:val="none"/>
                <w:lang w:eastAsia="zh-CN"/>
              </w:rPr>
              <w:t>未</w:t>
            </w:r>
            <w:r>
              <w:rPr>
                <w:rFonts w:hint="eastAsia" w:asciiTheme="minorEastAsia" w:hAnsiTheme="minorEastAsia" w:eastAsiaTheme="minorEastAsia"/>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Theme="minorEastAsia" w:hAnsiTheme="minorEastAsia" w:eastAsiaTheme="minorEastAsia"/>
                <w:b w:val="0"/>
                <w:bCs w:val="0"/>
                <w:color w:val="auto"/>
                <w:sz w:val="15"/>
                <w:szCs w:val="15"/>
                <w:highlight w:val="none"/>
              </w:rPr>
              <w:t>标识的收集容器</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1-</w:t>
            </w:r>
            <w:r>
              <w:rPr>
                <w:rFonts w:hint="eastAsia" w:asciiTheme="minorEastAsia" w:hAnsiTheme="minorEastAsia" w:eastAsiaTheme="minorEastAsia"/>
                <w:b w:val="0"/>
                <w:bCs w:val="0"/>
                <w:color w:val="auto"/>
                <w:sz w:val="15"/>
                <w:szCs w:val="15"/>
                <w:highlight w:val="none"/>
                <w:lang w:val="en-US" w:eastAsia="zh-CN"/>
              </w:rPr>
              <w:t xml:space="preserve"> 2</w:t>
            </w:r>
            <w:r>
              <w:rPr>
                <w:rFonts w:hint="eastAsia" w:asciiTheme="minorEastAsia" w:hAnsiTheme="minorEastAsia" w:eastAsiaTheme="minorEastAsia"/>
                <w:b w:val="0"/>
                <w:bCs w:val="0"/>
                <w:color w:val="auto"/>
                <w:sz w:val="15"/>
                <w:szCs w:val="15"/>
                <w:highlight w:val="none"/>
              </w:rPr>
              <w:t>；4.有害垃圾</w:t>
            </w:r>
            <w:r>
              <w:rPr>
                <w:rFonts w:hint="eastAsia" w:asciiTheme="minorEastAsia" w:hAnsiTheme="minorEastAsia" w:eastAsiaTheme="minorEastAsia"/>
                <w:b w:val="0"/>
                <w:bCs w:val="0"/>
                <w:color w:val="auto"/>
                <w:sz w:val="15"/>
                <w:szCs w:val="15"/>
                <w:highlight w:val="none"/>
                <w:lang w:eastAsia="zh-CN"/>
              </w:rPr>
              <w:t>未</w:t>
            </w:r>
            <w:r>
              <w:rPr>
                <w:rFonts w:hint="eastAsia" w:asciiTheme="minorEastAsia" w:hAnsiTheme="minorEastAsia" w:eastAsiaTheme="minorEastAsia"/>
                <w:b w:val="0"/>
                <w:bCs w:val="0"/>
                <w:color w:val="auto"/>
                <w:sz w:val="15"/>
                <w:szCs w:val="15"/>
                <w:highlight w:val="none"/>
              </w:rPr>
              <w:t>投入</w:t>
            </w:r>
            <w:r>
              <w:rPr>
                <w:rFonts w:hint="eastAsia" w:ascii="宋体" w:hAnsi="宋体"/>
                <w:b w:val="0"/>
                <w:bCs w:val="0"/>
                <w:color w:val="auto"/>
                <w:sz w:val="15"/>
                <w:szCs w:val="15"/>
                <w:highlight w:val="none"/>
                <w:lang w:eastAsia="zh-CN"/>
              </w:rPr>
              <w:t>相对应</w:t>
            </w:r>
            <w:r>
              <w:rPr>
                <w:rFonts w:hint="eastAsia" w:asciiTheme="minorEastAsia" w:hAnsiTheme="minorEastAsia" w:eastAsiaTheme="minorEastAsia"/>
                <w:b w:val="0"/>
                <w:bCs w:val="0"/>
                <w:color w:val="auto"/>
                <w:sz w:val="15"/>
                <w:szCs w:val="15"/>
                <w:highlight w:val="none"/>
              </w:rPr>
              <w:t>标识的收集容器</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2-3</w:t>
            </w:r>
            <w:r>
              <w:rPr>
                <w:rFonts w:hint="eastAsia"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5</w:t>
            </w:r>
            <w:r>
              <w:rPr>
                <w:rFonts w:hint="default"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color w:val="auto"/>
                <w:sz w:val="15"/>
                <w:szCs w:val="15"/>
                <w:highlight w:val="none"/>
              </w:rPr>
              <w:t>造成环境秩序较严重影响的，</w:t>
            </w:r>
            <w:r>
              <w:rPr>
                <w:rFonts w:hint="eastAsia" w:asciiTheme="minorEastAsia" w:hAnsiTheme="minorEastAsia" w:eastAsiaTheme="minorEastAsia"/>
                <w:color w:val="auto"/>
                <w:sz w:val="15"/>
                <w:szCs w:val="15"/>
                <w:highlight w:val="none"/>
                <w:lang w:eastAsia="zh-CN"/>
              </w:rPr>
              <w:t>系数</w:t>
            </w:r>
            <w:r>
              <w:rPr>
                <w:rFonts w:hint="default" w:asciiTheme="minorEastAsia" w:hAnsiTheme="minorEastAsia" w:eastAsiaTheme="minorEastAsia"/>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6.存在基准2.1.3规定情形的，</w:t>
            </w:r>
            <w:r>
              <w:rPr>
                <w:rFonts w:hint="eastAsia" w:cs="宋体" w:asciiTheme="minorEastAsia" w:hAnsiTheme="minorEastAsia" w:eastAsiaTheme="minorEastAsia"/>
                <w:color w:val="auto"/>
                <w:kern w:val="0"/>
                <w:sz w:val="15"/>
                <w:szCs w:val="15"/>
                <w:highlight w:val="none"/>
                <w:lang w:val="en-US" w:eastAsia="zh-CN"/>
              </w:rPr>
              <w:t>系数按照相关规定确定（基准2.1.3.5不适用）。</w:t>
            </w:r>
          </w:p>
        </w:tc>
        <w:tc>
          <w:tcPr>
            <w:tcW w:w="1875" w:type="dxa"/>
            <w:gridSpan w:val="2"/>
            <w:shd w:val="clear" w:color="auto" w:fill="auto"/>
            <w:vAlign w:val="center"/>
          </w:tcPr>
          <w:p w14:paraId="05CAF5E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189E8C2F">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拒不改正或者</w:t>
            </w:r>
            <w:r>
              <w:rPr>
                <w:rFonts w:hint="eastAsia" w:asciiTheme="minorEastAsia" w:hAnsiTheme="minorEastAsia" w:eastAsiaTheme="minorEastAsia"/>
                <w:color w:val="auto"/>
                <w:sz w:val="15"/>
                <w:szCs w:val="15"/>
                <w:highlight w:val="none"/>
              </w:rPr>
              <w:t>再次违反规定</w:t>
            </w:r>
            <w:r>
              <w:rPr>
                <w:rFonts w:hint="eastAsia" w:asciiTheme="minorEastAsia" w:hAnsiTheme="minorEastAsia" w:eastAsiaTheme="minorEastAsia"/>
                <w:color w:val="auto"/>
                <w:sz w:val="15"/>
                <w:szCs w:val="15"/>
                <w:highlight w:val="none"/>
                <w:lang w:eastAsia="zh-CN"/>
              </w:rPr>
              <w:t>的，视为情节严重。</w:t>
            </w:r>
          </w:p>
        </w:tc>
      </w:tr>
      <w:tr w14:paraId="5FEF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61" w:hRule="atLeast"/>
          <w:jc w:val="center"/>
        </w:trPr>
        <w:tc>
          <w:tcPr>
            <w:tcW w:w="610" w:type="dxa"/>
            <w:vMerge w:val="continue"/>
            <w:shd w:val="clear" w:color="auto" w:fill="auto"/>
            <w:vAlign w:val="center"/>
          </w:tcPr>
          <w:p w14:paraId="56EDDC31">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6F9A6016">
            <w:pPr>
              <w:spacing w:line="232" w:lineRule="exact"/>
              <w:rPr>
                <w:rFonts w:asciiTheme="minorEastAsia" w:hAnsiTheme="minorEastAsia" w:eastAsiaTheme="minorEastAsia"/>
                <w:color w:val="auto"/>
                <w:sz w:val="15"/>
                <w:szCs w:val="15"/>
                <w:highlight w:val="none"/>
              </w:rPr>
            </w:pPr>
          </w:p>
        </w:tc>
        <w:tc>
          <w:tcPr>
            <w:tcW w:w="2789" w:type="dxa"/>
            <w:gridSpan w:val="2"/>
            <w:vMerge w:val="restart"/>
            <w:shd w:val="clear" w:color="auto" w:fill="auto"/>
            <w:vAlign w:val="center"/>
          </w:tcPr>
          <w:p w14:paraId="6FD13B0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shd w:val="clear" w:color="auto" w:fill="auto"/>
            <w:vAlign w:val="center"/>
          </w:tcPr>
          <w:p w14:paraId="012C12CC">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w:t>
            </w:r>
          </w:p>
          <w:p w14:paraId="6A0B34F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（个人初次违反）</w:t>
            </w:r>
          </w:p>
        </w:tc>
        <w:tc>
          <w:tcPr>
            <w:tcW w:w="840" w:type="dxa"/>
            <w:shd w:val="clear" w:color="auto" w:fill="auto"/>
            <w:vAlign w:val="center"/>
          </w:tcPr>
          <w:p w14:paraId="4D667A19">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6D6F36AA">
            <w:pPr>
              <w:spacing w:line="220" w:lineRule="exact"/>
              <w:rPr>
                <w:rFonts w:hint="eastAsia" w:asciiTheme="minorEastAsia" w:hAnsiTheme="minorEastAsia" w:eastAsiaTheme="minorEastAsia"/>
                <w:color w:val="auto"/>
                <w:sz w:val="15"/>
                <w:szCs w:val="15"/>
                <w:highlight w:val="none"/>
                <w:lang w:eastAsia="zh-CN"/>
              </w:rPr>
            </w:pPr>
          </w:p>
        </w:tc>
        <w:tc>
          <w:tcPr>
            <w:tcW w:w="1875" w:type="dxa"/>
            <w:gridSpan w:val="2"/>
            <w:shd w:val="clear" w:color="auto" w:fill="auto"/>
            <w:vAlign w:val="center"/>
          </w:tcPr>
          <w:p w14:paraId="5BAD09E4">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restart"/>
            <w:shd w:val="clear" w:color="auto" w:fill="auto"/>
            <w:vAlign w:val="center"/>
          </w:tcPr>
          <w:p w14:paraId="062B7B02">
            <w:pPr>
              <w:numPr>
                <w:ilvl w:val="0"/>
                <w:numId w:val="0"/>
              </w:num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个人拒不听从生活垃圾分类管理责任人劝阻，且拒不改正的，进行书面警告。</w:t>
            </w:r>
          </w:p>
          <w:p w14:paraId="2CBD1456">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2.个人自愿参加生活垃圾分类等社区服务活动的，不予行政处罚。</w:t>
            </w:r>
          </w:p>
        </w:tc>
      </w:tr>
      <w:tr w14:paraId="21294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24" w:hRule="atLeast"/>
          <w:jc w:val="center"/>
        </w:trPr>
        <w:tc>
          <w:tcPr>
            <w:tcW w:w="610" w:type="dxa"/>
            <w:vMerge w:val="continue"/>
            <w:shd w:val="clear" w:color="auto" w:fill="auto"/>
            <w:vAlign w:val="center"/>
          </w:tcPr>
          <w:p w14:paraId="53EEB515">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30E665E0">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2CB46A4F">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137D702F">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p w14:paraId="0D33FB4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（个人再次违反）</w:t>
            </w:r>
          </w:p>
        </w:tc>
        <w:tc>
          <w:tcPr>
            <w:tcW w:w="840" w:type="dxa"/>
            <w:shd w:val="clear" w:color="auto" w:fill="auto"/>
            <w:vAlign w:val="center"/>
          </w:tcPr>
          <w:p w14:paraId="2F0783E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DE5732B">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1.可回收物未投入相</w:t>
            </w:r>
            <w:r>
              <w:rPr>
                <w:rFonts w:hint="eastAsia" w:asciiTheme="minorEastAsia" w:hAnsiTheme="minorEastAsia" w:eastAsiaTheme="minorEastAsia"/>
                <w:color w:val="auto"/>
                <w:sz w:val="15"/>
                <w:szCs w:val="15"/>
                <w:highlight w:val="none"/>
                <w:lang w:eastAsia="zh-CN"/>
              </w:rPr>
              <w:t>对</w:t>
            </w:r>
            <w:r>
              <w:rPr>
                <w:rFonts w:hint="eastAsia" w:asciiTheme="minorEastAsia" w:hAnsiTheme="minorEastAsia" w:eastAsiaTheme="minorEastAsia"/>
                <w:color w:val="auto"/>
                <w:sz w:val="15"/>
                <w:szCs w:val="15"/>
                <w:highlight w:val="none"/>
              </w:rPr>
              <w:t>应标识的收集容器</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w:t>
            </w:r>
            <w:r>
              <w:rPr>
                <w:rFonts w:hint="eastAsia" w:asciiTheme="minorEastAsia" w:hAnsiTheme="minorEastAsia" w:eastAsiaTheme="minorEastAsia"/>
                <w:color w:val="auto"/>
                <w:sz w:val="15"/>
                <w:szCs w:val="15"/>
                <w:highlight w:val="none"/>
                <w:lang w:eastAsia="zh-CN"/>
              </w:rPr>
              <w:t>对</w:t>
            </w:r>
            <w:r>
              <w:rPr>
                <w:rFonts w:hint="eastAsia" w:asciiTheme="minorEastAsia" w:hAnsiTheme="minorEastAsia" w:eastAsiaTheme="minorEastAsia"/>
                <w:color w:val="auto"/>
                <w:sz w:val="15"/>
                <w:szCs w:val="15"/>
                <w:highlight w:val="none"/>
              </w:rPr>
              <w:t>应标识的收集容器</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0-3；3.厨余垃圾未投入相</w:t>
            </w:r>
            <w:r>
              <w:rPr>
                <w:rFonts w:hint="eastAsia" w:asciiTheme="minorEastAsia" w:hAnsiTheme="minorEastAsia" w:eastAsiaTheme="minorEastAsia"/>
                <w:color w:val="auto"/>
                <w:sz w:val="15"/>
                <w:szCs w:val="15"/>
                <w:highlight w:val="none"/>
                <w:lang w:eastAsia="zh-CN"/>
              </w:rPr>
              <w:t>对</w:t>
            </w:r>
            <w:r>
              <w:rPr>
                <w:rFonts w:hint="eastAsia" w:asciiTheme="minorEastAsia" w:hAnsiTheme="minorEastAsia" w:eastAsiaTheme="minorEastAsia"/>
                <w:color w:val="auto"/>
                <w:sz w:val="15"/>
                <w:szCs w:val="15"/>
                <w:highlight w:val="none"/>
              </w:rPr>
              <w:t>应标识的收集容器</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asciiTheme="minorEastAsia" w:hAnsiTheme="minorEastAsia" w:eastAsiaTheme="minorEastAsia"/>
                <w:color w:val="auto"/>
                <w:spacing w:val="-4"/>
                <w:sz w:val="15"/>
                <w:szCs w:val="15"/>
                <w:highlight w:val="none"/>
              </w:rPr>
              <w:t>.</w:t>
            </w:r>
            <w:r>
              <w:rPr>
                <w:rFonts w:hint="eastAsia" w:asciiTheme="minorEastAsia" w:hAnsiTheme="minorEastAsia" w:eastAsiaTheme="minorEastAsia"/>
                <w:color w:val="auto"/>
                <w:spacing w:val="-4"/>
                <w:sz w:val="15"/>
                <w:szCs w:val="15"/>
                <w:highlight w:val="none"/>
              </w:rPr>
              <w:t>有害垃圾未投入相</w:t>
            </w:r>
            <w:r>
              <w:rPr>
                <w:rFonts w:hint="eastAsia" w:asciiTheme="minorEastAsia" w:hAnsiTheme="minorEastAsia" w:eastAsiaTheme="minorEastAsia"/>
                <w:color w:val="auto"/>
                <w:spacing w:val="-4"/>
                <w:sz w:val="15"/>
                <w:szCs w:val="15"/>
                <w:highlight w:val="none"/>
                <w:lang w:eastAsia="zh-CN"/>
              </w:rPr>
              <w:t>对</w:t>
            </w:r>
            <w:r>
              <w:rPr>
                <w:rFonts w:hint="eastAsia" w:asciiTheme="minorEastAsia" w:hAnsiTheme="minorEastAsia" w:eastAsiaTheme="minorEastAsia"/>
                <w:color w:val="auto"/>
                <w:spacing w:val="-4"/>
                <w:sz w:val="15"/>
                <w:szCs w:val="15"/>
                <w:highlight w:val="none"/>
              </w:rPr>
              <w:t>应标识的收集容器</w:t>
            </w:r>
            <w:r>
              <w:rPr>
                <w:rFonts w:hint="eastAsia" w:asciiTheme="minorEastAsia" w:hAnsiTheme="minorEastAsia" w:eastAsiaTheme="minorEastAsia"/>
                <w:color w:val="auto"/>
                <w:spacing w:val="-4"/>
                <w:sz w:val="15"/>
                <w:szCs w:val="15"/>
                <w:highlight w:val="none"/>
                <w:lang w:eastAsia="zh-CN"/>
              </w:rPr>
              <w:t>系数</w:t>
            </w:r>
            <w:r>
              <w:rPr>
                <w:rFonts w:hint="eastAsia" w:asciiTheme="minorEastAsia" w:hAnsiTheme="minorEastAsia" w:eastAsiaTheme="minorEastAsia"/>
                <w:color w:val="auto"/>
                <w:spacing w:val="-4"/>
                <w:sz w:val="15"/>
                <w:szCs w:val="15"/>
                <w:highlight w:val="none"/>
              </w:rPr>
              <w:t>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pacing w:val="-4"/>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5.存在基准2.1.3规定情形的，系数按照相关规定确定（基准2.1.3.5不适用）。</w:t>
            </w:r>
          </w:p>
        </w:tc>
        <w:tc>
          <w:tcPr>
            <w:tcW w:w="1875" w:type="dxa"/>
            <w:gridSpan w:val="2"/>
            <w:shd w:val="clear" w:color="auto" w:fill="auto"/>
            <w:vAlign w:val="center"/>
          </w:tcPr>
          <w:p w14:paraId="36C5C82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14:paraId="35DCCD13">
            <w:pPr>
              <w:spacing w:line="232" w:lineRule="exact"/>
              <w:rPr>
                <w:rFonts w:cs="宋体" w:asciiTheme="minorEastAsia" w:hAnsiTheme="minorEastAsia" w:eastAsiaTheme="minorEastAsia"/>
                <w:color w:val="auto"/>
                <w:kern w:val="0"/>
                <w:sz w:val="15"/>
                <w:szCs w:val="15"/>
                <w:highlight w:val="none"/>
              </w:rPr>
            </w:pPr>
          </w:p>
        </w:tc>
      </w:tr>
      <w:tr w14:paraId="4549D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179" w:hRule="atLeast"/>
          <w:jc w:val="center"/>
        </w:trPr>
        <w:tc>
          <w:tcPr>
            <w:tcW w:w="610" w:type="dxa"/>
            <w:vMerge w:val="restart"/>
            <w:tcBorders>
              <w:left w:val="single" w:color="auto" w:sz="4" w:space="0"/>
              <w:right w:val="single" w:color="auto" w:sz="4" w:space="0"/>
            </w:tcBorders>
            <w:shd w:val="clear" w:color="auto" w:fill="auto"/>
            <w:vAlign w:val="center"/>
          </w:tcPr>
          <w:p w14:paraId="3B5ABD9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vMerge w:val="restart"/>
            <w:tcBorders>
              <w:left w:val="single" w:color="auto" w:sz="4" w:space="0"/>
              <w:right w:val="single" w:color="auto" w:sz="4" w:space="0"/>
            </w:tcBorders>
            <w:shd w:val="clear" w:color="auto" w:fill="auto"/>
            <w:vAlign w:val="center"/>
          </w:tcPr>
          <w:p w14:paraId="56FE8F7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体积较大的废弃物品未单独堆放</w:t>
            </w:r>
          </w:p>
        </w:tc>
        <w:tc>
          <w:tcPr>
            <w:tcW w:w="2789" w:type="dxa"/>
            <w:gridSpan w:val="2"/>
            <w:tcBorders>
              <w:left w:val="single" w:color="auto" w:sz="4" w:space="0"/>
              <w:bottom w:val="single" w:color="auto" w:sz="4" w:space="0"/>
              <w:right w:val="single" w:color="auto" w:sz="4" w:space="0"/>
            </w:tcBorders>
            <w:shd w:val="clear" w:color="auto" w:fill="auto"/>
            <w:vAlign w:val="center"/>
          </w:tcPr>
          <w:p w14:paraId="7B6E1B98">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7E5E67B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37D898C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14:paraId="0EE6FA54">
            <w:pPr>
              <w:numPr>
                <w:ilvl w:val="0"/>
                <w:numId w:val="0"/>
              </w:numPr>
              <w:spacing w:line="232" w:lineRule="exact"/>
              <w:jc w:val="lef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.占地面积在5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的，系数0；6－10</w:t>
            </w:r>
            <w:r>
              <w:rPr>
                <w:rFonts w:hint="eastAsia" w:cs="Batang" w:asciiTheme="minorEastAsia" w:hAnsiTheme="minorEastAsia" w:eastAsiaTheme="minorEastAsia"/>
                <w:color w:val="auto"/>
                <w:kern w:val="0"/>
                <w:sz w:val="15"/>
                <w:szCs w:val="15"/>
                <w:highlight w:val="none"/>
              </w:rPr>
              <w:t>㎡</w:t>
            </w:r>
            <w:r>
              <w:rPr>
                <w:rFonts w:hint="eastAsia" w:cs="Batang" w:asciiTheme="minorEastAsia" w:hAnsiTheme="minorEastAsia" w:eastAsiaTheme="minorEastAsia"/>
                <w:color w:val="auto"/>
                <w:kern w:val="0"/>
                <w:sz w:val="15"/>
                <w:szCs w:val="15"/>
                <w:highlight w:val="none"/>
                <w:lang w:eastAsia="zh-CN"/>
              </w:rPr>
              <w:t>的</w:t>
            </w:r>
            <w:r>
              <w:rPr>
                <w:rFonts w:hint="eastAsia" w:asciiTheme="minorEastAsia" w:hAnsiTheme="minorEastAsia" w:eastAsiaTheme="minorEastAsia" w:cstheme="minorEastAsia"/>
                <w:color w:val="auto"/>
                <w:kern w:val="0"/>
                <w:sz w:val="15"/>
                <w:szCs w:val="15"/>
                <w:highlight w:val="none"/>
              </w:rPr>
              <w:t>，系数1；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以此类推</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sz w:val="15"/>
                <w:szCs w:val="15"/>
                <w:highlight w:val="none"/>
                <w:lang w:eastAsia="zh-CN"/>
              </w:rPr>
              <w:t>面积</w:t>
            </w:r>
            <w:r>
              <w:rPr>
                <w:rFonts w:hint="eastAsia" w:asciiTheme="minorEastAsia" w:hAnsiTheme="minorEastAsia" w:eastAsiaTheme="minorEastAsia" w:cstheme="minorEastAsia"/>
                <w:color w:val="auto"/>
                <w:sz w:val="15"/>
                <w:szCs w:val="15"/>
                <w:highlight w:val="none"/>
                <w:lang w:val="en-US" w:eastAsia="zh-CN"/>
              </w:rPr>
              <w:t>46</w:t>
            </w:r>
            <w:r>
              <w:rPr>
                <w:rFonts w:hint="eastAsia" w:asciiTheme="minorEastAsia" w:hAnsiTheme="minorEastAsia" w:eastAsiaTheme="minorEastAsia" w:cstheme="minorEastAsia"/>
                <w:color w:val="auto"/>
                <w:sz w:val="15"/>
                <w:szCs w:val="15"/>
                <w:highlight w:val="none"/>
              </w:rPr>
              <w:t>㎡</w:t>
            </w:r>
            <w:r>
              <w:rPr>
                <w:rFonts w:hint="eastAsia" w:asciiTheme="minorEastAsia" w:hAnsiTheme="minorEastAsia" w:eastAsiaTheme="minorEastAsia" w:cstheme="minorEastAsia"/>
                <w:color w:val="auto"/>
                <w:sz w:val="15"/>
                <w:szCs w:val="15"/>
                <w:highlight w:val="none"/>
                <w:lang w:eastAsia="zh-CN"/>
              </w:rPr>
              <w:t>及以上的，系数</w:t>
            </w:r>
            <w:r>
              <w:rPr>
                <w:rFonts w:hint="eastAsia" w:asciiTheme="minorEastAsia" w:hAnsiTheme="minorEastAsia" w:eastAsiaTheme="minorEastAsia" w:cstheme="minorEastAsia"/>
                <w:color w:val="auto"/>
                <w:sz w:val="15"/>
                <w:szCs w:val="15"/>
                <w:highlight w:val="none"/>
                <w:lang w:val="en-US" w:eastAsia="zh-CN"/>
              </w:rPr>
              <w:t>9；</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堆放在城市道路、绿地、居住小区消防通道</w:t>
            </w:r>
            <w:r>
              <w:rPr>
                <w:rFonts w:hint="eastAsia" w:asciiTheme="minorEastAsia" w:hAnsiTheme="minorEastAsia" w:eastAsiaTheme="minorEastAsia" w:cstheme="minorEastAsia"/>
                <w:color w:val="auto"/>
                <w:sz w:val="15"/>
                <w:szCs w:val="15"/>
                <w:highlight w:val="none"/>
                <w:shd w:val="clear" w:color="auto" w:fill="FFFFFF"/>
              </w:rPr>
              <w:t>等共用部位</w:t>
            </w:r>
            <w:r>
              <w:rPr>
                <w:rFonts w:hint="eastAsia" w:asciiTheme="minorEastAsia" w:hAnsiTheme="minorEastAsia" w:eastAsiaTheme="minorEastAsia" w:cstheme="minorEastAsia"/>
                <w:color w:val="auto"/>
                <w:sz w:val="15"/>
                <w:szCs w:val="15"/>
                <w:highlight w:val="none"/>
                <w:shd w:val="clear" w:color="auto" w:fill="FFFFFF"/>
                <w:lang w:eastAsia="zh-CN"/>
              </w:rPr>
              <w:t>的，系数</w:t>
            </w:r>
            <w:r>
              <w:rPr>
                <w:rFonts w:hint="eastAsia" w:asciiTheme="minorEastAsia" w:hAnsiTheme="minorEastAsia" w:eastAsiaTheme="minorEastAsia" w:cstheme="minorEastAsia"/>
                <w:color w:val="auto"/>
                <w:sz w:val="15"/>
                <w:szCs w:val="15"/>
                <w:highlight w:val="none"/>
                <w:shd w:val="clear" w:color="auto" w:fill="FFFFFF"/>
                <w:lang w:val="en-US" w:eastAsia="zh-CN"/>
              </w:rPr>
              <w:t>0-1</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3.</w:t>
            </w:r>
            <w:r>
              <w:rPr>
                <w:rFonts w:hint="eastAsia" w:asciiTheme="minorEastAsia" w:hAnsiTheme="minorEastAsia" w:eastAsiaTheme="minorEastAsia" w:cstheme="minorEastAsia"/>
                <w:color w:val="auto"/>
                <w:kern w:val="0"/>
                <w:sz w:val="15"/>
                <w:szCs w:val="15"/>
                <w:highlight w:val="none"/>
              </w:rPr>
              <w:t>占压燃气、供暖等公用管道和设施保护（管理）范围的，或者林地、</w:t>
            </w:r>
            <w:r>
              <w:rPr>
                <w:rFonts w:hint="eastAsia" w:asciiTheme="minorEastAsia" w:hAnsiTheme="minorEastAsia" w:eastAsiaTheme="minorEastAsia" w:cstheme="minorEastAsia"/>
                <w:color w:val="auto"/>
                <w:kern w:val="0"/>
                <w:sz w:val="15"/>
                <w:szCs w:val="15"/>
                <w:highlight w:val="none"/>
                <w:lang w:eastAsia="zh-CN"/>
              </w:rPr>
              <w:t>耕地</w:t>
            </w:r>
            <w:r>
              <w:rPr>
                <w:rFonts w:hint="eastAsia" w:asciiTheme="minorEastAsia" w:hAnsiTheme="minorEastAsia" w:eastAsiaTheme="minorEastAsia" w:cstheme="minorEastAsia"/>
                <w:color w:val="auto"/>
                <w:kern w:val="0"/>
                <w:sz w:val="15"/>
                <w:szCs w:val="15"/>
                <w:highlight w:val="none"/>
              </w:rPr>
              <w:t>内的，</w:t>
            </w:r>
            <w:r>
              <w:rPr>
                <w:rFonts w:hint="eastAsia" w:asciiTheme="minorEastAsia" w:hAnsiTheme="minorEastAsia" w:eastAsiaTheme="minorEastAsia" w:cstheme="minorEastAsia"/>
                <w:color w:val="auto"/>
                <w:sz w:val="15"/>
                <w:szCs w:val="15"/>
                <w:highlight w:val="none"/>
                <w:shd w:val="clear" w:color="auto" w:fill="FFFFFF"/>
                <w:lang w:eastAsia="zh-CN"/>
              </w:rPr>
              <w:t>系数</w:t>
            </w:r>
            <w:r>
              <w:rPr>
                <w:rFonts w:hint="eastAsia" w:asciiTheme="minorEastAsia" w:hAnsiTheme="minorEastAsia" w:eastAsiaTheme="minorEastAsia" w:cstheme="minorEastAsia"/>
                <w:color w:val="auto"/>
                <w:sz w:val="15"/>
                <w:szCs w:val="15"/>
                <w:highlight w:val="none"/>
                <w:shd w:val="clear" w:color="auto" w:fill="FFFFFF"/>
                <w:lang w:val="en-US" w:eastAsia="zh-CN"/>
              </w:rPr>
              <w:t>5</w:t>
            </w:r>
            <w:r>
              <w:rPr>
                <w:rFonts w:hint="default" w:asciiTheme="minorEastAsia" w:hAnsiTheme="minorEastAsia" w:eastAsiaTheme="minorEastAsia" w:cstheme="minorEastAsia"/>
                <w:color w:val="auto"/>
                <w:sz w:val="15"/>
                <w:szCs w:val="15"/>
                <w:highlight w:val="none"/>
                <w:shd w:val="clear" w:color="auto" w:fill="FFFFFF"/>
                <w:lang w:val="en-US" w:eastAsia="zh-CN"/>
              </w:rPr>
              <w:t>-6</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lang w:val="en-US" w:eastAsia="zh-CN"/>
              </w:rPr>
              <w:t>4.存在基准2.1.3规定情形的，系数按照相关规</w:t>
            </w:r>
            <w:r>
              <w:rPr>
                <w:rFonts w:hint="eastAsia" w:cs="宋体" w:asciiTheme="minorEastAsia" w:hAnsiTheme="minorEastAsia" w:eastAsiaTheme="minorEastAsia"/>
                <w:color w:val="auto"/>
                <w:kern w:val="0"/>
                <w:sz w:val="15"/>
                <w:szCs w:val="15"/>
                <w:highlight w:val="none"/>
                <w:lang w:val="en-US" w:eastAsia="zh-CN"/>
              </w:rPr>
              <w:t>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13D4F0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BC64932">
            <w:pPr>
              <w:spacing w:line="232" w:lineRule="exact"/>
              <w:rPr>
                <w:rFonts w:hint="eastAsia"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olor w:val="auto"/>
                <w:sz w:val="15"/>
                <w:szCs w:val="15"/>
                <w:highlight w:val="none"/>
                <w:lang w:eastAsia="zh-CN"/>
              </w:rPr>
              <w:t>拒不改正或者</w:t>
            </w:r>
            <w:r>
              <w:rPr>
                <w:rFonts w:hint="eastAsia" w:asciiTheme="minorEastAsia" w:hAnsiTheme="minorEastAsia" w:eastAsiaTheme="minorEastAsia"/>
                <w:color w:val="auto"/>
                <w:sz w:val="15"/>
                <w:szCs w:val="15"/>
                <w:highlight w:val="none"/>
              </w:rPr>
              <w:t>再次违反规定</w:t>
            </w:r>
            <w:r>
              <w:rPr>
                <w:rFonts w:hint="eastAsia" w:asciiTheme="minorEastAsia" w:hAnsiTheme="minorEastAsia" w:eastAsiaTheme="minorEastAsia"/>
                <w:color w:val="auto"/>
                <w:sz w:val="15"/>
                <w:szCs w:val="15"/>
                <w:highlight w:val="none"/>
                <w:lang w:eastAsia="zh-CN"/>
              </w:rPr>
              <w:t>，或者造成严重后果的，视为情节严重。</w:t>
            </w:r>
          </w:p>
        </w:tc>
      </w:tr>
      <w:tr w14:paraId="35B56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25" w:hRule="atLeast"/>
          <w:jc w:val="center"/>
        </w:trPr>
        <w:tc>
          <w:tcPr>
            <w:tcW w:w="610" w:type="dxa"/>
            <w:vMerge w:val="continue"/>
            <w:tcBorders>
              <w:left w:val="single" w:color="auto" w:sz="4" w:space="0"/>
              <w:right w:val="single" w:color="auto" w:sz="4" w:space="0"/>
            </w:tcBorders>
            <w:shd w:val="clear" w:color="auto" w:fill="auto"/>
            <w:vAlign w:val="center"/>
          </w:tcPr>
          <w:p w14:paraId="0F48BC43">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right w:val="single" w:color="auto" w:sz="4" w:space="0"/>
            </w:tcBorders>
            <w:shd w:val="clear" w:color="auto" w:fill="auto"/>
            <w:vAlign w:val="center"/>
          </w:tcPr>
          <w:p w14:paraId="6E5B74DD">
            <w:pPr>
              <w:spacing w:line="232" w:lineRule="exact"/>
              <w:rPr>
                <w:rFonts w:asciiTheme="minorEastAsia" w:hAnsiTheme="minorEastAsia" w:eastAsiaTheme="minorEastAsia"/>
                <w:color w:val="auto"/>
                <w:sz w:val="15"/>
                <w:szCs w:val="15"/>
                <w:highlight w:val="none"/>
              </w:rPr>
            </w:pPr>
          </w:p>
        </w:tc>
        <w:tc>
          <w:tcPr>
            <w:tcW w:w="2789" w:type="dxa"/>
            <w:gridSpan w:val="2"/>
            <w:vMerge w:val="restart"/>
            <w:tcBorders>
              <w:top w:val="single" w:color="auto" w:sz="4" w:space="0"/>
              <w:left w:val="single" w:color="auto" w:sz="4" w:space="0"/>
              <w:right w:val="single" w:color="auto" w:sz="4" w:space="0"/>
            </w:tcBorders>
            <w:shd w:val="clear" w:color="auto" w:fill="auto"/>
            <w:vAlign w:val="center"/>
          </w:tcPr>
          <w:p w14:paraId="755421E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3703461D">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w:t>
            </w:r>
          </w:p>
          <w:p w14:paraId="7B4E1A9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4B4FB72E">
            <w:pPr>
              <w:spacing w:line="232" w:lineRule="exact"/>
              <w:jc w:val="center"/>
              <w:rPr>
                <w:rFonts w:cs="宋体" w:asciiTheme="minorEastAsia" w:hAnsiTheme="minorEastAsia" w:eastAsiaTheme="minorEastAsia"/>
                <w:color w:val="auto"/>
                <w:kern w:val="0"/>
                <w:sz w:val="15"/>
                <w:szCs w:val="15"/>
                <w:highlight w:val="none"/>
              </w:rPr>
            </w:pP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14:paraId="76B94C0C">
            <w:pPr>
              <w:spacing w:line="232" w:lineRule="exact"/>
              <w:rPr>
                <w:rFonts w:asciiTheme="minorEastAsia" w:hAnsiTheme="minorEastAsia" w:eastAsiaTheme="minorEastAsia"/>
                <w:color w:val="auto"/>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B83BDD2">
            <w:pPr>
              <w:spacing w:line="232" w:lineRule="exact"/>
              <w:rPr>
                <w:rFonts w:cs="宋体" w:asciiTheme="minorEastAsia" w:hAnsiTheme="minorEastAsia" w:eastAsiaTheme="minorEastAsia"/>
                <w:color w:val="auto"/>
                <w:kern w:val="0"/>
                <w:sz w:val="15"/>
                <w:szCs w:val="15"/>
                <w:highlight w:val="none"/>
              </w:rPr>
            </w:pP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B0F4D42">
            <w:pPr>
              <w:spacing w:line="232" w:lineRule="exact"/>
              <w:rPr>
                <w:rFonts w:cs="宋体" w:asciiTheme="minorEastAsia" w:hAnsiTheme="minorEastAsia" w:eastAsiaTheme="minorEastAsia"/>
                <w:color w:val="auto"/>
                <w:kern w:val="0"/>
                <w:sz w:val="15"/>
                <w:szCs w:val="15"/>
                <w:highlight w:val="none"/>
              </w:rPr>
            </w:pPr>
          </w:p>
        </w:tc>
      </w:tr>
      <w:tr w14:paraId="31357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9" w:hRule="atLeast"/>
          <w:jc w:val="center"/>
        </w:trPr>
        <w:tc>
          <w:tcPr>
            <w:tcW w:w="610" w:type="dxa"/>
            <w:vMerge w:val="continue"/>
            <w:tcBorders>
              <w:left w:val="single" w:color="auto" w:sz="4" w:space="0"/>
              <w:bottom w:val="single" w:color="auto" w:sz="4" w:space="0"/>
              <w:right w:val="single" w:color="auto" w:sz="4" w:space="0"/>
            </w:tcBorders>
            <w:shd w:val="clear" w:color="auto" w:fill="auto"/>
            <w:vAlign w:val="center"/>
          </w:tcPr>
          <w:p w14:paraId="07152F53">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shd w:val="clear" w:color="auto" w:fill="auto"/>
            <w:vAlign w:val="center"/>
          </w:tcPr>
          <w:p w14:paraId="1002067B">
            <w:pPr>
              <w:spacing w:line="232" w:lineRule="exact"/>
              <w:rPr>
                <w:rFonts w:asciiTheme="minorEastAsia" w:hAnsiTheme="minorEastAsia" w:eastAsiaTheme="minorEastAsia"/>
                <w:color w:val="auto"/>
                <w:sz w:val="15"/>
                <w:szCs w:val="15"/>
                <w:highlight w:val="none"/>
              </w:rPr>
            </w:pPr>
          </w:p>
        </w:tc>
        <w:tc>
          <w:tcPr>
            <w:tcW w:w="2789" w:type="dxa"/>
            <w:gridSpan w:val="2"/>
            <w:vMerge w:val="continue"/>
            <w:tcBorders>
              <w:left w:val="single" w:color="auto" w:sz="4" w:space="0"/>
              <w:bottom w:val="single" w:color="auto" w:sz="4" w:space="0"/>
              <w:right w:val="single" w:color="auto" w:sz="4" w:space="0"/>
            </w:tcBorders>
            <w:shd w:val="clear" w:color="auto" w:fill="auto"/>
            <w:vAlign w:val="center"/>
          </w:tcPr>
          <w:p w14:paraId="0F4013D4">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39FF49A1">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p w14:paraId="28A8ADE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2A52C32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14:paraId="0843D098">
            <w:pPr>
              <w:spacing w:line="232" w:lineRule="exact"/>
              <w:jc w:val="lef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未单独堆放在生活垃圾分类管理责任人指定的地点，系数0-1；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D4175F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5B08DE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14:paraId="6D1FE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75" w:hRule="atLeast"/>
          <w:jc w:val="center"/>
        </w:trPr>
        <w:tc>
          <w:tcPr>
            <w:tcW w:w="610" w:type="dxa"/>
            <w:vMerge w:val="restart"/>
            <w:tcBorders>
              <w:left w:val="single" w:color="auto" w:sz="4" w:space="0"/>
              <w:right w:val="single" w:color="auto" w:sz="4" w:space="0"/>
            </w:tcBorders>
            <w:shd w:val="clear" w:color="auto" w:fill="auto"/>
            <w:vAlign w:val="center"/>
          </w:tcPr>
          <w:p w14:paraId="5D8204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vMerge w:val="restart"/>
            <w:tcBorders>
              <w:left w:val="single" w:color="auto" w:sz="4" w:space="0"/>
              <w:right w:val="single" w:color="auto" w:sz="4" w:space="0"/>
            </w:tcBorders>
            <w:shd w:val="clear" w:color="auto" w:fill="auto"/>
            <w:vAlign w:val="center"/>
          </w:tcPr>
          <w:p w14:paraId="1388BD8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农村村民产生的灰土未按规定投放的</w:t>
            </w:r>
          </w:p>
        </w:tc>
        <w:tc>
          <w:tcPr>
            <w:tcW w:w="2789" w:type="dxa"/>
            <w:gridSpan w:val="2"/>
            <w:vMerge w:val="restart"/>
            <w:tcBorders>
              <w:top w:val="single" w:color="auto" w:sz="4" w:space="0"/>
              <w:left w:val="single" w:color="auto" w:sz="4" w:space="0"/>
              <w:right w:val="single" w:color="auto" w:sz="4" w:space="0"/>
            </w:tcBorders>
            <w:shd w:val="clear" w:color="auto" w:fill="auto"/>
            <w:vAlign w:val="center"/>
          </w:tcPr>
          <w:p w14:paraId="4C8308D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86DE14B">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w:t>
            </w:r>
          </w:p>
          <w:p w14:paraId="0899BDA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w:t>
            </w:r>
          </w:p>
        </w:tc>
        <w:tc>
          <w:tcPr>
            <w:tcW w:w="840" w:type="dxa"/>
            <w:tcBorders>
              <w:top w:val="single" w:color="auto" w:sz="4" w:space="0"/>
              <w:left w:val="single" w:color="auto" w:sz="4" w:space="0"/>
              <w:right w:val="single" w:color="auto" w:sz="4" w:space="0"/>
            </w:tcBorders>
            <w:shd w:val="clear" w:color="auto" w:fill="auto"/>
            <w:vAlign w:val="center"/>
          </w:tcPr>
          <w:p w14:paraId="37FCF2E7">
            <w:pPr>
              <w:spacing w:line="232" w:lineRule="exact"/>
              <w:jc w:val="center"/>
              <w:rPr>
                <w:rFonts w:cs="宋体" w:asciiTheme="minorEastAsia" w:hAnsiTheme="minorEastAsia" w:eastAsiaTheme="minorEastAsia"/>
                <w:color w:val="auto"/>
                <w:kern w:val="0"/>
                <w:sz w:val="15"/>
                <w:szCs w:val="15"/>
                <w:highlight w:val="none"/>
              </w:rPr>
            </w:pPr>
          </w:p>
        </w:tc>
        <w:tc>
          <w:tcPr>
            <w:tcW w:w="3426" w:type="dxa"/>
            <w:tcBorders>
              <w:top w:val="single" w:color="auto" w:sz="4" w:space="0"/>
              <w:left w:val="single" w:color="auto" w:sz="4" w:space="0"/>
              <w:right w:val="single" w:color="auto" w:sz="4" w:space="0"/>
            </w:tcBorders>
            <w:shd w:val="clear" w:color="auto" w:fill="auto"/>
            <w:vAlign w:val="center"/>
          </w:tcPr>
          <w:p w14:paraId="6B652CE9">
            <w:pPr>
              <w:spacing w:line="232" w:lineRule="exact"/>
              <w:jc w:val="left"/>
              <w:rPr>
                <w:rFonts w:hint="eastAsia" w:asciiTheme="minorEastAsia" w:hAnsiTheme="minorEastAsia" w:eastAsiaTheme="minorEastAsia"/>
                <w:color w:val="auto"/>
                <w:sz w:val="15"/>
                <w:szCs w:val="15"/>
                <w:highlight w:val="none"/>
                <w:lang w:eastAsia="zh-CN"/>
              </w:rPr>
            </w:pPr>
          </w:p>
        </w:tc>
        <w:tc>
          <w:tcPr>
            <w:tcW w:w="1875" w:type="dxa"/>
            <w:gridSpan w:val="2"/>
            <w:tcBorders>
              <w:top w:val="single" w:color="auto" w:sz="4" w:space="0"/>
              <w:left w:val="single" w:color="auto" w:sz="4" w:space="0"/>
              <w:right w:val="single" w:color="auto" w:sz="4" w:space="0"/>
            </w:tcBorders>
            <w:shd w:val="clear" w:color="auto" w:fill="auto"/>
            <w:vAlign w:val="center"/>
          </w:tcPr>
          <w:p w14:paraId="56AEF971">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restart"/>
            <w:tcBorders>
              <w:top w:val="single" w:color="auto" w:sz="4" w:space="0"/>
              <w:left w:val="single" w:color="auto" w:sz="4" w:space="0"/>
              <w:right w:val="single" w:color="auto" w:sz="4" w:space="0"/>
            </w:tcBorders>
            <w:shd w:val="clear" w:color="auto" w:fill="auto"/>
            <w:vAlign w:val="center"/>
          </w:tcPr>
          <w:p w14:paraId="0F3D5EC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14:paraId="625F3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27" w:hRule="atLeast"/>
          <w:jc w:val="center"/>
        </w:trPr>
        <w:tc>
          <w:tcPr>
            <w:tcW w:w="610" w:type="dxa"/>
            <w:vMerge w:val="continue"/>
            <w:tcBorders>
              <w:left w:val="single" w:color="auto" w:sz="4" w:space="0"/>
              <w:right w:val="single" w:color="auto" w:sz="4" w:space="0"/>
            </w:tcBorders>
            <w:shd w:val="clear" w:color="auto" w:fill="auto"/>
            <w:vAlign w:val="center"/>
          </w:tcPr>
          <w:p w14:paraId="5D46DE12">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right w:val="single" w:color="auto" w:sz="4" w:space="0"/>
            </w:tcBorders>
            <w:shd w:val="clear" w:color="auto" w:fill="auto"/>
            <w:vAlign w:val="center"/>
          </w:tcPr>
          <w:p w14:paraId="1148CBAC">
            <w:pPr>
              <w:spacing w:line="232" w:lineRule="exact"/>
              <w:rPr>
                <w:rFonts w:asciiTheme="minorEastAsia" w:hAnsiTheme="minorEastAsia" w:eastAsiaTheme="minorEastAsia"/>
                <w:color w:val="auto"/>
                <w:sz w:val="15"/>
                <w:szCs w:val="15"/>
                <w:highlight w:val="none"/>
              </w:rPr>
            </w:pPr>
          </w:p>
        </w:tc>
        <w:tc>
          <w:tcPr>
            <w:tcW w:w="2789" w:type="dxa"/>
            <w:gridSpan w:val="2"/>
            <w:vMerge w:val="continue"/>
            <w:tcBorders>
              <w:left w:val="single" w:color="auto" w:sz="4" w:space="0"/>
              <w:right w:val="single" w:color="auto" w:sz="4" w:space="0"/>
            </w:tcBorders>
            <w:shd w:val="clear" w:color="auto" w:fill="auto"/>
            <w:vAlign w:val="center"/>
          </w:tcPr>
          <w:p w14:paraId="15E61195">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424C5588">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p w14:paraId="1D0D29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（个人再次违反）</w:t>
            </w:r>
          </w:p>
        </w:tc>
        <w:tc>
          <w:tcPr>
            <w:tcW w:w="840" w:type="dxa"/>
            <w:tcBorders>
              <w:left w:val="single" w:color="auto" w:sz="4" w:space="0"/>
              <w:bottom w:val="single" w:color="auto" w:sz="4" w:space="0"/>
              <w:right w:val="single" w:color="auto" w:sz="4" w:space="0"/>
            </w:tcBorders>
            <w:shd w:val="clear" w:color="auto" w:fill="auto"/>
            <w:vAlign w:val="center"/>
          </w:tcPr>
          <w:p w14:paraId="7553AC3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left w:val="single" w:color="auto" w:sz="4" w:space="0"/>
              <w:bottom w:val="single" w:color="auto" w:sz="4" w:space="0"/>
              <w:right w:val="single" w:color="auto" w:sz="4" w:space="0"/>
            </w:tcBorders>
            <w:shd w:val="clear" w:color="auto" w:fill="auto"/>
            <w:vAlign w:val="center"/>
          </w:tcPr>
          <w:p w14:paraId="074A1AD4">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1.未单独投放在相应的容器或者生活垃圾分类管理责任人指定的地点，系数0-1；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tcBorders>
              <w:left w:val="single" w:color="auto" w:sz="4" w:space="0"/>
              <w:bottom w:val="single" w:color="auto" w:sz="4" w:space="0"/>
              <w:right w:val="single" w:color="auto" w:sz="4" w:space="0"/>
            </w:tcBorders>
            <w:shd w:val="clear" w:color="auto" w:fill="auto"/>
            <w:vAlign w:val="center"/>
          </w:tcPr>
          <w:p w14:paraId="2F897A1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tcBorders>
              <w:left w:val="single" w:color="auto" w:sz="4" w:space="0"/>
              <w:bottom w:val="single" w:color="auto" w:sz="4" w:space="0"/>
              <w:right w:val="single" w:color="auto" w:sz="4" w:space="0"/>
            </w:tcBorders>
            <w:shd w:val="clear" w:color="auto" w:fill="auto"/>
            <w:vAlign w:val="center"/>
          </w:tcPr>
          <w:p w14:paraId="31CC19BC">
            <w:pPr>
              <w:spacing w:line="232" w:lineRule="exact"/>
              <w:rPr>
                <w:rFonts w:cs="宋体" w:asciiTheme="minorEastAsia" w:hAnsiTheme="minorEastAsia" w:eastAsiaTheme="minorEastAsia"/>
                <w:color w:val="auto"/>
                <w:kern w:val="0"/>
                <w:sz w:val="15"/>
                <w:szCs w:val="15"/>
                <w:highlight w:val="none"/>
              </w:rPr>
            </w:pPr>
          </w:p>
        </w:tc>
      </w:tr>
      <w:tr w14:paraId="5F6C0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15" w:hRule="atLeast"/>
          <w:jc w:val="center"/>
        </w:trPr>
        <w:tc>
          <w:tcPr>
            <w:tcW w:w="610" w:type="dxa"/>
            <w:vMerge w:val="restart"/>
            <w:tcBorders>
              <w:left w:val="single" w:color="auto" w:sz="4" w:space="0"/>
              <w:right w:val="single" w:color="auto" w:sz="4" w:space="0"/>
            </w:tcBorders>
            <w:shd w:val="clear" w:color="auto" w:fill="auto"/>
            <w:vAlign w:val="center"/>
          </w:tcPr>
          <w:p w14:paraId="04FF82A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vMerge w:val="restart"/>
            <w:tcBorders>
              <w:left w:val="single" w:color="auto" w:sz="4" w:space="0"/>
              <w:right w:val="single" w:color="auto" w:sz="4" w:space="0"/>
            </w:tcBorders>
            <w:shd w:val="clear" w:color="auto" w:fill="auto"/>
            <w:vAlign w:val="center"/>
          </w:tcPr>
          <w:p w14:paraId="359F4BC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居民装饰装修房屋过程中产生的建筑垃圾未按指定的时间、地点和要求单独堆放</w:t>
            </w:r>
          </w:p>
        </w:tc>
        <w:tc>
          <w:tcPr>
            <w:tcW w:w="2789" w:type="dxa"/>
            <w:gridSpan w:val="2"/>
            <w:vMerge w:val="restart"/>
            <w:tcBorders>
              <w:top w:val="single" w:color="auto" w:sz="4" w:space="0"/>
              <w:left w:val="single" w:color="auto" w:sz="4" w:space="0"/>
              <w:right w:val="single" w:color="auto" w:sz="4" w:space="0"/>
            </w:tcBorders>
            <w:shd w:val="clear" w:color="auto" w:fill="auto"/>
            <w:vAlign w:val="center"/>
          </w:tcPr>
          <w:p w14:paraId="440DBC1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027ED0A">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w:t>
            </w:r>
          </w:p>
          <w:p w14:paraId="2C84E58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623F7B0E">
            <w:pPr>
              <w:spacing w:line="232" w:lineRule="exact"/>
              <w:jc w:val="center"/>
              <w:rPr>
                <w:rFonts w:cs="宋体" w:asciiTheme="minorEastAsia" w:hAnsiTheme="minorEastAsia" w:eastAsiaTheme="minorEastAsia"/>
                <w:color w:val="auto"/>
                <w:kern w:val="0"/>
                <w:sz w:val="15"/>
                <w:szCs w:val="15"/>
                <w:highlight w:val="none"/>
              </w:rPr>
            </w:pPr>
          </w:p>
        </w:tc>
        <w:tc>
          <w:tcPr>
            <w:tcW w:w="3426" w:type="dxa"/>
            <w:tcBorders>
              <w:top w:val="single" w:color="auto" w:sz="4" w:space="0"/>
              <w:left w:val="single" w:color="auto" w:sz="4" w:space="0"/>
              <w:right w:val="single" w:color="auto" w:sz="4" w:space="0"/>
            </w:tcBorders>
            <w:shd w:val="clear" w:color="auto" w:fill="auto"/>
            <w:vAlign w:val="center"/>
          </w:tcPr>
          <w:p w14:paraId="4DF85B71">
            <w:pPr>
              <w:spacing w:line="232" w:lineRule="exact"/>
              <w:rPr>
                <w:rFonts w:hint="default" w:asciiTheme="minorEastAsia" w:hAnsiTheme="minorEastAsia" w:eastAsiaTheme="minorEastAsia"/>
                <w:color w:val="auto"/>
                <w:sz w:val="15"/>
                <w:szCs w:val="15"/>
                <w:highlight w:val="none"/>
                <w:lang w:val="en-US"/>
              </w:rPr>
            </w:pPr>
          </w:p>
        </w:tc>
        <w:tc>
          <w:tcPr>
            <w:tcW w:w="1875" w:type="dxa"/>
            <w:gridSpan w:val="2"/>
            <w:tcBorders>
              <w:top w:val="single" w:color="auto" w:sz="4" w:space="0"/>
              <w:left w:val="single" w:color="auto" w:sz="4" w:space="0"/>
              <w:right w:val="single" w:color="auto" w:sz="4" w:space="0"/>
            </w:tcBorders>
            <w:shd w:val="clear" w:color="auto" w:fill="auto"/>
            <w:vAlign w:val="center"/>
          </w:tcPr>
          <w:p w14:paraId="377B1E05">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restart"/>
            <w:tcBorders>
              <w:top w:val="single" w:color="auto" w:sz="4" w:space="0"/>
              <w:left w:val="single" w:color="auto" w:sz="4" w:space="0"/>
              <w:right w:val="single" w:color="auto" w:sz="4" w:space="0"/>
            </w:tcBorders>
            <w:shd w:val="clear" w:color="auto" w:fill="auto"/>
            <w:vAlign w:val="center"/>
          </w:tcPr>
          <w:p w14:paraId="32C993D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r>
      <w:tr w14:paraId="1D5D1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11" w:hRule="atLeast"/>
          <w:jc w:val="center"/>
        </w:trPr>
        <w:tc>
          <w:tcPr>
            <w:tcW w:w="610" w:type="dxa"/>
            <w:vMerge w:val="continue"/>
            <w:tcBorders>
              <w:left w:val="single" w:color="auto" w:sz="4" w:space="0"/>
              <w:bottom w:val="single" w:color="auto" w:sz="4" w:space="0"/>
              <w:right w:val="single" w:color="auto" w:sz="4" w:space="0"/>
            </w:tcBorders>
            <w:shd w:val="clear" w:color="auto" w:fill="auto"/>
            <w:vAlign w:val="center"/>
          </w:tcPr>
          <w:p w14:paraId="174481D3">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shd w:val="clear" w:color="auto" w:fill="auto"/>
            <w:vAlign w:val="center"/>
          </w:tcPr>
          <w:p w14:paraId="157B8267">
            <w:pPr>
              <w:spacing w:line="232" w:lineRule="exact"/>
              <w:rPr>
                <w:rFonts w:asciiTheme="minorEastAsia" w:hAnsiTheme="minorEastAsia" w:eastAsiaTheme="minorEastAsia"/>
                <w:color w:val="auto"/>
                <w:sz w:val="15"/>
                <w:szCs w:val="15"/>
                <w:highlight w:val="none"/>
              </w:rPr>
            </w:pPr>
          </w:p>
        </w:tc>
        <w:tc>
          <w:tcPr>
            <w:tcW w:w="2789" w:type="dxa"/>
            <w:gridSpan w:val="2"/>
            <w:vMerge w:val="continue"/>
            <w:tcBorders>
              <w:left w:val="single" w:color="auto" w:sz="4" w:space="0"/>
              <w:bottom w:val="single" w:color="auto" w:sz="4" w:space="0"/>
              <w:right w:val="single" w:color="auto" w:sz="4" w:space="0"/>
            </w:tcBorders>
            <w:shd w:val="clear" w:color="auto" w:fill="auto"/>
            <w:vAlign w:val="center"/>
          </w:tcPr>
          <w:p w14:paraId="63D6AE74">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027284E0">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p w14:paraId="54FB864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158DB42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left w:val="single" w:color="auto" w:sz="4" w:space="0"/>
              <w:bottom w:val="single" w:color="auto" w:sz="4" w:space="0"/>
              <w:right w:val="single" w:color="auto" w:sz="4" w:space="0"/>
            </w:tcBorders>
            <w:shd w:val="clear" w:color="auto" w:fill="auto"/>
            <w:vAlign w:val="center"/>
          </w:tcPr>
          <w:p w14:paraId="712B2E14">
            <w:pPr>
              <w:spacing w:line="232" w:lineRule="exact"/>
              <w:rPr>
                <w:rFonts w:hint="default" w:cs="Times New Roman" w:asciiTheme="minorEastAsia" w:hAnsiTheme="minorEastAsia" w:eastAsiaTheme="minorEastAsia"/>
                <w:color w:val="auto"/>
                <w:kern w:val="2"/>
                <w:sz w:val="15"/>
                <w:szCs w:val="15"/>
                <w:highlight w:val="none"/>
                <w:lang w:val="en-US" w:eastAsia="zh-CN" w:bidi="ar-SA"/>
              </w:rPr>
            </w:pPr>
            <w:r>
              <w:rPr>
                <w:rFonts w:hint="eastAsia" w:asciiTheme="minorEastAsia" w:hAnsiTheme="minorEastAsia" w:eastAsiaTheme="minorEastAsia"/>
                <w:color w:val="auto"/>
                <w:sz w:val="15"/>
                <w:szCs w:val="15"/>
                <w:highlight w:val="none"/>
              </w:rPr>
              <w:t>1.未单独堆放在生活垃圾分类管理责任人指定的地点，系数0-1；</w:t>
            </w:r>
            <w:r>
              <w:rPr>
                <w:rFonts w:hint="eastAsia" w:cs="宋体" w:asciiTheme="minorEastAsia" w:hAnsiTheme="minorEastAsia" w:eastAsiaTheme="minorEastAsia"/>
                <w:color w:val="auto"/>
                <w:kern w:val="0"/>
                <w:sz w:val="15"/>
                <w:szCs w:val="15"/>
                <w:highlight w:val="none"/>
              </w:rPr>
              <w:t>2.占地面积在5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3；3.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left w:val="single" w:color="auto" w:sz="4" w:space="0"/>
              <w:bottom w:val="single" w:color="auto" w:sz="4" w:space="0"/>
              <w:right w:val="single" w:color="auto" w:sz="4" w:space="0"/>
            </w:tcBorders>
            <w:shd w:val="clear" w:color="auto" w:fill="auto"/>
            <w:vAlign w:val="center"/>
          </w:tcPr>
          <w:p w14:paraId="43A7EA15">
            <w:pPr>
              <w:spacing w:line="232" w:lineRule="exact"/>
              <w:rPr>
                <w:rFonts w:hint="default" w:cs="宋体" w:asciiTheme="minorEastAsia" w:hAnsiTheme="minorEastAsia" w:eastAsiaTheme="minorEastAsia"/>
                <w:color w:val="auto"/>
                <w:kern w:val="0"/>
                <w:sz w:val="15"/>
                <w:szCs w:val="15"/>
                <w:highlight w:val="none"/>
                <w:lang w:val="en-US" w:eastAsia="zh-CN" w:bidi="ar-SA"/>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tcBorders>
              <w:left w:val="single" w:color="auto" w:sz="4" w:space="0"/>
              <w:bottom w:val="single" w:color="auto" w:sz="4" w:space="0"/>
              <w:right w:val="single" w:color="auto" w:sz="4" w:space="0"/>
            </w:tcBorders>
            <w:shd w:val="clear" w:color="auto" w:fill="auto"/>
            <w:vAlign w:val="center"/>
          </w:tcPr>
          <w:p w14:paraId="48173EFC">
            <w:pPr>
              <w:spacing w:line="232" w:lineRule="exact"/>
              <w:rPr>
                <w:rFonts w:cs="宋体" w:asciiTheme="minorEastAsia" w:hAnsiTheme="minorEastAsia" w:eastAsiaTheme="minorEastAsia"/>
                <w:color w:val="auto"/>
                <w:kern w:val="0"/>
                <w:sz w:val="15"/>
                <w:szCs w:val="15"/>
                <w:highlight w:val="none"/>
              </w:rPr>
            </w:pPr>
          </w:p>
        </w:tc>
      </w:tr>
      <w:tr w14:paraId="3D30E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60" w:hRule="atLeast"/>
          <w:jc w:val="center"/>
        </w:trPr>
        <w:tc>
          <w:tcPr>
            <w:tcW w:w="610" w:type="dxa"/>
            <w:shd w:val="clear" w:color="auto" w:fill="auto"/>
            <w:vAlign w:val="center"/>
          </w:tcPr>
          <w:p w14:paraId="09F55FC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0DACD68B">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未建立生活垃圾分类日常管理制度</w:t>
            </w:r>
          </w:p>
        </w:tc>
        <w:tc>
          <w:tcPr>
            <w:tcW w:w="2789" w:type="dxa"/>
            <w:gridSpan w:val="2"/>
            <w:shd w:val="clear" w:color="auto" w:fill="auto"/>
            <w:vAlign w:val="center"/>
          </w:tcPr>
          <w:p w14:paraId="20D81FD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违反条款：第三十六条第一款第（一）项；处罚条款：第六十九条第一款 责令立即改正，处三千元以上三万元以下罚款。　</w:t>
            </w:r>
          </w:p>
        </w:tc>
        <w:tc>
          <w:tcPr>
            <w:tcW w:w="851" w:type="dxa"/>
            <w:shd w:val="clear" w:color="auto" w:fill="auto"/>
            <w:vAlign w:val="center"/>
          </w:tcPr>
          <w:p w14:paraId="0217E7A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3DF3DC3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14:paraId="24DCC264">
            <w:pPr>
              <w:spacing w:line="232" w:lineRule="exact"/>
              <w:jc w:val="both"/>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1.同时存在第三十六条第一款第（一）、（二）、（三）、（四）、（六）项违法行为中2项行为的，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1-2；3项及以上行为的，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3-5；2</w:t>
            </w:r>
            <w:r>
              <w:rPr>
                <w:rFonts w:hint="default" w:asciiTheme="minorEastAsia" w:hAnsiTheme="minorEastAsia" w:eastAsiaTheme="minorEastAsia"/>
                <w:color w:val="auto"/>
                <w:sz w:val="15"/>
                <w:szCs w:val="15"/>
                <w:highlight w:val="none"/>
                <w:lang w:val="en-US"/>
              </w:rPr>
              <w:t>.</w:t>
            </w:r>
            <w:r>
              <w:rPr>
                <w:rFonts w:hint="eastAsia" w:asciiTheme="minorEastAsia" w:hAnsiTheme="minorEastAsia" w:eastAsiaTheme="minorEastAsia"/>
                <w:color w:val="auto"/>
                <w:sz w:val="15"/>
                <w:szCs w:val="15"/>
                <w:highlight w:val="none"/>
              </w:rPr>
              <w:t>生活垃圾分类</w:t>
            </w:r>
            <w:r>
              <w:rPr>
                <w:rFonts w:asciiTheme="minorEastAsia" w:hAnsiTheme="minorEastAsia" w:eastAsiaTheme="minorEastAsia"/>
                <w:color w:val="auto"/>
                <w:sz w:val="15"/>
                <w:szCs w:val="15"/>
                <w:highlight w:val="none"/>
              </w:rPr>
              <w:t>管理责任人未履行法律规定</w:t>
            </w:r>
            <w:r>
              <w:rPr>
                <w:rFonts w:hint="eastAsia" w:asciiTheme="minorEastAsia" w:hAnsiTheme="minorEastAsia" w:eastAsiaTheme="minorEastAsia"/>
                <w:color w:val="auto"/>
                <w:sz w:val="15"/>
                <w:szCs w:val="15"/>
                <w:highlight w:val="none"/>
              </w:rPr>
              <w:t>责任</w:t>
            </w:r>
            <w:r>
              <w:rPr>
                <w:rFonts w:asciiTheme="minorEastAsia" w:hAnsiTheme="minorEastAsia" w:eastAsiaTheme="minorEastAsia"/>
                <w:color w:val="auto"/>
                <w:sz w:val="15"/>
                <w:szCs w:val="15"/>
                <w:highlight w:val="none"/>
              </w:rPr>
              <w:t>或</w:t>
            </w:r>
            <w:r>
              <w:rPr>
                <w:rFonts w:hint="eastAsia" w:asciiTheme="minorEastAsia" w:hAnsiTheme="minorEastAsia" w:eastAsiaTheme="minorEastAsia"/>
                <w:color w:val="auto"/>
                <w:sz w:val="15"/>
                <w:szCs w:val="15"/>
                <w:highlight w:val="none"/>
              </w:rPr>
              <w:t>因生活垃圾分类收集容器配备不足造成垃圾满冒或随意堆放造成环境秩序较严重影响的，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14:paraId="4EAA7A9D">
            <w:pPr>
              <w:spacing w:line="232" w:lineRule="exact"/>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1875" w:type="dxa"/>
            <w:gridSpan w:val="2"/>
            <w:shd w:val="clear" w:color="auto" w:fill="auto"/>
            <w:vAlign w:val="center"/>
          </w:tcPr>
          <w:p w14:paraId="5DCD3D9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3340B9C">
            <w:pPr>
              <w:spacing w:line="232" w:lineRule="exact"/>
              <w:rPr>
                <w:rFonts w:asciiTheme="minorEastAsia" w:hAnsiTheme="minorEastAsia" w:eastAsiaTheme="minorEastAsia"/>
                <w:color w:val="auto"/>
                <w:sz w:val="15"/>
                <w:szCs w:val="15"/>
                <w:highlight w:val="none"/>
              </w:rPr>
            </w:pPr>
          </w:p>
        </w:tc>
      </w:tr>
      <w:tr w14:paraId="29D58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26" w:hRule="atLeast"/>
          <w:jc w:val="center"/>
        </w:trPr>
        <w:tc>
          <w:tcPr>
            <w:tcW w:w="610" w:type="dxa"/>
            <w:shd w:val="clear" w:color="auto" w:fill="auto"/>
            <w:vAlign w:val="center"/>
          </w:tcPr>
          <w:p w14:paraId="5B45637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14:paraId="19CA7D2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未开展宣传或未指定专人负责指导、监督垃圾分类工作</w:t>
            </w:r>
          </w:p>
        </w:tc>
        <w:tc>
          <w:tcPr>
            <w:tcW w:w="2789" w:type="dxa"/>
            <w:gridSpan w:val="2"/>
            <w:shd w:val="clear" w:color="auto" w:fill="auto"/>
            <w:vAlign w:val="center"/>
          </w:tcPr>
          <w:p w14:paraId="69278AE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违反条款：第三十六条第一款第（二）项；处罚条款：第六十九条第一款 责令立即改正，处三千元以上三万元以下罚款。　</w:t>
            </w:r>
          </w:p>
        </w:tc>
        <w:tc>
          <w:tcPr>
            <w:tcW w:w="851" w:type="dxa"/>
            <w:shd w:val="clear" w:color="auto" w:fill="auto"/>
            <w:vAlign w:val="center"/>
          </w:tcPr>
          <w:p w14:paraId="521D6C8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7D6AA1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14:paraId="39D08ED9">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14:paraId="245BA45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A0C1DD6">
            <w:pPr>
              <w:spacing w:line="232" w:lineRule="exact"/>
              <w:rPr>
                <w:rFonts w:asciiTheme="minorEastAsia" w:hAnsiTheme="minorEastAsia" w:eastAsiaTheme="minorEastAsia"/>
                <w:color w:val="auto"/>
                <w:sz w:val="15"/>
                <w:szCs w:val="15"/>
                <w:highlight w:val="none"/>
              </w:rPr>
            </w:pPr>
          </w:p>
        </w:tc>
      </w:tr>
      <w:tr w14:paraId="0BCE7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04" w:hRule="atLeast"/>
          <w:jc w:val="center"/>
        </w:trPr>
        <w:tc>
          <w:tcPr>
            <w:tcW w:w="610" w:type="dxa"/>
            <w:shd w:val="clear" w:color="auto" w:fill="auto"/>
            <w:vAlign w:val="center"/>
          </w:tcPr>
          <w:p w14:paraId="5B1D2CD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14:paraId="5B5AD383">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未按规定设置生活垃圾分类收集容器</w:t>
            </w:r>
          </w:p>
        </w:tc>
        <w:tc>
          <w:tcPr>
            <w:tcW w:w="2789" w:type="dxa"/>
            <w:gridSpan w:val="2"/>
            <w:shd w:val="clear" w:color="auto" w:fill="auto"/>
            <w:vAlign w:val="center"/>
          </w:tcPr>
          <w:p w14:paraId="418D7FB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14:paraId="2B89F33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4A62F82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14:paraId="55EA1DA9">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14:paraId="6189862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23D1B737">
            <w:pPr>
              <w:spacing w:line="232" w:lineRule="exact"/>
              <w:rPr>
                <w:rFonts w:asciiTheme="minorEastAsia" w:hAnsiTheme="minorEastAsia" w:eastAsiaTheme="minorEastAsia"/>
                <w:color w:val="auto"/>
                <w:sz w:val="15"/>
                <w:szCs w:val="15"/>
                <w:highlight w:val="none"/>
              </w:rPr>
            </w:pPr>
          </w:p>
        </w:tc>
      </w:tr>
      <w:tr w14:paraId="65E50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58" w:hRule="atLeast"/>
          <w:jc w:val="center"/>
        </w:trPr>
        <w:tc>
          <w:tcPr>
            <w:tcW w:w="610" w:type="dxa"/>
            <w:shd w:val="clear" w:color="auto" w:fill="auto"/>
            <w:vAlign w:val="center"/>
          </w:tcPr>
          <w:p w14:paraId="737CC3C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14:paraId="7A9810B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未按规定管护生活垃圾分类收集容器</w:t>
            </w:r>
          </w:p>
        </w:tc>
        <w:tc>
          <w:tcPr>
            <w:tcW w:w="2789" w:type="dxa"/>
            <w:gridSpan w:val="2"/>
            <w:shd w:val="clear" w:color="auto" w:fill="auto"/>
            <w:vAlign w:val="center"/>
          </w:tcPr>
          <w:p w14:paraId="5CD638DD">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14:paraId="4DF73FFB">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57DC8CFD">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14:paraId="4743812D">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6884FD2A">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37ABCC5">
            <w:pPr>
              <w:spacing w:line="232" w:lineRule="exact"/>
              <w:rPr>
                <w:rFonts w:asciiTheme="minorEastAsia" w:hAnsiTheme="minorEastAsia" w:eastAsiaTheme="minorEastAsia"/>
                <w:color w:val="auto"/>
                <w:sz w:val="15"/>
                <w:szCs w:val="15"/>
                <w:highlight w:val="none"/>
              </w:rPr>
            </w:pPr>
          </w:p>
        </w:tc>
      </w:tr>
      <w:tr w14:paraId="58D34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61" w:hRule="atLeast"/>
          <w:jc w:val="center"/>
        </w:trPr>
        <w:tc>
          <w:tcPr>
            <w:tcW w:w="610" w:type="dxa"/>
            <w:shd w:val="clear" w:color="auto" w:fill="auto"/>
            <w:vAlign w:val="center"/>
          </w:tcPr>
          <w:p w14:paraId="31266FC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14:paraId="75B8987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未明确生活垃圾投放的时间、地点</w:t>
            </w:r>
          </w:p>
        </w:tc>
        <w:tc>
          <w:tcPr>
            <w:tcW w:w="2789" w:type="dxa"/>
            <w:gridSpan w:val="2"/>
            <w:shd w:val="clear" w:color="auto" w:fill="auto"/>
            <w:vAlign w:val="center"/>
          </w:tcPr>
          <w:p w14:paraId="62CBEB03">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14:paraId="005CE94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33B5562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14:paraId="514EAD39">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14:paraId="6747348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93F3016">
            <w:pPr>
              <w:spacing w:line="232" w:lineRule="exact"/>
              <w:rPr>
                <w:rFonts w:asciiTheme="minorEastAsia" w:hAnsiTheme="minorEastAsia" w:eastAsiaTheme="minorEastAsia"/>
                <w:color w:val="auto"/>
                <w:sz w:val="15"/>
                <w:szCs w:val="15"/>
                <w:highlight w:val="none"/>
              </w:rPr>
            </w:pPr>
          </w:p>
        </w:tc>
      </w:tr>
      <w:tr w14:paraId="09C87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12" w:hRule="atLeast"/>
          <w:jc w:val="center"/>
        </w:trPr>
        <w:tc>
          <w:tcPr>
            <w:tcW w:w="610" w:type="dxa"/>
            <w:shd w:val="clear" w:color="auto" w:fill="auto"/>
            <w:vAlign w:val="center"/>
          </w:tcPr>
          <w:p w14:paraId="11140FE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14:paraId="40C2C7C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分类管理责任人未分类收集、贮存生活垃圾</w:t>
            </w:r>
          </w:p>
        </w:tc>
        <w:tc>
          <w:tcPr>
            <w:tcW w:w="2789" w:type="dxa"/>
            <w:gridSpan w:val="2"/>
            <w:shd w:val="clear" w:color="auto" w:fill="auto"/>
            <w:vAlign w:val="center"/>
          </w:tcPr>
          <w:p w14:paraId="79AE726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14:paraId="791CF2C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0BE1D40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14:paraId="6B813F0A">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14:paraId="235CA81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2860882">
            <w:pPr>
              <w:spacing w:line="232" w:lineRule="exact"/>
              <w:rPr>
                <w:rFonts w:asciiTheme="minorEastAsia" w:hAnsiTheme="minorEastAsia" w:eastAsiaTheme="minorEastAsia"/>
                <w:color w:val="auto"/>
                <w:sz w:val="15"/>
                <w:szCs w:val="15"/>
                <w:highlight w:val="none"/>
              </w:rPr>
            </w:pPr>
          </w:p>
        </w:tc>
      </w:tr>
      <w:tr w14:paraId="00509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95" w:hRule="atLeast"/>
          <w:jc w:val="center"/>
        </w:trPr>
        <w:tc>
          <w:tcPr>
            <w:tcW w:w="610" w:type="dxa"/>
            <w:shd w:val="clear" w:color="auto" w:fill="auto"/>
            <w:vAlign w:val="center"/>
          </w:tcPr>
          <w:p w14:paraId="4B97766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14:paraId="6784853E">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未及时制止翻拣、混合已分类生活垃圾的行为</w:t>
            </w:r>
          </w:p>
        </w:tc>
        <w:tc>
          <w:tcPr>
            <w:tcW w:w="2789" w:type="dxa"/>
            <w:gridSpan w:val="2"/>
            <w:shd w:val="clear" w:color="auto" w:fill="auto"/>
            <w:vAlign w:val="center"/>
          </w:tcPr>
          <w:p w14:paraId="19E9D6FA">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违反条款：第三十六条第一款第（六）项；处罚条款：第六十九条第一款 责令立即改正，处三千元以上三万元以下罚款。</w:t>
            </w:r>
          </w:p>
        </w:tc>
        <w:tc>
          <w:tcPr>
            <w:tcW w:w="851" w:type="dxa"/>
            <w:shd w:val="clear" w:color="auto" w:fill="auto"/>
            <w:vAlign w:val="center"/>
          </w:tcPr>
          <w:p w14:paraId="7B806FD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0187EC4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continue"/>
            <w:shd w:val="clear" w:color="auto" w:fill="auto"/>
            <w:vAlign w:val="center"/>
          </w:tcPr>
          <w:p w14:paraId="051DA413">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14:paraId="5D52D11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10E24E17">
            <w:pPr>
              <w:spacing w:line="240" w:lineRule="exact"/>
              <w:rPr>
                <w:rFonts w:asciiTheme="minorEastAsia" w:hAnsiTheme="minorEastAsia" w:eastAsiaTheme="minorEastAsia"/>
                <w:color w:val="auto"/>
                <w:sz w:val="15"/>
                <w:szCs w:val="15"/>
                <w:highlight w:val="none"/>
              </w:rPr>
            </w:pPr>
          </w:p>
        </w:tc>
      </w:tr>
      <w:tr w14:paraId="6524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63" w:hRule="atLeast"/>
          <w:jc w:val="center"/>
        </w:trPr>
        <w:tc>
          <w:tcPr>
            <w:tcW w:w="610" w:type="dxa"/>
            <w:shd w:val="clear" w:color="auto" w:fill="auto"/>
            <w:vAlign w:val="center"/>
          </w:tcPr>
          <w:p w14:paraId="7A9B817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14:paraId="5E490A63">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将生活垃圾交由未经许可或者备案的企业和个人进行处置</w:t>
            </w:r>
          </w:p>
        </w:tc>
        <w:tc>
          <w:tcPr>
            <w:tcW w:w="2789" w:type="dxa"/>
            <w:gridSpan w:val="2"/>
            <w:shd w:val="clear" w:color="auto" w:fill="auto"/>
            <w:vAlign w:val="center"/>
          </w:tcPr>
          <w:p w14:paraId="03DB2B0A">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违反条款：第三十六条第一款第（五）项；处罚条款：第六十九条第二款 责令立即改正，处一万元以上十万元以下罚款。</w:t>
            </w:r>
          </w:p>
        </w:tc>
        <w:tc>
          <w:tcPr>
            <w:tcW w:w="851" w:type="dxa"/>
            <w:shd w:val="clear" w:color="auto" w:fill="auto"/>
            <w:vAlign w:val="center"/>
          </w:tcPr>
          <w:p w14:paraId="37466A4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7CC9E9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B92E8CA">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1.违法行为持续时间</w:t>
            </w:r>
            <w:r>
              <w:rPr>
                <w:rFonts w:hint="eastAsia" w:ascii="宋体" w:hAnsi="宋体"/>
                <w:b w:val="0"/>
                <w:bCs w:val="0"/>
                <w:color w:val="auto"/>
                <w:sz w:val="15"/>
                <w:szCs w:val="15"/>
                <w:highlight w:val="none"/>
                <w:lang w:eastAsia="zh-CN"/>
              </w:rPr>
              <w:t>一个月以上</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垃圾产生量较大，</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.造成环境较严重影响的，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Theme="minorEastAsia" w:hAnsiTheme="minorEastAsia" w:eastAsiaTheme="minorEastAsia"/>
                <w:b w:val="0"/>
                <w:bCs w:val="0"/>
                <w:strike w:val="0"/>
                <w:dstrike w:val="0"/>
                <w:color w:val="auto"/>
                <w:sz w:val="15"/>
                <w:szCs w:val="15"/>
                <w:highlight w:val="none"/>
                <w:lang w:val="en-US" w:eastAsia="zh-CN"/>
              </w:rPr>
              <w:t xml:space="preserve"> 6</w:t>
            </w:r>
            <w:r>
              <w:rPr>
                <w:rFonts w:hint="eastAsia" w:asciiTheme="minorEastAsia" w:hAnsiTheme="minorEastAsia" w:eastAsiaTheme="minorEastAsia"/>
                <w:b w:val="0"/>
                <w:bCs w:val="0"/>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22A8DAF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FDDAB3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餐饮服务单位未按规定收集、交运、处理厨余垃圾的行为，优先适用</w:t>
            </w:r>
            <w:r>
              <w:rPr>
                <w:rFonts w:hint="eastAsia" w:asciiTheme="minorEastAsia" w:hAnsiTheme="minorEastAsia" w:eastAsiaTheme="minorEastAsia"/>
                <w:color w:val="auto"/>
                <w:sz w:val="15"/>
                <w:szCs w:val="15"/>
                <w:highlight w:val="none"/>
              </w:rPr>
              <w:t>第四十八条第二款的规定，依据第七十四条第一款予以处罚。</w:t>
            </w:r>
          </w:p>
        </w:tc>
      </w:tr>
      <w:tr w14:paraId="36D1F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11" w:hRule="atLeast"/>
          <w:jc w:val="center"/>
        </w:trPr>
        <w:tc>
          <w:tcPr>
            <w:tcW w:w="610" w:type="dxa"/>
            <w:shd w:val="clear" w:color="auto" w:fill="auto"/>
            <w:vAlign w:val="center"/>
          </w:tcPr>
          <w:p w14:paraId="107056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14:paraId="579C2714">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分类管理责任人未办理生活垃圾排放登记</w:t>
            </w:r>
          </w:p>
        </w:tc>
        <w:tc>
          <w:tcPr>
            <w:tcW w:w="2789" w:type="dxa"/>
            <w:gridSpan w:val="2"/>
            <w:shd w:val="clear" w:color="auto" w:fill="auto"/>
            <w:vAlign w:val="center"/>
          </w:tcPr>
          <w:p w14:paraId="48399A62">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　</w:t>
            </w:r>
          </w:p>
        </w:tc>
        <w:tc>
          <w:tcPr>
            <w:tcW w:w="851" w:type="dxa"/>
            <w:shd w:val="clear" w:color="auto" w:fill="auto"/>
            <w:vAlign w:val="center"/>
          </w:tcPr>
          <w:p w14:paraId="2E9EEDBB">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w:t>
            </w:r>
          </w:p>
        </w:tc>
        <w:tc>
          <w:tcPr>
            <w:tcW w:w="840" w:type="dxa"/>
            <w:shd w:val="clear" w:color="auto" w:fill="auto"/>
            <w:vAlign w:val="center"/>
          </w:tcPr>
          <w:p w14:paraId="19B929A6">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F4BE357">
            <w:pPr>
              <w:spacing w:line="200" w:lineRule="exact"/>
              <w:rPr>
                <w:rFonts w:cs="宋体" w:asciiTheme="minorEastAsia" w:hAnsiTheme="minorEastAsia" w:eastAsiaTheme="minorEastAsia"/>
                <w:color w:val="auto"/>
                <w:kern w:val="0"/>
                <w:sz w:val="15"/>
                <w:szCs w:val="15"/>
                <w:highlight w:val="none"/>
              </w:rPr>
            </w:pPr>
            <w:r>
              <w:rPr>
                <w:rFonts w:hint="default" w:ascii="宋体" w:hAnsi="宋体"/>
                <w:b w:val="0"/>
                <w:bCs w:val="0"/>
                <w:color w:val="auto"/>
                <w:spacing w:val="-4"/>
                <w:sz w:val="15"/>
                <w:szCs w:val="15"/>
                <w:highlight w:val="none"/>
                <w:lang w:val="en-US"/>
              </w:rPr>
              <w:t>1.</w:t>
            </w:r>
            <w:r>
              <w:rPr>
                <w:rFonts w:hint="eastAsia" w:ascii="宋体" w:hAnsi="宋体"/>
                <w:b w:val="0"/>
                <w:bCs w:val="0"/>
                <w:color w:val="auto"/>
                <w:spacing w:val="-4"/>
                <w:sz w:val="15"/>
                <w:szCs w:val="15"/>
                <w:highlight w:val="none"/>
                <w:lang w:eastAsia="zh-CN"/>
              </w:rPr>
              <w:t>未办理排放登记时间</w:t>
            </w:r>
            <w:r>
              <w:rPr>
                <w:rFonts w:hint="eastAsia" w:ascii="宋体" w:hAnsi="宋体"/>
                <w:b w:val="0"/>
                <w:bCs w:val="0"/>
                <w:color w:val="auto"/>
                <w:spacing w:val="-4"/>
                <w:sz w:val="15"/>
                <w:szCs w:val="15"/>
                <w:highlight w:val="none"/>
                <w:lang w:val="en-US" w:eastAsia="zh-CN"/>
              </w:rPr>
              <w:t>1个月以上的，系数1；2个月以上的，系数2；3个月以上的，系数3；4个月及以上的，系数4。2.</w:t>
            </w:r>
            <w:r>
              <w:rPr>
                <w:rFonts w:hint="eastAsia" w:ascii="宋体" w:hAnsi="宋体" w:eastAsia="宋体"/>
                <w:b w:val="0"/>
                <w:bCs w:val="0"/>
                <w:color w:val="auto"/>
                <w:spacing w:val="-4"/>
                <w:sz w:val="15"/>
                <w:szCs w:val="15"/>
                <w:highlight w:val="none"/>
              </w:rPr>
              <w:t>造成环境较严重影响的，系数</w:t>
            </w:r>
            <w:r>
              <w:rPr>
                <w:rFonts w:hint="eastAsia" w:ascii="宋体" w:hAnsi="宋体" w:eastAsia="宋体"/>
                <w:b w:val="0"/>
                <w:bCs w:val="0"/>
                <w:strike w:val="0"/>
                <w:dstrike w:val="0"/>
                <w:color w:val="auto"/>
                <w:spacing w:val="-4"/>
                <w:sz w:val="15"/>
                <w:szCs w:val="15"/>
                <w:highlight w:val="none"/>
                <w:lang w:val="en-US" w:eastAsia="zh-CN"/>
              </w:rPr>
              <w:t>2-4</w:t>
            </w:r>
            <w:r>
              <w:rPr>
                <w:rFonts w:hint="eastAsia" w:ascii="宋体" w:hAnsi="宋体"/>
                <w:b w:val="0"/>
                <w:bCs w:val="0"/>
                <w:color w:val="auto"/>
                <w:spacing w:val="-4"/>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val="en-US" w:eastAsia="zh-CN"/>
              </w:rPr>
              <w:t>存在</w:t>
            </w:r>
            <w:r>
              <w:rPr>
                <w:rFonts w:hint="eastAsia" w:cs="宋体" w:asciiTheme="minorEastAsia" w:hAnsiTheme="minorEastAsia" w:eastAsiaTheme="minorEastAsia"/>
                <w:color w:val="auto"/>
                <w:kern w:val="0"/>
                <w:sz w:val="15"/>
                <w:szCs w:val="15"/>
                <w:highlight w:val="none"/>
                <w:lang w:val="en-US" w:eastAsia="zh-CN"/>
              </w:rPr>
              <w:t>基准2.1.3规定情形的，系数按照相关规定确定（基准2.1.3.5不适用）。</w:t>
            </w:r>
          </w:p>
        </w:tc>
        <w:tc>
          <w:tcPr>
            <w:tcW w:w="1875" w:type="dxa"/>
            <w:gridSpan w:val="2"/>
            <w:shd w:val="clear" w:color="auto" w:fill="auto"/>
            <w:vAlign w:val="center"/>
          </w:tcPr>
          <w:p w14:paraId="36DF7ACF">
            <w:pPr>
              <w:spacing w:line="20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DF58315">
            <w:pPr>
              <w:spacing w:line="240" w:lineRule="exact"/>
              <w:rPr>
                <w:rFonts w:asciiTheme="minorEastAsia" w:hAnsiTheme="minorEastAsia" w:eastAsiaTheme="minorEastAsia"/>
                <w:color w:val="auto"/>
                <w:sz w:val="15"/>
                <w:szCs w:val="15"/>
                <w:highlight w:val="none"/>
              </w:rPr>
            </w:pPr>
          </w:p>
        </w:tc>
      </w:tr>
      <w:tr w14:paraId="1C880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5A94E05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14:paraId="69121F74">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分类管理责任人未如实办理生活垃圾排放登记</w:t>
            </w:r>
          </w:p>
        </w:tc>
        <w:tc>
          <w:tcPr>
            <w:tcW w:w="2789" w:type="dxa"/>
            <w:gridSpan w:val="2"/>
            <w:shd w:val="clear" w:color="auto" w:fill="auto"/>
            <w:vAlign w:val="center"/>
          </w:tcPr>
          <w:p w14:paraId="7DFBBB13">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w:t>
            </w:r>
          </w:p>
        </w:tc>
        <w:tc>
          <w:tcPr>
            <w:tcW w:w="851" w:type="dxa"/>
            <w:shd w:val="clear" w:color="auto" w:fill="auto"/>
            <w:vAlign w:val="center"/>
          </w:tcPr>
          <w:p w14:paraId="7096E9C7">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3EC8990E">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E655D3B">
            <w:pPr>
              <w:widowControl w:val="0"/>
              <w:numPr>
                <w:ilvl w:val="0"/>
                <w:numId w:val="0"/>
              </w:numPr>
              <w:ind w:left="0" w:leftChars="0" w:firstLine="0" w:firstLineChars="0"/>
              <w:jc w:val="both"/>
              <w:rPr>
                <w:rFonts w:hint="eastAsia" w:eastAsia="宋体" w:cs="宋体" w:asciiTheme="minorEastAsia" w:hAnsiTheme="minorEastAsia"/>
                <w:color w:val="auto"/>
                <w:kern w:val="0"/>
                <w:sz w:val="15"/>
                <w:szCs w:val="15"/>
                <w:highlight w:val="none"/>
                <w:lang w:eastAsia="zh-CN"/>
              </w:rPr>
            </w:pPr>
            <w:r>
              <w:rPr>
                <w:rFonts w:hint="eastAsia" w:ascii="宋体" w:hAnsi="宋体" w:eastAsia="宋体"/>
                <w:color w:val="auto"/>
                <w:sz w:val="15"/>
                <w:szCs w:val="15"/>
                <w:highlight w:val="none"/>
                <w:lang w:val="en-US" w:eastAsia="zh-CN"/>
              </w:rPr>
              <w:t>1.</w:t>
            </w:r>
            <w:r>
              <w:rPr>
                <w:rFonts w:hint="eastAsia" w:ascii="宋体" w:hAnsi="宋体"/>
                <w:color w:val="auto"/>
                <w:sz w:val="15"/>
                <w:szCs w:val="15"/>
                <w:highlight w:val="none"/>
                <w:lang w:val="en-US" w:eastAsia="zh-CN"/>
              </w:rPr>
              <w:t>缺少</w:t>
            </w:r>
            <w:r>
              <w:rPr>
                <w:rFonts w:hint="default" w:ascii="宋体" w:hAnsi="宋体"/>
                <w:color w:val="auto"/>
                <w:sz w:val="15"/>
                <w:szCs w:val="15"/>
                <w:highlight w:val="none"/>
                <w:lang w:val="en-US" w:eastAsia="zh-CN"/>
              </w:rPr>
              <w:t>2</w:t>
            </w:r>
            <w:r>
              <w:rPr>
                <w:rFonts w:hint="eastAsia" w:ascii="宋体" w:hAnsi="宋体"/>
                <w:color w:val="auto"/>
                <w:sz w:val="15"/>
                <w:szCs w:val="15"/>
                <w:highlight w:val="none"/>
                <w:lang w:val="en-US" w:eastAsia="zh-CN"/>
              </w:rPr>
              <w:t>项的，系数</w:t>
            </w:r>
            <w:r>
              <w:rPr>
                <w:rFonts w:hint="default" w:ascii="宋体" w:hAnsi="宋体"/>
                <w:color w:val="auto"/>
                <w:sz w:val="15"/>
                <w:szCs w:val="15"/>
                <w:highlight w:val="none"/>
                <w:lang w:val="en-US" w:eastAsia="zh-CN"/>
              </w:rPr>
              <w:t>1</w:t>
            </w:r>
            <w:r>
              <w:rPr>
                <w:rFonts w:hint="eastAsia" w:ascii="宋体" w:hAnsi="宋体"/>
                <w:color w:val="auto"/>
                <w:sz w:val="15"/>
                <w:szCs w:val="15"/>
                <w:highlight w:val="none"/>
                <w:lang w:val="en-US" w:eastAsia="zh-CN"/>
              </w:rPr>
              <w:t>；缺少3项的，系数</w:t>
            </w:r>
            <w:r>
              <w:rPr>
                <w:rFonts w:hint="default" w:ascii="宋体" w:hAnsi="宋体"/>
                <w:color w:val="auto"/>
                <w:sz w:val="15"/>
                <w:szCs w:val="15"/>
                <w:highlight w:val="none"/>
                <w:lang w:val="en-US" w:eastAsia="zh-CN"/>
              </w:rPr>
              <w:t>2</w:t>
            </w:r>
            <w:r>
              <w:rPr>
                <w:rFonts w:hint="eastAsia" w:ascii="宋体" w:hAnsi="宋体"/>
                <w:color w:val="auto"/>
                <w:sz w:val="15"/>
                <w:szCs w:val="15"/>
                <w:highlight w:val="none"/>
                <w:lang w:val="en-US" w:eastAsia="zh-CN"/>
              </w:rPr>
              <w:t>；缺少4的，系数3；缺少5项及以上的，系数4。</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w:t>
            </w:r>
            <w:r>
              <w:rPr>
                <w:rFonts w:hint="eastAsia" w:ascii="宋体" w:hAnsi="宋体" w:eastAsia="宋体"/>
                <w:color w:val="auto"/>
                <w:spacing w:val="-4"/>
                <w:sz w:val="15"/>
                <w:szCs w:val="15"/>
                <w:highlight w:val="none"/>
                <w:lang w:eastAsia="zh-CN"/>
              </w:rPr>
              <w:t>登记</w:t>
            </w:r>
            <w:r>
              <w:rPr>
                <w:rFonts w:hint="eastAsia" w:ascii="宋体" w:hAnsi="宋体" w:eastAsia="宋体" w:cs="宋体"/>
                <w:color w:val="auto"/>
                <w:kern w:val="0"/>
                <w:sz w:val="15"/>
                <w:szCs w:val="15"/>
                <w:highlight w:val="none"/>
              </w:rPr>
              <w:t>存在弄虚作假</w:t>
            </w:r>
            <w:r>
              <w:rPr>
                <w:rFonts w:hint="eastAsia" w:ascii="宋体" w:hAnsi="宋体" w:cs="宋体"/>
                <w:color w:val="auto"/>
                <w:kern w:val="0"/>
                <w:sz w:val="15"/>
                <w:szCs w:val="15"/>
                <w:highlight w:val="none"/>
                <w:lang w:eastAsia="zh-CN"/>
              </w:rPr>
              <w:t>或</w:t>
            </w:r>
            <w:r>
              <w:rPr>
                <w:rFonts w:hint="eastAsia" w:ascii="宋体" w:hAnsi="宋体" w:eastAsia="宋体" w:cs="宋体"/>
                <w:color w:val="auto"/>
                <w:kern w:val="0"/>
                <w:sz w:val="15"/>
                <w:szCs w:val="15"/>
                <w:highlight w:val="none"/>
              </w:rPr>
              <w:t>较严重影响的情形，系数</w:t>
            </w:r>
            <w:r>
              <w:rPr>
                <w:rFonts w:hint="eastAsia" w:ascii="宋体" w:hAnsi="宋体" w:eastAsia="宋体" w:cs="宋体"/>
                <w:color w:val="auto"/>
                <w:kern w:val="0"/>
                <w:sz w:val="15"/>
                <w:szCs w:val="15"/>
                <w:highlight w:val="none"/>
                <w:lang w:val="en-US" w:eastAsia="zh-CN"/>
              </w:rPr>
              <w:t>3-4</w:t>
            </w:r>
            <w:r>
              <w:rPr>
                <w:rFonts w:hint="eastAsia" w:ascii="宋体" w:hAnsi="宋体" w:cs="宋体"/>
                <w:color w:val="auto"/>
                <w:kern w:val="0"/>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0D444318">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251680BE">
            <w:pPr>
              <w:spacing w:line="240" w:lineRule="exact"/>
              <w:rPr>
                <w:rFonts w:asciiTheme="minorEastAsia" w:hAnsiTheme="minorEastAsia" w:eastAsiaTheme="minorEastAsia"/>
                <w:color w:val="auto"/>
                <w:sz w:val="15"/>
                <w:szCs w:val="15"/>
                <w:highlight w:val="none"/>
              </w:rPr>
            </w:pPr>
          </w:p>
        </w:tc>
      </w:tr>
      <w:tr w14:paraId="13F28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65" w:hRule="atLeast"/>
          <w:jc w:val="center"/>
        </w:trPr>
        <w:tc>
          <w:tcPr>
            <w:tcW w:w="610" w:type="dxa"/>
            <w:shd w:val="clear" w:color="auto" w:fill="auto"/>
            <w:vAlign w:val="center"/>
          </w:tcPr>
          <w:p w14:paraId="4DC4B1E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14:paraId="0EBF6C1F">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分类管理责任人未建立生活垃圾管理台账</w:t>
            </w:r>
          </w:p>
        </w:tc>
        <w:tc>
          <w:tcPr>
            <w:tcW w:w="2789" w:type="dxa"/>
            <w:gridSpan w:val="2"/>
            <w:shd w:val="clear" w:color="auto" w:fill="auto"/>
            <w:vAlign w:val="center"/>
          </w:tcPr>
          <w:p w14:paraId="59CC3911">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14:paraId="7AF6CD59">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1000</w:t>
            </w:r>
          </w:p>
        </w:tc>
        <w:tc>
          <w:tcPr>
            <w:tcW w:w="840" w:type="dxa"/>
            <w:shd w:val="clear" w:color="auto" w:fill="auto"/>
            <w:vAlign w:val="center"/>
          </w:tcPr>
          <w:p w14:paraId="194093EE">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F26EB32">
            <w:pPr>
              <w:spacing w:line="200" w:lineRule="exact"/>
              <w:rPr>
                <w:rFonts w:hint="eastAsia" w:eastAsia="宋体" w:asciiTheme="minorEastAsia" w:hAnsiTheme="minorEastAsia"/>
                <w:color w:val="auto"/>
                <w:sz w:val="15"/>
                <w:szCs w:val="15"/>
                <w:highlight w:val="none"/>
                <w:lang w:eastAsia="zh-CN"/>
              </w:rPr>
            </w:pP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eastAsia="宋体"/>
                <w:b w:val="0"/>
                <w:bCs w:val="0"/>
                <w:strike w:val="0"/>
                <w:dstrike w:val="0"/>
                <w:color w:val="auto"/>
                <w:sz w:val="15"/>
                <w:szCs w:val="15"/>
                <w:highlight w:val="none"/>
              </w:rPr>
              <w:t>.违法行为持续时间</w:t>
            </w:r>
            <w:r>
              <w:rPr>
                <w:rFonts w:hint="eastAsia" w:ascii="宋体" w:hAnsi="宋体"/>
                <w:b w:val="0"/>
                <w:bCs w:val="0"/>
                <w:strike w:val="0"/>
                <w:dstrike w:val="0"/>
                <w:color w:val="auto"/>
                <w:sz w:val="15"/>
                <w:szCs w:val="15"/>
                <w:highlight w:val="none"/>
                <w:lang w:eastAsia="zh-CN"/>
              </w:rPr>
              <w:t>一个月以上</w:t>
            </w:r>
            <w:r>
              <w:rPr>
                <w:rFonts w:hint="eastAsia" w:ascii="宋体" w:hAnsi="宋体" w:eastAsia="宋体"/>
                <w:b w:val="0"/>
                <w:bCs w:val="0"/>
                <w:strike w:val="0"/>
                <w:dstrike w:val="0"/>
                <w:color w:val="auto"/>
                <w:sz w:val="15"/>
                <w:szCs w:val="15"/>
                <w:highlight w:val="none"/>
              </w:rPr>
              <w:t>，垃圾产生量较</w:t>
            </w:r>
            <w:r>
              <w:rPr>
                <w:rFonts w:hint="eastAsia" w:ascii="宋体" w:hAnsi="宋体" w:eastAsia="宋体"/>
                <w:b w:val="0"/>
                <w:bCs w:val="0"/>
                <w:strike w:val="0"/>
                <w:dstrike w:val="0"/>
                <w:color w:val="auto"/>
                <w:spacing w:val="-4"/>
                <w:sz w:val="15"/>
                <w:szCs w:val="15"/>
                <w:highlight w:val="none"/>
              </w:rPr>
              <w:t>大，</w:t>
            </w:r>
            <w:r>
              <w:rPr>
                <w:rFonts w:hint="eastAsia" w:ascii="宋体" w:hAnsi="宋体"/>
                <w:b w:val="0"/>
                <w:bCs w:val="0"/>
                <w:strike w:val="0"/>
                <w:dstrike w:val="0"/>
                <w:color w:val="auto"/>
                <w:spacing w:val="-4"/>
                <w:sz w:val="15"/>
                <w:szCs w:val="15"/>
                <w:highlight w:val="none"/>
                <w:lang w:eastAsia="zh-CN"/>
              </w:rPr>
              <w:t>系数</w:t>
            </w:r>
            <w:r>
              <w:rPr>
                <w:rFonts w:hint="eastAsia" w:ascii="宋体" w:hAnsi="宋体" w:eastAsia="宋体"/>
                <w:b w:val="0"/>
                <w:bCs w:val="0"/>
                <w:strike w:val="0"/>
                <w:dstrike w:val="0"/>
                <w:color w:val="auto"/>
                <w:spacing w:val="-4"/>
                <w:sz w:val="15"/>
                <w:szCs w:val="15"/>
                <w:highlight w:val="none"/>
              </w:rPr>
              <w:t>2-4；</w:t>
            </w:r>
            <w:r>
              <w:rPr>
                <w:rFonts w:hint="eastAsia" w:ascii="宋体" w:hAnsi="宋体" w:eastAsia="宋体"/>
                <w:b w:val="0"/>
                <w:bCs w:val="0"/>
                <w:strike w:val="0"/>
                <w:dstrike w:val="0"/>
                <w:color w:val="auto"/>
                <w:spacing w:val="-4"/>
                <w:sz w:val="15"/>
                <w:szCs w:val="15"/>
                <w:highlight w:val="none"/>
                <w:lang w:val="en-US" w:eastAsia="zh-CN"/>
              </w:rPr>
              <w:t>2</w:t>
            </w:r>
            <w:r>
              <w:rPr>
                <w:rFonts w:hint="eastAsia" w:ascii="宋体" w:hAnsi="宋体" w:eastAsia="宋体"/>
                <w:b w:val="0"/>
                <w:bCs w:val="0"/>
                <w:strike w:val="0"/>
                <w:dstrike w:val="0"/>
                <w:color w:val="auto"/>
                <w:spacing w:val="-4"/>
                <w:sz w:val="15"/>
                <w:szCs w:val="15"/>
                <w:highlight w:val="none"/>
              </w:rPr>
              <w:t>.造成环境较严重影响的</w:t>
            </w:r>
            <w:r>
              <w:rPr>
                <w:rFonts w:hint="eastAsia" w:ascii="宋体" w:hAnsi="宋体" w:eastAsia="宋体"/>
                <w:strike w:val="0"/>
                <w:dstrike w:val="0"/>
                <w:color w:val="auto"/>
                <w:spacing w:val="-4"/>
                <w:sz w:val="15"/>
                <w:szCs w:val="15"/>
                <w:highlight w:val="none"/>
              </w:rPr>
              <w:t>，系数5-9</w:t>
            </w:r>
            <w:r>
              <w:rPr>
                <w:rFonts w:hint="eastAsia" w:ascii="宋体" w:hAnsi="宋体"/>
                <w:strike w:val="0"/>
                <w:dstrike w:val="0"/>
                <w:color w:val="auto"/>
                <w:spacing w:val="-4"/>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1FA1653B">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C69D374">
            <w:pPr>
              <w:spacing w:line="232" w:lineRule="exact"/>
              <w:jc w:val="left"/>
              <w:rPr>
                <w:rFonts w:hint="default" w:cs="宋体" w:asciiTheme="minorEastAsia" w:hAnsiTheme="minorEastAsia" w:eastAsiaTheme="minorEastAsia"/>
                <w:color w:val="auto"/>
                <w:kern w:val="0"/>
                <w:sz w:val="15"/>
                <w:szCs w:val="15"/>
                <w:highlight w:val="none"/>
                <w:lang w:val="en-US" w:eastAsia="zh-CN"/>
              </w:rPr>
            </w:pPr>
          </w:p>
        </w:tc>
      </w:tr>
      <w:tr w14:paraId="31333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2" w:hRule="atLeast"/>
          <w:jc w:val="center"/>
        </w:trPr>
        <w:tc>
          <w:tcPr>
            <w:tcW w:w="610" w:type="dxa"/>
            <w:shd w:val="clear" w:color="auto" w:fill="auto"/>
            <w:vAlign w:val="center"/>
          </w:tcPr>
          <w:p w14:paraId="25B6158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14:paraId="004F25BB">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分类管理责任人未如实记录生活垃圾排放情况</w:t>
            </w:r>
          </w:p>
        </w:tc>
        <w:tc>
          <w:tcPr>
            <w:tcW w:w="2789" w:type="dxa"/>
            <w:gridSpan w:val="2"/>
            <w:shd w:val="clear" w:color="auto" w:fill="auto"/>
            <w:vAlign w:val="center"/>
          </w:tcPr>
          <w:p w14:paraId="5A0DEE59">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14:paraId="545CC777">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2D54B36F">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36C9E0A">
            <w:pPr>
              <w:spacing w:line="200" w:lineRule="exact"/>
              <w:rPr>
                <w:rFonts w:hint="default" w:asciiTheme="minorEastAsia" w:hAnsiTheme="minorEastAsia" w:eastAsiaTheme="minorEastAsia"/>
                <w:color w:val="auto"/>
                <w:sz w:val="15"/>
                <w:szCs w:val="15"/>
                <w:highlight w:val="none"/>
                <w:lang w:val="en-US"/>
              </w:rPr>
            </w:pPr>
            <w:r>
              <w:rPr>
                <w:rFonts w:hint="eastAsia" w:ascii="宋体" w:hAnsi="宋体" w:eastAsia="宋体"/>
                <w:color w:val="auto"/>
                <w:sz w:val="15"/>
                <w:szCs w:val="15"/>
                <w:highlight w:val="none"/>
              </w:rPr>
              <w:t>1.台账未记录实际产生的生活垃圾的种类、数量、运输者、去向等情况，</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记录内容</w:t>
            </w:r>
            <w:r>
              <w:rPr>
                <w:rFonts w:ascii="宋体" w:hAnsi="宋体" w:eastAsia="宋体"/>
                <w:color w:val="auto"/>
                <w:sz w:val="15"/>
                <w:szCs w:val="15"/>
                <w:highlight w:val="none"/>
              </w:rPr>
              <w:t>每</w:t>
            </w:r>
            <w:r>
              <w:rPr>
                <w:rFonts w:hint="eastAsia" w:ascii="宋体" w:hAnsi="宋体" w:eastAsia="宋体"/>
                <w:color w:val="auto"/>
                <w:sz w:val="15"/>
                <w:szCs w:val="15"/>
                <w:highlight w:val="none"/>
              </w:rPr>
              <w:t>缺少1项</w:t>
            </w:r>
            <w:r>
              <w:rPr>
                <w:rFonts w:ascii="宋体" w:hAnsi="宋体" w:eastAsia="宋体"/>
                <w:color w:val="auto"/>
                <w:sz w:val="15"/>
                <w:szCs w:val="15"/>
                <w:highlight w:val="none"/>
              </w:rPr>
              <w:t>系数加</w:t>
            </w:r>
            <w:r>
              <w:rPr>
                <w:rFonts w:hint="eastAsia" w:ascii="宋体" w:hAnsi="宋体" w:eastAsia="宋体"/>
                <w:color w:val="auto"/>
                <w:sz w:val="15"/>
                <w:szCs w:val="15"/>
                <w:highlight w:val="none"/>
              </w:rPr>
              <w:t>1；</w:t>
            </w:r>
            <w:r>
              <w:rPr>
                <w:rFonts w:hint="eastAsia" w:ascii="宋体" w:hAnsi="宋体" w:eastAsia="宋体"/>
                <w:strike w:val="0"/>
                <w:dstrike w:val="0"/>
                <w:color w:val="auto"/>
                <w:sz w:val="15"/>
                <w:szCs w:val="15"/>
                <w:highlight w:val="none"/>
              </w:rPr>
              <w:t>2.</w:t>
            </w:r>
            <w:r>
              <w:rPr>
                <w:rFonts w:hint="eastAsia" w:ascii="宋体" w:hAnsi="宋体" w:eastAsia="宋体"/>
                <w:color w:val="auto"/>
                <w:spacing w:val="-4"/>
                <w:sz w:val="15"/>
                <w:szCs w:val="15"/>
                <w:highlight w:val="none"/>
                <w:lang w:eastAsia="zh-CN"/>
              </w:rPr>
              <w:t>记录</w:t>
            </w:r>
            <w:r>
              <w:rPr>
                <w:rFonts w:hint="eastAsia" w:ascii="宋体" w:hAnsi="宋体" w:eastAsia="宋体" w:cs="宋体"/>
                <w:color w:val="auto"/>
                <w:kern w:val="0"/>
                <w:sz w:val="15"/>
                <w:szCs w:val="15"/>
                <w:highlight w:val="none"/>
              </w:rPr>
              <w:t>存在弄虚作假或较严重影响的情形，系数</w:t>
            </w:r>
            <w:r>
              <w:rPr>
                <w:rFonts w:hint="eastAsia" w:ascii="宋体" w:hAnsi="宋体" w:eastAsia="宋体" w:cs="宋体"/>
                <w:color w:val="auto"/>
                <w:kern w:val="0"/>
                <w:sz w:val="15"/>
                <w:szCs w:val="15"/>
                <w:highlight w:val="none"/>
                <w:lang w:val="en-US" w:eastAsia="zh-CN"/>
              </w:rPr>
              <w:t>5-9</w:t>
            </w:r>
            <w:r>
              <w:rPr>
                <w:rFonts w:hint="eastAsia" w:ascii="宋体" w:hAnsi="宋体" w:cs="宋体"/>
                <w:color w:val="auto"/>
                <w:kern w:val="0"/>
                <w:sz w:val="15"/>
                <w:szCs w:val="15"/>
                <w:highlight w:val="none"/>
                <w:lang w:val="en-US" w:eastAsia="zh-CN"/>
              </w:rPr>
              <w:t>；</w:t>
            </w:r>
            <w:r>
              <w:rPr>
                <w:rFonts w:hint="eastAsia" w:asciiTheme="minorEastAsia" w:hAnsiTheme="minorEastAsia" w:eastAsiaTheme="minorEastAsia"/>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56343646">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tcPr>
          <w:p w14:paraId="53D24EC7">
            <w:pPr>
              <w:spacing w:line="232" w:lineRule="exact"/>
              <w:rPr>
                <w:rFonts w:cs="宋体" w:asciiTheme="minorEastAsia" w:hAnsiTheme="minorEastAsia" w:eastAsiaTheme="minorEastAsia"/>
                <w:color w:val="auto"/>
                <w:kern w:val="0"/>
                <w:sz w:val="15"/>
                <w:szCs w:val="15"/>
                <w:highlight w:val="none"/>
              </w:rPr>
            </w:pPr>
          </w:p>
        </w:tc>
      </w:tr>
      <w:tr w14:paraId="48E9D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074" w:hRule="atLeast"/>
          <w:jc w:val="center"/>
        </w:trPr>
        <w:tc>
          <w:tcPr>
            <w:tcW w:w="610" w:type="dxa"/>
            <w:shd w:val="clear" w:color="auto" w:fill="auto"/>
            <w:vAlign w:val="center"/>
          </w:tcPr>
          <w:p w14:paraId="0257BF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auto"/>
            <w:vAlign w:val="center"/>
          </w:tcPr>
          <w:p w14:paraId="04FF97F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收集、运输单位未按时、分类收集、运输生活垃圾</w:t>
            </w:r>
          </w:p>
        </w:tc>
        <w:tc>
          <w:tcPr>
            <w:tcW w:w="2789" w:type="dxa"/>
            <w:gridSpan w:val="2"/>
            <w:shd w:val="clear" w:color="auto" w:fill="auto"/>
            <w:vAlign w:val="center"/>
          </w:tcPr>
          <w:p w14:paraId="6ED60F9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14:paraId="2A9AC45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58DA7D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0616D50">
            <w:pPr>
              <w:spacing w:line="232" w:lineRule="exact"/>
              <w:rPr>
                <w:rFonts w:cs="宋体" w:asciiTheme="minorEastAsia" w:hAnsiTheme="minorEastAsia" w:eastAsiaTheme="minorEastAsia"/>
                <w:b/>
                <w:color w:val="auto"/>
                <w:kern w:val="0"/>
                <w:sz w:val="15"/>
                <w:szCs w:val="15"/>
                <w:highlight w:val="none"/>
              </w:rPr>
            </w:pPr>
            <w:r>
              <w:rPr>
                <w:rFonts w:hint="eastAsia" w:ascii="宋体" w:hAnsi="宋体" w:eastAsia="宋体"/>
                <w:color w:val="auto"/>
                <w:sz w:val="15"/>
                <w:szCs w:val="15"/>
                <w:highlight w:val="none"/>
              </w:rPr>
              <w:t>1.未按时、分类收运生活垃圾的，</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0-1；2.违法行为持续时间较长</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收集、运输垃圾量较大，</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1-2；3.造成环境较严重影响的</w:t>
            </w:r>
            <w:r>
              <w:rPr>
                <w:rFonts w:hint="eastAsia" w:ascii="宋体" w:hAnsi="宋体" w:eastAsia="宋体"/>
                <w:color w:val="auto"/>
                <w:sz w:val="15"/>
                <w:szCs w:val="15"/>
                <w:highlight w:val="none"/>
                <w:lang w:eastAsia="zh-CN"/>
              </w:rPr>
              <w:t>，</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1-2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4</w:t>
            </w:r>
            <w:r>
              <w:rPr>
                <w:rFonts w:hint="eastAsia" w:asciiTheme="minorEastAsia" w:hAnsiTheme="minorEastAsia" w:eastAsiaTheme="minorEastAsia"/>
                <w:b w:val="0"/>
                <w:bCs w:val="0"/>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3FAA89D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2209239">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可以认定为“情节严重”情形的；</w:t>
            </w:r>
          </w:p>
          <w:p w14:paraId="1BF4C6F7">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14:paraId="5A4D3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959" w:hRule="atLeast"/>
          <w:jc w:val="center"/>
        </w:trPr>
        <w:tc>
          <w:tcPr>
            <w:tcW w:w="610" w:type="dxa"/>
            <w:shd w:val="clear" w:color="auto" w:fill="auto"/>
            <w:vAlign w:val="center"/>
          </w:tcPr>
          <w:p w14:paraId="7112677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830" w:type="dxa"/>
            <w:gridSpan w:val="3"/>
            <w:shd w:val="clear" w:color="auto" w:fill="auto"/>
            <w:vAlign w:val="center"/>
          </w:tcPr>
          <w:p w14:paraId="286CEFA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生活垃圾收集工具、运输车辆、人员不符合要求</w:t>
            </w:r>
          </w:p>
        </w:tc>
        <w:tc>
          <w:tcPr>
            <w:tcW w:w="2789" w:type="dxa"/>
            <w:gridSpan w:val="2"/>
            <w:shd w:val="clear" w:color="auto" w:fill="auto"/>
            <w:vAlign w:val="center"/>
          </w:tcPr>
          <w:p w14:paraId="143C453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14:paraId="492136E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5FF06F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CB2D1D6">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1.工具、车辆、人员其中两类不符合要求的，系数1；2.工具、车辆、人员都不符合要求的，系数2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b w:val="0"/>
                <w:bCs w:val="0"/>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00C5ABF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4A9C233A">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1.造成泄漏遗撒的，按照专项案由从重处罚。</w:t>
            </w:r>
          </w:p>
          <w:p w14:paraId="6C9AA2FF">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可以认定为“情节严重”情形的；</w:t>
            </w:r>
          </w:p>
          <w:p w14:paraId="25DA6967">
            <w:pPr>
              <w:spacing w:line="232" w:lineRule="exact"/>
              <w:rPr>
                <w:rFonts w:hint="eastAsia" w:cs="宋体" w:asciiTheme="minorEastAsia" w:hAnsiTheme="minorEastAsia" w:eastAsiaTheme="minorEastAsia"/>
                <w:b w:val="0"/>
                <w:bCs w:val="0"/>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r>
              <w:rPr>
                <w:rFonts w:hint="eastAsia" w:cs="宋体" w:asciiTheme="minorEastAsia" w:hAnsiTheme="minorEastAsia" w:eastAsiaTheme="minorEastAsia"/>
                <w:b w:val="0"/>
                <w:bCs w:val="0"/>
                <w:color w:val="auto"/>
                <w:kern w:val="0"/>
                <w:sz w:val="15"/>
                <w:szCs w:val="15"/>
                <w:highlight w:val="none"/>
                <w:lang w:eastAsia="zh-CN"/>
              </w:rPr>
              <w:t>。</w:t>
            </w:r>
          </w:p>
          <w:p w14:paraId="3CFA7674">
            <w:pPr>
              <w:spacing w:line="232" w:lineRule="exact"/>
              <w:rPr>
                <w:rFonts w:hint="eastAsia" w:cs="宋体" w:asciiTheme="minorEastAsia" w:hAnsiTheme="minorEastAsia" w:eastAsiaTheme="minorEastAsia"/>
                <w:b w:val="0"/>
                <w:bCs w:val="0"/>
                <w:color w:val="auto"/>
                <w:kern w:val="0"/>
                <w:sz w:val="15"/>
                <w:szCs w:val="15"/>
                <w:highlight w:val="none"/>
                <w:lang w:eastAsia="zh-CN"/>
              </w:rPr>
            </w:pPr>
          </w:p>
          <w:p w14:paraId="459906AC">
            <w:pPr>
              <w:spacing w:line="232" w:lineRule="exact"/>
              <w:rPr>
                <w:rFonts w:hint="eastAsia" w:cs="宋体" w:asciiTheme="minorEastAsia" w:hAnsiTheme="minorEastAsia" w:eastAsiaTheme="minorEastAsia"/>
                <w:b w:val="0"/>
                <w:bCs w:val="0"/>
                <w:color w:val="auto"/>
                <w:kern w:val="0"/>
                <w:sz w:val="15"/>
                <w:szCs w:val="15"/>
                <w:highlight w:val="none"/>
                <w:lang w:eastAsia="zh-CN"/>
              </w:rPr>
            </w:pPr>
          </w:p>
        </w:tc>
      </w:tr>
      <w:tr w14:paraId="3C7E2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65" w:hRule="atLeast"/>
          <w:jc w:val="center"/>
        </w:trPr>
        <w:tc>
          <w:tcPr>
            <w:tcW w:w="610" w:type="dxa"/>
            <w:shd w:val="clear" w:color="auto" w:fill="auto"/>
            <w:vAlign w:val="center"/>
          </w:tcPr>
          <w:p w14:paraId="7E0E58A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830" w:type="dxa"/>
            <w:gridSpan w:val="3"/>
            <w:shd w:val="clear" w:color="auto" w:fill="auto"/>
            <w:vAlign w:val="center"/>
          </w:tcPr>
          <w:p w14:paraId="0CC28EA7">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收集、运输单位未按要求将生活垃圾运输至集中收集设施或者转运、处理设施</w:t>
            </w:r>
          </w:p>
        </w:tc>
        <w:tc>
          <w:tcPr>
            <w:tcW w:w="2789" w:type="dxa"/>
            <w:gridSpan w:val="2"/>
            <w:vMerge w:val="restart"/>
            <w:shd w:val="clear" w:color="auto" w:fill="auto"/>
            <w:vAlign w:val="center"/>
          </w:tcPr>
          <w:p w14:paraId="43AB460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shd w:val="clear" w:color="auto" w:fill="auto"/>
            <w:vAlign w:val="center"/>
          </w:tcPr>
          <w:p w14:paraId="75E1432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vMerge w:val="restart"/>
            <w:shd w:val="clear" w:color="auto" w:fill="auto"/>
            <w:vAlign w:val="center"/>
          </w:tcPr>
          <w:p w14:paraId="25A39E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5ED3282">
            <w:pPr>
              <w:numPr>
                <w:ilvl w:val="0"/>
                <w:numId w:val="0"/>
              </w:numPr>
              <w:spacing w:line="232" w:lineRule="exact"/>
              <w:rPr>
                <w:rFonts w:hint="eastAsia" w:ascii="宋体" w:hAnsi="宋体"/>
                <w:b w:val="0"/>
                <w:bCs w:val="0"/>
                <w:strike w:val="0"/>
                <w:dstrike w:val="0"/>
                <w:color w:val="auto"/>
                <w:sz w:val="15"/>
                <w:szCs w:val="15"/>
                <w:highlight w:val="none"/>
                <w:lang w:val="en-US" w:eastAsia="zh-CN"/>
              </w:rPr>
            </w:pPr>
            <w:r>
              <w:rPr>
                <w:rFonts w:hint="eastAsia" w:ascii="宋体" w:hAnsi="宋体" w:eastAsia="宋体"/>
                <w:b w:val="0"/>
                <w:bCs w:val="0"/>
                <w:strike w:val="0"/>
                <w:dstrike w:val="0"/>
                <w:color w:val="auto"/>
                <w:sz w:val="15"/>
                <w:szCs w:val="15"/>
                <w:highlight w:val="none"/>
                <w:lang w:val="en-US" w:eastAsia="zh-CN"/>
              </w:rPr>
              <w:t>1.</w:t>
            </w:r>
            <w:r>
              <w:rPr>
                <w:rFonts w:hint="eastAsia" w:ascii="宋体" w:hAnsi="宋体"/>
                <w:b w:val="0"/>
                <w:bCs w:val="0"/>
                <w:strike w:val="0"/>
                <w:dstrike w:val="0"/>
                <w:color w:val="auto"/>
                <w:sz w:val="15"/>
                <w:szCs w:val="15"/>
                <w:highlight w:val="none"/>
                <w:lang w:val="en-US" w:eastAsia="zh-CN"/>
              </w:rPr>
              <w:t>存在使用不合规车辆的，系数1。</w:t>
            </w:r>
          </w:p>
          <w:p w14:paraId="0CC68D52">
            <w:pPr>
              <w:numPr>
                <w:ilvl w:val="0"/>
                <w:numId w:val="0"/>
              </w:numPr>
              <w:spacing w:line="232" w:lineRule="exact"/>
              <w:rPr>
                <w:rFonts w:hint="eastAsia" w:ascii="宋体" w:hAnsi="宋体" w:eastAsia="宋体"/>
                <w:b w:val="0"/>
                <w:bCs w:val="0"/>
                <w:color w:val="auto"/>
                <w:sz w:val="15"/>
                <w:szCs w:val="15"/>
                <w:highlight w:val="none"/>
                <w:lang w:eastAsia="zh-CN"/>
              </w:rPr>
            </w:pPr>
            <w:r>
              <w:rPr>
                <w:rFonts w:hint="eastAsia" w:ascii="宋体" w:hAnsi="宋体"/>
                <w:b w:val="0"/>
                <w:bCs w:val="0"/>
                <w:color w:val="auto"/>
                <w:sz w:val="15"/>
                <w:szCs w:val="15"/>
                <w:highlight w:val="none"/>
                <w:lang w:val="en-US" w:eastAsia="zh-CN"/>
              </w:rPr>
              <w:t>2.运输</w:t>
            </w:r>
            <w:r>
              <w:rPr>
                <w:rFonts w:hint="eastAsia" w:ascii="宋体" w:hAnsi="宋体" w:eastAsia="宋体"/>
                <w:b w:val="0"/>
                <w:bCs w:val="0"/>
                <w:color w:val="auto"/>
                <w:sz w:val="15"/>
                <w:szCs w:val="15"/>
                <w:highlight w:val="none"/>
                <w:lang w:val="en-US" w:eastAsia="zh-CN"/>
              </w:rPr>
              <w:t>2车次或者垃圾运输量5吨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以上10吨以下的，系数1</w:t>
            </w:r>
            <w:r>
              <w:rPr>
                <w:rFonts w:hint="eastAsia" w:ascii="宋体" w:hAnsi="宋体"/>
                <w:b w:val="0"/>
                <w:bCs w:val="0"/>
                <w:color w:val="auto"/>
                <w:sz w:val="15"/>
                <w:szCs w:val="15"/>
                <w:highlight w:val="none"/>
                <w:lang w:val="en-US" w:eastAsia="zh-CN"/>
              </w:rPr>
              <w:t>；3车次或者10吨及以上20吨以下的，系数2；4车次或者20吨及以上30吨以下的，系数3；5车次或者30吨及以上40吨以下的，系数4；6车次或者40吨及以上50吨以下的，系数5；</w:t>
            </w:r>
            <w:r>
              <w:rPr>
                <w:rFonts w:hint="eastAsia" w:ascii="宋体" w:hAnsi="宋体" w:eastAsia="宋体"/>
                <w:b w:val="0"/>
                <w:bCs w:val="0"/>
                <w:color w:val="auto"/>
                <w:sz w:val="15"/>
                <w:szCs w:val="15"/>
                <w:highlight w:val="none"/>
                <w:lang w:val="en-US" w:eastAsia="zh-CN"/>
              </w:rPr>
              <w:t>以此类推，每增加1车次或者每增加10吨，系数加1，10车次及以上或者</w:t>
            </w:r>
            <w:r>
              <w:rPr>
                <w:rFonts w:hint="eastAsia" w:ascii="宋体" w:hAnsi="宋体"/>
                <w:b w:val="0"/>
                <w:bCs w:val="0"/>
                <w:color w:val="auto"/>
                <w:sz w:val="15"/>
                <w:szCs w:val="15"/>
                <w:highlight w:val="none"/>
                <w:lang w:val="en-US" w:eastAsia="zh-CN"/>
              </w:rPr>
              <w:t>80</w:t>
            </w:r>
            <w:r>
              <w:rPr>
                <w:rFonts w:hint="eastAsia" w:ascii="宋体" w:hAnsi="宋体" w:eastAsia="宋体"/>
                <w:b w:val="0"/>
                <w:bCs w:val="0"/>
                <w:color w:val="auto"/>
                <w:sz w:val="15"/>
                <w:szCs w:val="15"/>
                <w:highlight w:val="none"/>
                <w:lang w:val="en-US" w:eastAsia="zh-CN"/>
              </w:rPr>
              <w:t>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以上的，系数9。3.</w:t>
            </w:r>
            <w:r>
              <w:rPr>
                <w:rFonts w:hint="eastAsia" w:ascii="宋体" w:hAnsi="宋体"/>
                <w:b w:val="0"/>
                <w:bCs w:val="0"/>
                <w:color w:val="auto"/>
                <w:sz w:val="15"/>
                <w:szCs w:val="15"/>
                <w:highlight w:val="none"/>
                <w:lang w:eastAsia="zh-CN"/>
              </w:rPr>
              <w:t>出现</w:t>
            </w:r>
            <w:r>
              <w:rPr>
                <w:rFonts w:hint="eastAsia" w:ascii="宋体" w:hAnsi="宋体" w:eastAsia="宋体"/>
                <w:b w:val="0"/>
                <w:bCs w:val="0"/>
                <w:color w:val="auto"/>
                <w:sz w:val="15"/>
                <w:szCs w:val="15"/>
                <w:highlight w:val="none"/>
              </w:rPr>
              <w:t>造成环境较严重影响</w:t>
            </w:r>
            <w:r>
              <w:rPr>
                <w:rFonts w:hint="eastAsia" w:ascii="宋体" w:hAnsi="宋体"/>
                <w:b w:val="0"/>
                <w:bCs w:val="0"/>
                <w:color w:val="auto"/>
                <w:sz w:val="15"/>
                <w:szCs w:val="15"/>
                <w:highlight w:val="none"/>
                <w:lang w:eastAsia="zh-CN"/>
              </w:rPr>
              <w:t>的</w:t>
            </w:r>
            <w:r>
              <w:rPr>
                <w:rFonts w:hint="eastAsia" w:ascii="宋体" w:hAnsi="宋体" w:eastAsia="宋体"/>
                <w:b w:val="0"/>
                <w:bCs w:val="0"/>
                <w:color w:val="auto"/>
                <w:sz w:val="15"/>
                <w:szCs w:val="15"/>
                <w:highlight w:val="none"/>
              </w:rPr>
              <w:t>，系数</w:t>
            </w:r>
            <w:r>
              <w:rPr>
                <w:rFonts w:hint="eastAsia" w:ascii="宋体" w:hAnsi="宋体"/>
                <w:b w:val="0"/>
                <w:bCs w:val="0"/>
                <w:strike w:val="0"/>
                <w:dstrike w:val="0"/>
                <w:color w:val="auto"/>
                <w:sz w:val="15"/>
                <w:szCs w:val="15"/>
                <w:highlight w:val="none"/>
                <w:lang w:val="en-US" w:eastAsia="zh-CN"/>
              </w:rPr>
              <w:t>5-6</w:t>
            </w:r>
            <w:r>
              <w:rPr>
                <w:rFonts w:hint="eastAsia" w:ascii="宋体" w:hAnsi="宋体" w:eastAsia="宋体"/>
                <w:b w:val="0"/>
                <w:bCs w:val="0"/>
                <w:color w:val="auto"/>
                <w:sz w:val="15"/>
                <w:szCs w:val="15"/>
                <w:highlight w:val="none"/>
                <w:lang w:eastAsia="zh-CN"/>
              </w:rPr>
              <w:t>。</w:t>
            </w:r>
          </w:p>
          <w:p w14:paraId="0A2C45AA">
            <w:pPr>
              <w:numPr>
                <w:ilvl w:val="0"/>
                <w:numId w:val="0"/>
              </w:num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ascii="宋体" w:hAnsi="宋体" w:eastAsia="宋体"/>
                <w:b w:val="0"/>
                <w:bCs w:val="0"/>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vMerge w:val="restart"/>
            <w:shd w:val="clear" w:color="auto" w:fill="auto"/>
            <w:vAlign w:val="center"/>
          </w:tcPr>
          <w:p w14:paraId="610ED1F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restart"/>
            <w:shd w:val="clear" w:color="auto" w:fill="auto"/>
            <w:vAlign w:val="center"/>
          </w:tcPr>
          <w:p w14:paraId="6D73C9A4">
            <w:pPr>
              <w:numPr>
                <w:ilvl w:val="0"/>
                <w:numId w:val="1"/>
              </w:num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可以认定为“情节严重”情形的；</w:t>
            </w:r>
          </w:p>
          <w:p w14:paraId="326D1B4B">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14:paraId="05915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86" w:hRule="atLeast"/>
          <w:jc w:val="center"/>
        </w:trPr>
        <w:tc>
          <w:tcPr>
            <w:tcW w:w="610" w:type="dxa"/>
            <w:shd w:val="clear" w:color="auto" w:fill="auto"/>
            <w:vAlign w:val="center"/>
          </w:tcPr>
          <w:p w14:paraId="261B8DA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830" w:type="dxa"/>
            <w:gridSpan w:val="3"/>
            <w:shd w:val="clear" w:color="auto" w:fill="auto"/>
            <w:vAlign w:val="center"/>
          </w:tcPr>
          <w:p w14:paraId="23DF87D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收集、运输单位将生活垃圾混装混运</w:t>
            </w:r>
          </w:p>
        </w:tc>
        <w:tc>
          <w:tcPr>
            <w:tcW w:w="2789" w:type="dxa"/>
            <w:gridSpan w:val="2"/>
            <w:vMerge w:val="continue"/>
            <w:shd w:val="clear" w:color="auto" w:fill="auto"/>
            <w:vAlign w:val="center"/>
          </w:tcPr>
          <w:p w14:paraId="35DEB920">
            <w:pPr>
              <w:spacing w:line="232" w:lineRule="exact"/>
              <w:rPr>
                <w:rFonts w:asciiTheme="minorEastAsia" w:hAnsiTheme="minorEastAsia" w:eastAsiaTheme="minorEastAsia"/>
                <w:color w:val="auto"/>
                <w:sz w:val="15"/>
                <w:szCs w:val="15"/>
                <w:highlight w:val="none"/>
              </w:rPr>
            </w:pPr>
          </w:p>
        </w:tc>
        <w:tc>
          <w:tcPr>
            <w:tcW w:w="851" w:type="dxa"/>
            <w:vMerge w:val="continue"/>
            <w:shd w:val="clear" w:color="auto" w:fill="auto"/>
            <w:vAlign w:val="center"/>
          </w:tcPr>
          <w:p w14:paraId="291C64E9">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14:paraId="6360D38E">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0DD89BD0">
            <w:pPr>
              <w:spacing w:line="232" w:lineRule="exact"/>
              <w:rPr>
                <w:rFonts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rPr>
              <w:t>1.将厨余垃圾混装混运，</w:t>
            </w:r>
            <w:r>
              <w:rPr>
                <w:rFonts w:hint="eastAsia" w:ascii="宋体" w:hAnsi="宋体"/>
                <w:strike w:val="0"/>
                <w:dstrike w:val="0"/>
                <w:color w:val="auto"/>
                <w:sz w:val="15"/>
                <w:szCs w:val="15"/>
                <w:highlight w:val="none"/>
                <w:lang w:eastAsia="zh-CN"/>
              </w:rPr>
              <w:t>系数</w:t>
            </w:r>
            <w:r>
              <w:rPr>
                <w:rFonts w:hint="eastAsia" w:ascii="宋体" w:hAnsi="宋体"/>
                <w:b/>
                <w:bCs/>
                <w:strike w:val="0"/>
                <w:dstrike w:val="0"/>
                <w:color w:val="auto"/>
                <w:sz w:val="15"/>
                <w:szCs w:val="15"/>
                <w:highlight w:val="none"/>
                <w:lang w:val="en-US" w:eastAsia="zh-CN"/>
              </w:rPr>
              <w:t>2</w:t>
            </w:r>
            <w:r>
              <w:rPr>
                <w:rFonts w:hint="eastAsia" w:ascii="宋体" w:hAnsi="宋体"/>
                <w:strike w:val="0"/>
                <w:dstrike w:val="0"/>
                <w:color w:val="auto"/>
                <w:sz w:val="15"/>
                <w:szCs w:val="15"/>
                <w:highlight w:val="none"/>
                <w:lang w:eastAsia="zh-CN"/>
              </w:rPr>
              <w:t>。</w:t>
            </w:r>
            <w:r>
              <w:rPr>
                <w:rFonts w:hint="eastAsia" w:ascii="宋体" w:hAnsi="宋体" w:eastAsia="宋体"/>
                <w:strike w:val="0"/>
                <w:dstrike w:val="0"/>
                <w:color w:val="auto"/>
                <w:sz w:val="15"/>
                <w:szCs w:val="15"/>
                <w:highlight w:val="none"/>
              </w:rPr>
              <w:t>2.将有害垃圾混装混运，</w:t>
            </w:r>
            <w:r>
              <w:rPr>
                <w:rFonts w:hint="eastAsia" w:ascii="宋体" w:hAnsi="宋体"/>
                <w:strike w:val="0"/>
                <w:dstrike w:val="0"/>
                <w:color w:val="auto"/>
                <w:sz w:val="15"/>
                <w:szCs w:val="15"/>
                <w:highlight w:val="none"/>
                <w:lang w:eastAsia="zh-CN"/>
              </w:rPr>
              <w:t>系数</w:t>
            </w:r>
            <w:r>
              <w:rPr>
                <w:rFonts w:hint="eastAsia" w:ascii="宋体" w:hAnsi="宋体"/>
                <w:b w:val="0"/>
                <w:bCs w:val="0"/>
                <w:strike w:val="0"/>
                <w:dstrike w:val="0"/>
                <w:color w:val="auto"/>
                <w:sz w:val="15"/>
                <w:szCs w:val="15"/>
                <w:highlight w:val="none"/>
                <w:lang w:val="en-US" w:eastAsia="zh-CN"/>
              </w:rPr>
              <w:t xml:space="preserve">3 </w:t>
            </w:r>
            <w:r>
              <w:rPr>
                <w:rFonts w:hint="eastAsia" w:ascii="宋体" w:hAnsi="宋体"/>
                <w:strike w:val="0"/>
                <w:dstrike w:val="0"/>
                <w:color w:val="auto"/>
                <w:sz w:val="15"/>
                <w:szCs w:val="15"/>
                <w:highlight w:val="none"/>
                <w:lang w:eastAsia="zh-CN"/>
              </w:rPr>
              <w:t>。</w:t>
            </w:r>
            <w:r>
              <w:rPr>
                <w:rFonts w:hint="eastAsia" w:ascii="宋体" w:hAnsi="宋体" w:eastAsia="宋体"/>
                <w:b w:val="0"/>
                <w:bCs w:val="0"/>
                <w:color w:val="auto"/>
                <w:sz w:val="15"/>
                <w:szCs w:val="15"/>
                <w:highlight w:val="none"/>
                <w:lang w:val="en-US" w:eastAsia="zh-CN"/>
              </w:rPr>
              <w:t>3.</w:t>
            </w:r>
            <w:r>
              <w:rPr>
                <w:rFonts w:hint="eastAsia" w:ascii="宋体" w:hAnsi="宋体"/>
                <w:b w:val="0"/>
                <w:bCs w:val="0"/>
                <w:strike w:val="0"/>
                <w:dstrike w:val="0"/>
                <w:color w:val="auto"/>
                <w:sz w:val="15"/>
                <w:szCs w:val="15"/>
                <w:highlight w:val="none"/>
                <w:lang w:val="en-US" w:eastAsia="zh-CN"/>
              </w:rPr>
              <w:t>存在使用不合规车辆的，系数1。4.</w:t>
            </w:r>
            <w:r>
              <w:rPr>
                <w:rFonts w:hint="eastAsia" w:ascii="宋体" w:hAnsi="宋体" w:eastAsia="宋体"/>
                <w:b w:val="0"/>
                <w:bCs w:val="0"/>
                <w:color w:val="auto"/>
                <w:sz w:val="15"/>
                <w:szCs w:val="15"/>
                <w:highlight w:val="none"/>
                <w:lang w:val="en-US" w:eastAsia="zh-CN"/>
              </w:rPr>
              <w:t>运输2车次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垃圾运输量2吨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w:t>
            </w:r>
            <w:r>
              <w:rPr>
                <w:rFonts w:hint="eastAsia" w:ascii="宋体" w:hAnsi="宋体"/>
                <w:b w:val="0"/>
                <w:bCs w:val="0"/>
                <w:color w:val="auto"/>
                <w:sz w:val="15"/>
                <w:szCs w:val="15"/>
                <w:highlight w:val="none"/>
                <w:lang w:val="en-US" w:eastAsia="zh-CN"/>
              </w:rPr>
              <w:t>4吨以下</w:t>
            </w:r>
            <w:r>
              <w:rPr>
                <w:rFonts w:hint="eastAsia" w:ascii="宋体" w:hAnsi="宋体" w:eastAsia="宋体"/>
                <w:b w:val="0"/>
                <w:bCs w:val="0"/>
                <w:color w:val="auto"/>
                <w:sz w:val="15"/>
                <w:szCs w:val="15"/>
                <w:highlight w:val="none"/>
                <w:lang w:val="en-US" w:eastAsia="zh-CN"/>
              </w:rPr>
              <w:t>的，系数</w:t>
            </w:r>
            <w:r>
              <w:rPr>
                <w:rFonts w:hint="eastAsia" w:ascii="宋体" w:hAnsi="宋体"/>
                <w:b w:val="0"/>
                <w:bCs w:val="0"/>
                <w:color w:val="auto"/>
                <w:sz w:val="15"/>
                <w:szCs w:val="15"/>
                <w:highlight w:val="none"/>
                <w:lang w:val="en-US" w:eastAsia="zh-CN"/>
              </w:rPr>
              <w:t>1；运输3车次或者垃圾运输量4吨及以上6吨以下的，系数2；4车次或者6吨及以上8吨以下的，系数3；5车次或者8吨及以上10吨以下的，系数4；6车次或者10吨及以上12吨以下的，系数5；以此类推，10车次或者</w:t>
            </w:r>
            <w:r>
              <w:rPr>
                <w:rFonts w:hint="eastAsia" w:ascii="宋体" w:hAnsi="宋体" w:eastAsia="宋体"/>
                <w:b w:val="0"/>
                <w:bCs w:val="0"/>
                <w:color w:val="auto"/>
                <w:sz w:val="15"/>
                <w:szCs w:val="15"/>
                <w:highlight w:val="none"/>
                <w:lang w:val="en-US" w:eastAsia="zh-CN"/>
              </w:rPr>
              <w:t>18吨</w:t>
            </w:r>
            <w:r>
              <w:rPr>
                <w:rFonts w:hint="eastAsia" w:ascii="宋体" w:hAnsi="宋体"/>
                <w:b w:val="0"/>
                <w:bCs w:val="0"/>
                <w:color w:val="auto"/>
                <w:sz w:val="15"/>
                <w:szCs w:val="15"/>
                <w:highlight w:val="none"/>
                <w:lang w:val="en-US" w:eastAsia="zh-CN"/>
              </w:rPr>
              <w:t>及</w:t>
            </w:r>
            <w:r>
              <w:rPr>
                <w:rFonts w:hint="eastAsia" w:ascii="宋体" w:hAnsi="宋体" w:eastAsia="宋体"/>
                <w:b w:val="0"/>
                <w:bCs w:val="0"/>
                <w:color w:val="auto"/>
                <w:sz w:val="15"/>
                <w:szCs w:val="15"/>
                <w:highlight w:val="none"/>
                <w:lang w:val="en-US" w:eastAsia="zh-CN"/>
              </w:rPr>
              <w:t>以上，系数9</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5.</w:t>
            </w:r>
            <w:r>
              <w:rPr>
                <w:rFonts w:hint="eastAsia" w:ascii="宋体" w:hAnsi="宋体" w:eastAsia="宋体"/>
                <w:b w:val="0"/>
                <w:bCs w:val="0"/>
                <w:color w:val="auto"/>
                <w:sz w:val="15"/>
                <w:szCs w:val="15"/>
                <w:highlight w:val="none"/>
              </w:rPr>
              <w:t>造成环境较严重影响的，系数</w:t>
            </w:r>
            <w:r>
              <w:rPr>
                <w:rFonts w:hint="eastAsia" w:ascii="宋体" w:hAnsi="宋体"/>
                <w:b w:val="0"/>
                <w:bCs w:val="0"/>
                <w:strike w:val="0"/>
                <w:dstrike w:val="0"/>
                <w:color w:val="auto"/>
                <w:sz w:val="15"/>
                <w:szCs w:val="15"/>
                <w:highlight w:val="none"/>
                <w:lang w:val="en-US" w:eastAsia="zh-CN"/>
              </w:rPr>
              <w:t>5-6</w:t>
            </w:r>
            <w:r>
              <w:rPr>
                <w:rFonts w:hint="eastAsia" w:ascii="宋体" w:hAnsi="宋体"/>
                <w:b w:val="0"/>
                <w:bCs w:val="0"/>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b w:val="0"/>
                <w:bCs w:val="0"/>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vMerge w:val="continue"/>
            <w:shd w:val="clear" w:color="auto" w:fill="auto"/>
            <w:vAlign w:val="center"/>
          </w:tcPr>
          <w:p w14:paraId="5765A1AC">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continue"/>
            <w:shd w:val="clear" w:color="auto" w:fill="auto"/>
            <w:vAlign w:val="center"/>
          </w:tcPr>
          <w:p w14:paraId="179B5969">
            <w:pPr>
              <w:spacing w:line="232" w:lineRule="exact"/>
              <w:rPr>
                <w:rFonts w:cs="宋体" w:asciiTheme="minorEastAsia" w:hAnsiTheme="minorEastAsia" w:eastAsiaTheme="minorEastAsia"/>
                <w:b w:val="0"/>
                <w:bCs w:val="0"/>
                <w:color w:val="auto"/>
                <w:kern w:val="0"/>
                <w:sz w:val="15"/>
                <w:szCs w:val="15"/>
                <w:highlight w:val="none"/>
              </w:rPr>
            </w:pPr>
          </w:p>
        </w:tc>
      </w:tr>
      <w:tr w14:paraId="7F205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04" w:hRule="atLeast"/>
          <w:jc w:val="center"/>
        </w:trPr>
        <w:tc>
          <w:tcPr>
            <w:tcW w:w="610" w:type="dxa"/>
            <w:shd w:val="clear" w:color="auto" w:fill="auto"/>
            <w:vAlign w:val="center"/>
          </w:tcPr>
          <w:p w14:paraId="784EDB6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830" w:type="dxa"/>
            <w:gridSpan w:val="3"/>
            <w:shd w:val="clear" w:color="auto" w:fill="auto"/>
            <w:vAlign w:val="center"/>
          </w:tcPr>
          <w:p w14:paraId="5A31A57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收集、运输单位随意倾倒、丢弃、遗撒、堆放生活垃圾</w:t>
            </w:r>
          </w:p>
        </w:tc>
        <w:tc>
          <w:tcPr>
            <w:tcW w:w="2789" w:type="dxa"/>
            <w:gridSpan w:val="2"/>
            <w:shd w:val="clear" w:color="auto" w:fill="auto"/>
            <w:vAlign w:val="center"/>
          </w:tcPr>
          <w:p w14:paraId="3DEB9BA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shd w:val="clear" w:color="auto" w:fill="auto"/>
            <w:vAlign w:val="center"/>
          </w:tcPr>
          <w:p w14:paraId="76061DA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2F55966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30580CD">
            <w:pPr>
              <w:widowControl w:val="0"/>
              <w:numPr>
                <w:ilvl w:val="0"/>
                <w:numId w:val="0"/>
              </w:numPr>
              <w:jc w:val="both"/>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耕地、公厕、河道、铁路、轨道交通、桥下空间等公共场所及周边</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w:t>
            </w:r>
            <w:r>
              <w:rPr>
                <w:rFonts w:hint="eastAsia" w:cs="宋体" w:asciiTheme="minorEastAsia" w:hAnsiTheme="minorEastAsia" w:eastAsiaTheme="minorEastAsia"/>
                <w:color w:val="auto"/>
                <w:kern w:val="0"/>
                <w:sz w:val="15"/>
                <w:szCs w:val="15"/>
                <w:highlight w:val="none"/>
                <w:lang w:eastAsia="zh-CN"/>
              </w:rPr>
              <w:t>、石油长输管道、供水、排水、电力、通信</w:t>
            </w:r>
            <w:r>
              <w:rPr>
                <w:rFonts w:hint="eastAsia" w:cs="宋体" w:asciiTheme="minorEastAsia" w:hAnsiTheme="minorEastAsia" w:eastAsiaTheme="minorEastAsia"/>
                <w:color w:val="auto"/>
                <w:kern w:val="0"/>
                <w:sz w:val="15"/>
                <w:szCs w:val="15"/>
                <w:highlight w:val="none"/>
              </w:rPr>
              <w:t>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w:t>
            </w:r>
            <w:r>
              <w:rPr>
                <w:rFonts w:hint="eastAsia" w:ascii="宋体" w:hAnsi="宋体"/>
                <w:color w:val="auto"/>
                <w:sz w:val="15"/>
                <w:szCs w:val="15"/>
                <w:highlight w:val="none"/>
                <w:lang w:val="en-US" w:eastAsia="zh-CN"/>
              </w:rPr>
              <w:t xml:space="preserve"> 5</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.对环境造成较严重影响的，系数</w:t>
            </w:r>
            <w:r>
              <w:rPr>
                <w:rFonts w:hint="eastAsia" w:ascii="宋体" w:hAnsi="宋体"/>
                <w:b w:val="0"/>
                <w:bCs w:val="0"/>
                <w:strike w:val="0"/>
                <w:dstrike w:val="0"/>
                <w:color w:val="auto"/>
                <w:sz w:val="15"/>
                <w:szCs w:val="15"/>
                <w:highlight w:val="none"/>
                <w:lang w:val="en-US" w:eastAsia="zh-CN"/>
              </w:rPr>
              <w:t>5-6</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lang w:eastAsia="zh-CN"/>
              </w:rPr>
              <w:t>存在基准2.1.3规定情形的，系数按照相关规定确定。</w:t>
            </w:r>
          </w:p>
        </w:tc>
        <w:tc>
          <w:tcPr>
            <w:tcW w:w="1875" w:type="dxa"/>
            <w:gridSpan w:val="2"/>
            <w:shd w:val="clear" w:color="auto" w:fill="auto"/>
            <w:vAlign w:val="center"/>
          </w:tcPr>
          <w:p w14:paraId="0C119DC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p w14:paraId="2C66D4D3">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73FAAB9C">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可以认定为“情节严重”情形的；</w:t>
            </w:r>
          </w:p>
          <w:p w14:paraId="070D0C03">
            <w:pPr>
              <w:spacing w:line="232" w:lineRule="exact"/>
              <w:rPr>
                <w:rFonts w:hint="eastAsia"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14:paraId="6ED536E9">
            <w:pPr>
              <w:pStyle w:val="8"/>
              <w:rPr>
                <w:color w:val="auto"/>
                <w:highlight w:val="none"/>
              </w:rPr>
            </w:pPr>
            <w:r>
              <w:rPr>
                <w:rFonts w:hint="eastAsia" w:cs="宋体" w:asciiTheme="minorEastAsia" w:hAnsiTheme="minorEastAsia" w:eastAsiaTheme="minorEastAsia"/>
                <w:color w:val="auto"/>
                <w:kern w:val="0"/>
                <w:sz w:val="15"/>
                <w:szCs w:val="15"/>
                <w:highlight w:val="none"/>
                <w:lang w:eastAsia="zh-CN"/>
              </w:rPr>
              <w:t>区域台账与《基准表》情节系数中</w:t>
            </w:r>
            <w:r>
              <w:rPr>
                <w:rFonts w:hint="eastAsia" w:cs="宋体" w:asciiTheme="minorEastAsia" w:hAnsiTheme="minorEastAsia" w:eastAsiaTheme="minorEastAsia"/>
                <w:color w:val="auto"/>
                <w:kern w:val="0"/>
                <w:sz w:val="15"/>
                <w:szCs w:val="15"/>
                <w:highlight w:val="none"/>
              </w:rPr>
              <w:t>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w:t>
            </w:r>
            <w:r>
              <w:rPr>
                <w:rFonts w:hint="eastAsia" w:cs="宋体" w:asciiTheme="minorEastAsia" w:hAnsiTheme="minorEastAsia" w:eastAsiaTheme="minorEastAsia"/>
                <w:color w:val="auto"/>
                <w:kern w:val="0"/>
                <w:sz w:val="15"/>
                <w:szCs w:val="15"/>
                <w:highlight w:val="none"/>
                <w:lang w:val="en-US" w:eastAsia="zh-CN"/>
              </w:rPr>
              <w:t>不</w:t>
            </w:r>
            <w:r>
              <w:rPr>
                <w:rFonts w:hint="eastAsia" w:cs="宋体" w:asciiTheme="minorEastAsia" w:hAnsiTheme="minorEastAsia" w:eastAsiaTheme="minorEastAsia"/>
                <w:color w:val="auto"/>
                <w:kern w:val="0"/>
                <w:sz w:val="15"/>
                <w:szCs w:val="15"/>
                <w:highlight w:val="none"/>
                <w:lang w:eastAsia="zh-CN"/>
              </w:rPr>
              <w:t>适用区域台账。</w:t>
            </w:r>
          </w:p>
        </w:tc>
      </w:tr>
      <w:tr w14:paraId="5A651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414" w:hRule="atLeast"/>
          <w:jc w:val="center"/>
        </w:trPr>
        <w:tc>
          <w:tcPr>
            <w:tcW w:w="610" w:type="dxa"/>
            <w:shd w:val="clear" w:color="auto" w:fill="auto"/>
            <w:vAlign w:val="center"/>
          </w:tcPr>
          <w:p w14:paraId="312C404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830" w:type="dxa"/>
            <w:gridSpan w:val="3"/>
            <w:shd w:val="clear" w:color="auto" w:fill="auto"/>
            <w:vAlign w:val="center"/>
          </w:tcPr>
          <w:p w14:paraId="212067D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收集、运输单位未落实生活垃圾管理</w:t>
            </w:r>
            <w:r>
              <w:rPr>
                <w:rFonts w:hint="eastAsia" w:asciiTheme="minorEastAsia" w:hAnsiTheme="minorEastAsia" w:eastAsiaTheme="minorEastAsia"/>
                <w:color w:val="auto"/>
                <w:sz w:val="15"/>
                <w:szCs w:val="15"/>
                <w:highlight w:val="none"/>
                <w:shd w:val="clear"/>
              </w:rPr>
              <w:t>台</w:t>
            </w:r>
            <w:r>
              <w:rPr>
                <w:rFonts w:hint="eastAsia" w:asciiTheme="minorEastAsia" w:hAnsiTheme="minorEastAsia" w:eastAsiaTheme="minorEastAsia"/>
                <w:color w:val="auto"/>
                <w:sz w:val="15"/>
                <w:szCs w:val="15"/>
                <w:highlight w:val="none"/>
                <w:shd w:val="clear"/>
                <w:lang w:eastAsia="zh-CN"/>
              </w:rPr>
              <w:t>账</w:t>
            </w:r>
            <w:r>
              <w:rPr>
                <w:rFonts w:hint="eastAsia" w:asciiTheme="minorEastAsia" w:hAnsiTheme="minorEastAsia" w:eastAsiaTheme="minorEastAsia"/>
                <w:color w:val="auto"/>
                <w:sz w:val="15"/>
                <w:szCs w:val="15"/>
                <w:highlight w:val="none"/>
              </w:rPr>
              <w:t>制度</w:t>
            </w:r>
          </w:p>
        </w:tc>
        <w:tc>
          <w:tcPr>
            <w:tcW w:w="2789" w:type="dxa"/>
            <w:gridSpan w:val="2"/>
            <w:shd w:val="clear" w:color="auto" w:fill="auto"/>
            <w:vAlign w:val="center"/>
          </w:tcPr>
          <w:p w14:paraId="458C48A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shd w:val="clear" w:color="auto" w:fill="auto"/>
            <w:vAlign w:val="center"/>
          </w:tcPr>
          <w:p w14:paraId="1DD522C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6E79CE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84EF2EB">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ascii="宋体" w:hAnsi="宋体" w:eastAsia="宋体" w:cs="宋体"/>
                <w:color w:val="auto"/>
                <w:kern w:val="0"/>
                <w:sz w:val="15"/>
                <w:szCs w:val="15"/>
                <w:highlight w:val="none"/>
              </w:rPr>
              <w:t>1.已建立</w:t>
            </w:r>
            <w:r>
              <w:rPr>
                <w:rFonts w:hint="eastAsia" w:ascii="宋体" w:hAnsi="宋体" w:eastAsia="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rPr>
              <w:t>而记录内容不完整的，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；2.未建立</w:t>
            </w:r>
            <w:r>
              <w:rPr>
                <w:rFonts w:hint="eastAsia" w:ascii="宋体" w:hAnsi="宋体" w:eastAsia="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rPr>
              <w:t>的</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eastAsia="zh-CN"/>
              </w:rPr>
              <w:t>系数</w:t>
            </w:r>
            <w:r>
              <w:rPr>
                <w:rFonts w:hint="eastAsia" w:ascii="宋体" w:hAnsi="宋体" w:eastAsia="宋体" w:cs="仿宋_GB2312"/>
                <w:color w:val="auto"/>
                <w:kern w:val="0"/>
                <w:sz w:val="15"/>
                <w:szCs w:val="15"/>
                <w:highlight w:val="none"/>
              </w:rPr>
              <w:t>3-</w:t>
            </w:r>
            <w:r>
              <w:rPr>
                <w:rFonts w:ascii="宋体" w:hAnsi="宋体" w:eastAsia="宋体" w:cs="仿宋_GB2312"/>
                <w:color w:val="auto"/>
                <w:kern w:val="0"/>
                <w:sz w:val="15"/>
                <w:szCs w:val="15"/>
                <w:highlight w:val="none"/>
              </w:rPr>
              <w:t>6</w:t>
            </w:r>
            <w:r>
              <w:rPr>
                <w:rFonts w:hint="eastAsia" w:ascii="宋体" w:hAnsi="宋体" w:eastAsia="宋体" w:cs="宋体"/>
                <w:color w:val="auto"/>
                <w:kern w:val="0"/>
                <w:sz w:val="15"/>
                <w:szCs w:val="15"/>
                <w:highlight w:val="none"/>
              </w:rPr>
              <w:t>；3.台账记录存在弄虚作假或</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较严重影响的情形，系数7-9</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10AED70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14:paraId="58663A4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p w14:paraId="34557FA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14:paraId="7F69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35" w:hRule="atLeast"/>
          <w:jc w:val="center"/>
        </w:trPr>
        <w:tc>
          <w:tcPr>
            <w:tcW w:w="610" w:type="dxa"/>
            <w:shd w:val="clear" w:color="auto" w:fill="auto"/>
            <w:vAlign w:val="center"/>
          </w:tcPr>
          <w:p w14:paraId="1CF1287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830" w:type="dxa"/>
            <w:gridSpan w:val="3"/>
            <w:shd w:val="clear" w:color="auto" w:fill="auto"/>
            <w:vAlign w:val="center"/>
          </w:tcPr>
          <w:p w14:paraId="38FE2BAC">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未按规定接收、分类处理生活垃圾</w:t>
            </w:r>
          </w:p>
        </w:tc>
        <w:tc>
          <w:tcPr>
            <w:tcW w:w="2789" w:type="dxa"/>
            <w:gridSpan w:val="2"/>
            <w:shd w:val="clear" w:color="auto" w:fill="auto"/>
            <w:vAlign w:val="center"/>
          </w:tcPr>
          <w:p w14:paraId="29458C3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shd w:val="clear" w:color="auto" w:fill="auto"/>
            <w:vAlign w:val="center"/>
          </w:tcPr>
          <w:p w14:paraId="51FF3A6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5A7BF30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2BA0768">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w:t>
            </w:r>
            <w:r>
              <w:rPr>
                <w:rFonts w:hint="eastAsia" w:cs="宋体" w:asciiTheme="minorEastAsia" w:hAnsiTheme="minorEastAsia" w:eastAsiaTheme="minorEastAsia"/>
                <w:color w:val="auto"/>
                <w:kern w:val="0"/>
                <w:sz w:val="15"/>
                <w:szCs w:val="15"/>
                <w:highlight w:val="none"/>
                <w:lang w:val="en-US" w:eastAsia="zh-CN"/>
              </w:rPr>
              <w:t>的，系数1；</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213A4AB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14:paraId="2D31FFE9">
            <w:pPr>
              <w:spacing w:line="232" w:lineRule="exact"/>
              <w:rPr>
                <w:rFonts w:cs="宋体" w:asciiTheme="minorEastAsia" w:hAnsiTheme="minorEastAsia" w:eastAsiaTheme="minorEastAsia"/>
                <w:color w:val="auto"/>
                <w:kern w:val="0"/>
                <w:sz w:val="15"/>
                <w:szCs w:val="15"/>
                <w:highlight w:val="none"/>
              </w:rPr>
            </w:pPr>
          </w:p>
        </w:tc>
      </w:tr>
      <w:tr w14:paraId="5E0F7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0" w:hRule="atLeast"/>
          <w:jc w:val="center"/>
        </w:trPr>
        <w:tc>
          <w:tcPr>
            <w:tcW w:w="610" w:type="dxa"/>
            <w:shd w:val="clear" w:color="auto" w:fill="auto"/>
            <w:vAlign w:val="center"/>
          </w:tcPr>
          <w:p w14:paraId="0313901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830" w:type="dxa"/>
            <w:gridSpan w:val="3"/>
            <w:shd w:val="clear" w:color="auto" w:fill="auto"/>
            <w:vAlign w:val="center"/>
          </w:tcPr>
          <w:p w14:paraId="5BF2F57A">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未按规定交运、处理建筑垃圾</w:t>
            </w:r>
          </w:p>
        </w:tc>
        <w:tc>
          <w:tcPr>
            <w:tcW w:w="2789" w:type="dxa"/>
            <w:gridSpan w:val="2"/>
            <w:shd w:val="clear" w:color="auto" w:fill="auto"/>
            <w:vAlign w:val="center"/>
          </w:tcPr>
          <w:p w14:paraId="7D07CDD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违反条款：第四十七条第一款；处罚条款：第七十三条 责令限期改正，处一万元以上十万元以下罚款。</w:t>
            </w:r>
          </w:p>
        </w:tc>
        <w:tc>
          <w:tcPr>
            <w:tcW w:w="851" w:type="dxa"/>
            <w:shd w:val="clear" w:color="auto" w:fill="auto"/>
            <w:vAlign w:val="center"/>
          </w:tcPr>
          <w:p w14:paraId="200946B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94A503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AA42A43">
            <w:pPr>
              <w:spacing w:line="232" w:lineRule="exact"/>
              <w:rPr>
                <w:rFonts w:asciiTheme="minorEastAsia" w:hAnsiTheme="minorEastAsia" w:eastAsiaTheme="minorEastAsia"/>
                <w:color w:val="auto"/>
                <w:sz w:val="15"/>
                <w:szCs w:val="15"/>
                <w:highlight w:val="none"/>
              </w:rPr>
            </w:pP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建筑垃圾产生量较大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造成环境较严重影响的，系数4-9。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3A14E1E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A38BF99">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lang w:eastAsia="zh-CN"/>
              </w:rPr>
              <w:t>本案由适用于建设工程的建设单位、拆除工程的承担单位；涉及施工单位</w:t>
            </w:r>
            <w:r>
              <w:rPr>
                <w:rFonts w:hint="eastAsia" w:asciiTheme="minorEastAsia" w:hAnsiTheme="minorEastAsia" w:eastAsiaTheme="minorEastAsia"/>
                <w:color w:val="auto"/>
                <w:sz w:val="15"/>
                <w:szCs w:val="15"/>
                <w:highlight w:val="none"/>
              </w:rPr>
              <w:t>未按规定交运、处理建筑垃圾</w:t>
            </w:r>
            <w:r>
              <w:rPr>
                <w:rFonts w:hint="eastAsia" w:cs="宋体" w:asciiTheme="minorEastAsia" w:hAnsiTheme="minorEastAsia" w:eastAsiaTheme="minorEastAsia"/>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r>
      <w:tr w14:paraId="0AECB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31" w:hRule="atLeast"/>
          <w:jc w:val="center"/>
        </w:trPr>
        <w:tc>
          <w:tcPr>
            <w:tcW w:w="610" w:type="dxa"/>
            <w:shd w:val="clear" w:color="auto" w:fill="auto"/>
            <w:vAlign w:val="center"/>
          </w:tcPr>
          <w:p w14:paraId="3E18AA7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830" w:type="dxa"/>
            <w:gridSpan w:val="3"/>
            <w:shd w:val="clear" w:color="auto" w:fill="auto"/>
            <w:vAlign w:val="center"/>
          </w:tcPr>
          <w:p w14:paraId="6BBE677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餐饮服务单位未按规定收集、处理厨余垃圾</w:t>
            </w:r>
          </w:p>
        </w:tc>
        <w:tc>
          <w:tcPr>
            <w:tcW w:w="2789" w:type="dxa"/>
            <w:gridSpan w:val="2"/>
            <w:shd w:val="clear" w:color="auto" w:fill="auto"/>
            <w:vAlign w:val="center"/>
          </w:tcPr>
          <w:p w14:paraId="23CB6F0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违反条款：第四十八条第二款；处罚条款：第七十四条第一款 处十万元以上一百万元以下罚款，没收违法所得。</w:t>
            </w:r>
          </w:p>
        </w:tc>
        <w:tc>
          <w:tcPr>
            <w:tcW w:w="851" w:type="dxa"/>
            <w:shd w:val="clear" w:color="auto" w:fill="auto"/>
            <w:vAlign w:val="center"/>
          </w:tcPr>
          <w:p w14:paraId="4E98396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14:paraId="0510150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F8383BB">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w:t>
            </w:r>
            <w:r>
              <w:rPr>
                <w:rFonts w:hint="eastAsia" w:cs="宋体" w:asciiTheme="minorEastAsia" w:hAnsiTheme="minorEastAsia" w:eastAsiaTheme="minorEastAsia"/>
                <w:color w:val="auto"/>
                <w:kern w:val="0"/>
                <w:sz w:val="15"/>
                <w:szCs w:val="15"/>
                <w:highlight w:val="none"/>
                <w:shd w:val="clear"/>
              </w:rPr>
              <w:t>、通信等公用管道和设施保护（管理）范围的，</w:t>
            </w:r>
            <w:r>
              <w:rPr>
                <w:rFonts w:hint="eastAsia" w:cs="宋体" w:asciiTheme="minorEastAsia" w:hAnsiTheme="minorEastAsia" w:eastAsiaTheme="minorEastAsia"/>
                <w:color w:val="auto"/>
                <w:kern w:val="0"/>
                <w:sz w:val="15"/>
                <w:szCs w:val="15"/>
                <w:highlight w:val="none"/>
                <w:shd w:val="clear"/>
                <w:lang w:eastAsia="zh-CN"/>
              </w:rPr>
              <w:t>系数</w:t>
            </w:r>
            <w:r>
              <w:rPr>
                <w:rFonts w:hint="eastAsia" w:cs="宋体" w:asciiTheme="minorEastAsia" w:hAnsiTheme="minorEastAsia" w:eastAsiaTheme="minorEastAsia"/>
                <w:color w:val="auto"/>
                <w:kern w:val="0"/>
                <w:sz w:val="15"/>
                <w:szCs w:val="15"/>
                <w:highlight w:val="none"/>
                <w:shd w:val="clear"/>
                <w:lang w:val="en-US" w:eastAsia="zh-CN"/>
              </w:rPr>
              <w:t>1-2。</w:t>
            </w:r>
            <w:r>
              <w:rPr>
                <w:rFonts w:hint="eastAsia" w:ascii="宋体" w:hAnsi="宋体" w:cs="宋体"/>
                <w:color w:val="auto"/>
                <w:kern w:val="0"/>
                <w:sz w:val="15"/>
                <w:szCs w:val="15"/>
                <w:highlight w:val="none"/>
                <w:shd w:val="clear"/>
                <w:lang w:val="en-US" w:eastAsia="zh-CN"/>
              </w:rPr>
              <w:t>2</w:t>
            </w:r>
            <w:r>
              <w:rPr>
                <w:rFonts w:hint="eastAsia" w:ascii="宋体" w:hAnsi="宋体" w:eastAsia="宋体" w:cs="宋体"/>
                <w:color w:val="auto"/>
                <w:kern w:val="0"/>
                <w:sz w:val="15"/>
                <w:szCs w:val="15"/>
                <w:highlight w:val="none"/>
                <w:shd w:val="clear"/>
              </w:rPr>
              <w:t>.</w:t>
            </w:r>
            <w:r>
              <w:rPr>
                <w:rFonts w:hint="eastAsia" w:ascii="宋体" w:hAnsi="宋体" w:eastAsia="宋体" w:cs="宋体"/>
                <w:color w:val="auto"/>
                <w:spacing w:val="-4"/>
                <w:kern w:val="0"/>
                <w:sz w:val="15"/>
                <w:szCs w:val="15"/>
                <w:highlight w:val="none"/>
                <w:shd w:val="clear"/>
              </w:rPr>
              <w:t>厨余垃圾总量较大</w:t>
            </w:r>
            <w:r>
              <w:rPr>
                <w:rFonts w:hint="eastAsia" w:ascii="宋体" w:hAnsi="宋体" w:cs="宋体"/>
                <w:color w:val="auto"/>
                <w:spacing w:val="-4"/>
                <w:kern w:val="0"/>
                <w:sz w:val="15"/>
                <w:szCs w:val="15"/>
                <w:highlight w:val="none"/>
                <w:shd w:val="clear"/>
                <w:lang w:eastAsia="zh-CN"/>
              </w:rPr>
              <w:t>（</w:t>
            </w:r>
            <w:r>
              <w:rPr>
                <w:rFonts w:hint="eastAsia" w:ascii="宋体" w:hAnsi="宋体" w:cs="宋体"/>
                <w:color w:val="auto"/>
                <w:spacing w:val="-4"/>
                <w:kern w:val="0"/>
                <w:sz w:val="15"/>
                <w:szCs w:val="15"/>
                <w:highlight w:val="none"/>
                <w:shd w:val="clear"/>
                <w:lang w:val="en-US" w:eastAsia="zh-CN"/>
              </w:rPr>
              <w:t>5吨及以上</w:t>
            </w:r>
            <w:r>
              <w:rPr>
                <w:rFonts w:hint="eastAsia" w:ascii="宋体" w:hAnsi="宋体" w:cs="宋体"/>
                <w:color w:val="auto"/>
                <w:spacing w:val="-4"/>
                <w:kern w:val="0"/>
                <w:sz w:val="15"/>
                <w:szCs w:val="15"/>
                <w:highlight w:val="none"/>
                <w:shd w:val="clear"/>
                <w:lang w:eastAsia="zh-CN"/>
              </w:rPr>
              <w:t>）</w:t>
            </w:r>
            <w:r>
              <w:rPr>
                <w:rFonts w:hint="eastAsia" w:ascii="宋体" w:hAnsi="宋体"/>
                <w:color w:val="auto"/>
                <w:sz w:val="15"/>
                <w:szCs w:val="15"/>
                <w:highlight w:val="none"/>
                <w:shd w:val="clear"/>
                <w:lang w:eastAsia="zh-CN"/>
              </w:rPr>
              <w:t>或</w:t>
            </w:r>
            <w:r>
              <w:rPr>
                <w:rFonts w:hint="eastAsia" w:ascii="宋体" w:hAnsi="宋体" w:eastAsia="宋体" w:cs="宋体"/>
                <w:color w:val="auto"/>
                <w:spacing w:val="-4"/>
                <w:kern w:val="0"/>
                <w:sz w:val="15"/>
                <w:szCs w:val="15"/>
                <w:highlight w:val="none"/>
                <w:shd w:val="clear"/>
              </w:rPr>
              <w:t>持续时间较长</w:t>
            </w:r>
            <w:r>
              <w:rPr>
                <w:rFonts w:hint="eastAsia" w:ascii="宋体" w:hAnsi="宋体" w:cs="宋体"/>
                <w:color w:val="auto"/>
                <w:spacing w:val="-4"/>
                <w:kern w:val="0"/>
                <w:sz w:val="15"/>
                <w:szCs w:val="15"/>
                <w:highlight w:val="none"/>
                <w:shd w:val="clear"/>
                <w:lang w:eastAsia="zh-CN"/>
              </w:rPr>
              <w:t>（</w:t>
            </w:r>
            <w:r>
              <w:rPr>
                <w:rFonts w:hint="eastAsia" w:ascii="宋体" w:hAnsi="宋体" w:cs="宋体"/>
                <w:color w:val="auto"/>
                <w:spacing w:val="-4"/>
                <w:kern w:val="0"/>
                <w:sz w:val="15"/>
                <w:szCs w:val="15"/>
                <w:highlight w:val="none"/>
                <w:shd w:val="clear"/>
                <w:lang w:val="en-US" w:eastAsia="zh-CN"/>
              </w:rPr>
              <w:t>5天及以上</w:t>
            </w:r>
            <w:r>
              <w:rPr>
                <w:rFonts w:hint="eastAsia" w:ascii="宋体" w:hAnsi="宋体" w:cs="宋体"/>
                <w:color w:val="auto"/>
                <w:spacing w:val="-4"/>
                <w:kern w:val="0"/>
                <w:sz w:val="15"/>
                <w:szCs w:val="15"/>
                <w:highlight w:val="none"/>
                <w:shd w:val="clear"/>
                <w:lang w:eastAsia="zh-CN"/>
              </w:rPr>
              <w:t>）</w:t>
            </w:r>
            <w:r>
              <w:rPr>
                <w:rFonts w:hint="eastAsia" w:ascii="宋体" w:hAnsi="宋体"/>
                <w:color w:val="auto"/>
                <w:sz w:val="15"/>
                <w:szCs w:val="15"/>
                <w:highlight w:val="none"/>
                <w:shd w:val="clear"/>
                <w:lang w:eastAsia="zh-CN"/>
              </w:rPr>
              <w:t>或</w:t>
            </w:r>
            <w:r>
              <w:rPr>
                <w:rFonts w:hint="eastAsia" w:ascii="宋体" w:hAnsi="宋体" w:eastAsia="宋体" w:cs="宋体"/>
                <w:color w:val="auto"/>
                <w:spacing w:val="-4"/>
                <w:kern w:val="0"/>
                <w:sz w:val="15"/>
                <w:szCs w:val="15"/>
                <w:highlight w:val="none"/>
                <w:shd w:val="clear"/>
              </w:rPr>
              <w:t>对环境造成较严重影</w:t>
            </w:r>
            <w:r>
              <w:rPr>
                <w:rFonts w:hint="eastAsia" w:ascii="宋体" w:hAnsi="宋体" w:eastAsia="宋体" w:cs="宋体"/>
                <w:color w:val="auto"/>
                <w:spacing w:val="-4"/>
                <w:kern w:val="0"/>
                <w:sz w:val="15"/>
                <w:szCs w:val="15"/>
                <w:highlight w:val="none"/>
              </w:rPr>
              <w:t>响的，系数</w:t>
            </w:r>
            <w:r>
              <w:rPr>
                <w:rFonts w:hint="eastAsia" w:ascii="宋体" w:hAnsi="宋体" w:cs="宋体"/>
                <w:color w:val="auto"/>
                <w:spacing w:val="-4"/>
                <w:kern w:val="0"/>
                <w:sz w:val="15"/>
                <w:szCs w:val="15"/>
                <w:highlight w:val="none"/>
                <w:lang w:val="en-US" w:eastAsia="zh-CN"/>
              </w:rPr>
              <w:t>5</w:t>
            </w:r>
            <w:r>
              <w:rPr>
                <w:rFonts w:hint="eastAsia" w:ascii="宋体" w:hAnsi="宋体" w:eastAsia="宋体" w:cs="宋体"/>
                <w:color w:val="auto"/>
                <w:spacing w:val="-4"/>
                <w:kern w:val="0"/>
                <w:sz w:val="15"/>
                <w:szCs w:val="15"/>
                <w:highlight w:val="none"/>
              </w:rPr>
              <w:t>-</w:t>
            </w:r>
            <w:r>
              <w:rPr>
                <w:rFonts w:hint="eastAsia" w:ascii="宋体" w:hAnsi="宋体" w:cs="宋体"/>
                <w:color w:val="auto"/>
                <w:spacing w:val="-4"/>
                <w:kern w:val="0"/>
                <w:sz w:val="15"/>
                <w:szCs w:val="15"/>
                <w:highlight w:val="none"/>
                <w:lang w:val="en-US" w:eastAsia="zh-CN"/>
              </w:rPr>
              <w:t>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.知道或者应当知道无资质收运单位和个人收集厨余垃圾用于生产“地沟油”而继续交运的，系数9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3E58219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6B6140F">
            <w:pPr>
              <w:spacing w:line="232" w:lineRule="exact"/>
              <w:rPr>
                <w:rFonts w:cs="宋体" w:asciiTheme="minorEastAsia" w:hAnsiTheme="minorEastAsia" w:eastAsiaTheme="minorEastAsia"/>
                <w:color w:val="auto"/>
                <w:kern w:val="0"/>
                <w:sz w:val="15"/>
                <w:szCs w:val="15"/>
                <w:highlight w:val="none"/>
              </w:rPr>
            </w:pPr>
          </w:p>
        </w:tc>
      </w:tr>
      <w:tr w14:paraId="24F02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3E82FC4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830" w:type="dxa"/>
            <w:gridSpan w:val="3"/>
            <w:shd w:val="clear" w:color="auto" w:fill="auto"/>
            <w:vAlign w:val="center"/>
          </w:tcPr>
          <w:p w14:paraId="58C5A389">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无资质单位和个人擅自收集、运输厨余垃圾</w:t>
            </w:r>
          </w:p>
        </w:tc>
        <w:tc>
          <w:tcPr>
            <w:tcW w:w="2789" w:type="dxa"/>
            <w:gridSpan w:val="2"/>
            <w:shd w:val="clear" w:color="auto" w:fill="auto"/>
            <w:vAlign w:val="center"/>
          </w:tcPr>
          <w:p w14:paraId="2385A278">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shd w:val="clear" w:color="auto" w:fill="auto"/>
            <w:vAlign w:val="center"/>
          </w:tcPr>
          <w:p w14:paraId="70C6A697">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2006153C">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A57A888">
            <w:pPr>
              <w:spacing w:line="193" w:lineRule="exact"/>
              <w:rPr>
                <w:rFonts w:hint="default" w:cs="宋体" w:asciiTheme="minorEastAsia" w:hAnsiTheme="minorEastAsia" w:eastAsiaTheme="minorEastAsia"/>
                <w:b w:val="0"/>
                <w:bCs w:val="0"/>
                <w:color w:val="auto"/>
                <w:kern w:val="0"/>
                <w:sz w:val="15"/>
                <w:szCs w:val="15"/>
                <w:highlight w:val="none"/>
                <w:lang w:val="en-US" w:eastAsia="zh-CN"/>
              </w:rPr>
            </w:pPr>
            <w:r>
              <w:rPr>
                <w:rFonts w:hint="eastAsia" w:cs="宋体" w:asciiTheme="minorEastAsia" w:hAnsiTheme="minorEastAsia" w:eastAsiaTheme="minorEastAsia"/>
                <w:b w:val="0"/>
                <w:bCs w:val="0"/>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5</w:t>
            </w:r>
            <w:r>
              <w:rPr>
                <w:rFonts w:hint="eastAsia" w:ascii="宋体" w:hAnsi="宋体" w:cs="宋体"/>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18D3B6D9">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336B0B2">
            <w:pPr>
              <w:spacing w:line="193" w:lineRule="exact"/>
              <w:rPr>
                <w:rFonts w:cs="宋体" w:asciiTheme="minorEastAsia" w:hAnsiTheme="minorEastAsia" w:eastAsiaTheme="minorEastAsia"/>
                <w:color w:val="auto"/>
                <w:kern w:val="0"/>
                <w:sz w:val="14"/>
                <w:szCs w:val="14"/>
                <w:highlight w:val="none"/>
              </w:rPr>
            </w:pPr>
          </w:p>
        </w:tc>
      </w:tr>
      <w:tr w14:paraId="5A1A3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14:paraId="470194F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416D961">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集中转运、处理设施的运行管理单位未按规定和标准处理生活垃圾</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D9197B5">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F161290">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5BFC8AE2">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14:paraId="0A078C97">
            <w:pPr>
              <w:numPr>
                <w:ilvl w:val="0"/>
                <w:numId w:val="0"/>
              </w:numPr>
              <w:spacing w:line="232" w:lineRule="exact"/>
              <w:rPr>
                <w:rFonts w:hint="default" w:ascii="宋体" w:hAnsi="宋体" w:eastAsia="宋体"/>
                <w:b w:val="0"/>
                <w:bCs w:val="0"/>
                <w:color w:val="auto"/>
                <w:sz w:val="15"/>
                <w:szCs w:val="15"/>
                <w:highlight w:val="none"/>
                <w:lang w:val="en-US" w:eastAsia="zh-CN"/>
              </w:rPr>
            </w:pPr>
            <w:r>
              <w:rPr>
                <w:rFonts w:hint="eastAsia" w:ascii="宋体" w:hAnsi="宋体" w:eastAsia="宋体"/>
                <w:b w:val="0"/>
                <w:bCs w:val="0"/>
                <w:strike w:val="0"/>
                <w:dstrike w:val="0"/>
                <w:color w:val="auto"/>
                <w:sz w:val="15"/>
                <w:szCs w:val="15"/>
                <w:highlight w:val="none"/>
                <w:lang w:val="en-US" w:eastAsia="zh-CN"/>
              </w:rPr>
              <w:t>1.未按照要求处理</w:t>
            </w:r>
            <w:r>
              <w:rPr>
                <w:rFonts w:hint="eastAsia" w:ascii="宋体" w:hAnsi="宋体"/>
                <w:b w:val="0"/>
                <w:bCs w:val="0"/>
                <w:strike w:val="0"/>
                <w:dstrike w:val="0"/>
                <w:color w:val="auto"/>
                <w:sz w:val="15"/>
                <w:szCs w:val="15"/>
                <w:highlight w:val="none"/>
                <w:lang w:val="en-US" w:eastAsia="zh-CN"/>
              </w:rPr>
              <w:t>垃圾</w:t>
            </w:r>
            <w:r>
              <w:rPr>
                <w:rFonts w:hint="eastAsia" w:ascii="宋体" w:hAnsi="宋体" w:eastAsia="宋体"/>
                <w:b w:val="0"/>
                <w:bCs w:val="0"/>
                <w:color w:val="auto"/>
                <w:sz w:val="15"/>
                <w:szCs w:val="15"/>
                <w:highlight w:val="none"/>
                <w:lang w:val="en-US" w:eastAsia="zh-CN"/>
              </w:rPr>
              <w:t>2车次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5吨以上10吨以的，系数1</w:t>
            </w:r>
            <w:r>
              <w:rPr>
                <w:rFonts w:hint="eastAsia" w:ascii="宋体" w:hAnsi="宋体"/>
                <w:b w:val="0"/>
                <w:bCs w:val="0"/>
                <w:color w:val="auto"/>
                <w:sz w:val="15"/>
                <w:szCs w:val="15"/>
                <w:highlight w:val="none"/>
                <w:lang w:val="en-US" w:eastAsia="zh-CN"/>
              </w:rPr>
              <w:t>；3</w:t>
            </w:r>
            <w:r>
              <w:rPr>
                <w:rFonts w:hint="eastAsia" w:ascii="宋体" w:hAnsi="宋体" w:eastAsia="宋体"/>
                <w:b w:val="0"/>
                <w:bCs w:val="0"/>
                <w:color w:val="auto"/>
                <w:sz w:val="15"/>
                <w:szCs w:val="15"/>
                <w:highlight w:val="none"/>
                <w:lang w:val="en-US" w:eastAsia="zh-CN"/>
              </w:rPr>
              <w:t>车次</w:t>
            </w:r>
            <w:r>
              <w:rPr>
                <w:rFonts w:hint="eastAsia" w:ascii="宋体" w:hAnsi="宋体"/>
                <w:b w:val="0"/>
                <w:bCs w:val="0"/>
                <w:color w:val="auto"/>
                <w:sz w:val="15"/>
                <w:szCs w:val="15"/>
                <w:highlight w:val="none"/>
                <w:lang w:val="en-US" w:eastAsia="zh-CN"/>
              </w:rPr>
              <w:t>或者</w:t>
            </w:r>
            <w:r>
              <w:rPr>
                <w:rFonts w:hint="eastAsia" w:ascii="宋体" w:hAnsi="宋体" w:eastAsia="宋体"/>
                <w:b w:val="0"/>
                <w:bCs w:val="0"/>
                <w:color w:val="auto"/>
                <w:sz w:val="15"/>
                <w:szCs w:val="15"/>
                <w:highlight w:val="none"/>
                <w:lang w:val="en-US" w:eastAsia="zh-CN"/>
              </w:rPr>
              <w:t>10吨及</w:t>
            </w:r>
            <w:r>
              <w:rPr>
                <w:rFonts w:hint="eastAsia" w:ascii="宋体" w:hAnsi="宋体"/>
                <w:b w:val="0"/>
                <w:bCs w:val="0"/>
                <w:color w:val="auto"/>
                <w:sz w:val="15"/>
                <w:szCs w:val="15"/>
                <w:highlight w:val="none"/>
                <w:lang w:val="en-US" w:eastAsia="zh-CN"/>
              </w:rPr>
              <w:t>以上20吨以下的</w:t>
            </w:r>
            <w:r>
              <w:rPr>
                <w:rFonts w:hint="eastAsia" w:ascii="宋体" w:hAnsi="宋体" w:eastAsia="宋体"/>
                <w:b w:val="0"/>
                <w:bCs w:val="0"/>
                <w:color w:val="auto"/>
                <w:sz w:val="15"/>
                <w:szCs w:val="15"/>
                <w:highlight w:val="none"/>
                <w:lang w:val="en-US" w:eastAsia="zh-CN"/>
              </w:rPr>
              <w:t>，系数</w:t>
            </w:r>
            <w:r>
              <w:rPr>
                <w:rFonts w:hint="eastAsia" w:ascii="宋体" w:hAnsi="宋体"/>
                <w:b w:val="0"/>
                <w:bCs w:val="0"/>
                <w:color w:val="auto"/>
                <w:sz w:val="15"/>
                <w:szCs w:val="15"/>
                <w:highlight w:val="none"/>
                <w:lang w:val="en-US" w:eastAsia="zh-CN"/>
              </w:rPr>
              <w:t>2；4车次及以上或者2</w:t>
            </w:r>
            <w:r>
              <w:rPr>
                <w:rFonts w:hint="eastAsia" w:ascii="宋体" w:hAnsi="宋体" w:eastAsia="宋体"/>
                <w:b w:val="0"/>
                <w:bCs w:val="0"/>
                <w:color w:val="auto"/>
                <w:sz w:val="15"/>
                <w:szCs w:val="15"/>
                <w:highlight w:val="none"/>
                <w:lang w:val="en-US" w:eastAsia="zh-CN"/>
              </w:rPr>
              <w:t>0吨及以上</w:t>
            </w:r>
            <w:r>
              <w:rPr>
                <w:rFonts w:hint="eastAsia" w:ascii="宋体" w:hAnsi="宋体"/>
                <w:b w:val="0"/>
                <w:bCs w:val="0"/>
                <w:color w:val="auto"/>
                <w:sz w:val="15"/>
                <w:szCs w:val="15"/>
                <w:highlight w:val="none"/>
                <w:lang w:val="en-US" w:eastAsia="zh-CN"/>
              </w:rPr>
              <w:t>的，系数3。2</w:t>
            </w:r>
            <w:r>
              <w:rPr>
                <w:rFonts w:hint="eastAsia" w:ascii="宋体" w:hAnsi="宋体" w:eastAsia="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rPr>
              <w:t>造成环境较严重影响的，系数</w:t>
            </w:r>
            <w:r>
              <w:rPr>
                <w:rFonts w:hint="eastAsia" w:ascii="宋体" w:hAnsi="宋体" w:eastAsia="宋体"/>
                <w:b w:val="0"/>
                <w:bCs w:val="0"/>
                <w:color w:val="auto"/>
                <w:sz w:val="15"/>
                <w:szCs w:val="15"/>
                <w:highlight w:val="none"/>
                <w:lang w:val="en-US" w:eastAsia="zh-CN"/>
              </w:rPr>
              <w:t>2-3</w:t>
            </w:r>
            <w:r>
              <w:rPr>
                <w:rFonts w:hint="eastAsia" w:ascii="宋体" w:hAnsi="宋体" w:eastAsia="宋体"/>
                <w:b w:val="0"/>
                <w:bCs w:val="0"/>
                <w:color w:val="auto"/>
                <w:sz w:val="15"/>
                <w:szCs w:val="15"/>
                <w:highlight w:val="none"/>
                <w:lang w:eastAsia="zh-CN"/>
              </w:rPr>
              <w:t>。</w:t>
            </w:r>
            <w:r>
              <w:rPr>
                <w:rFonts w:hint="eastAsia" w:ascii="宋体" w:hAnsi="宋体" w:cs="宋体"/>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val="en-US" w:eastAsia="zh-CN"/>
              </w:rPr>
              <w:t>存在基准2.1.3规定情形的，系数按照相关规定确定（基准2.1.3.5不适用）。</w:t>
            </w:r>
          </w:p>
          <w:p w14:paraId="57D5A841">
            <w:pPr>
              <w:spacing w:line="193" w:lineRule="exact"/>
              <w:rPr>
                <w:rFonts w:cs="宋体" w:asciiTheme="minorEastAsia" w:hAnsiTheme="minorEastAsia" w:eastAsiaTheme="minorEastAsia"/>
                <w:b w:val="0"/>
                <w:bCs w:val="0"/>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9D1CE5B">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DC114FA">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p w14:paraId="69313A1B">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4"/>
                <w:szCs w:val="14"/>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14:paraId="05AB1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94" w:hRule="atLeast"/>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14:paraId="144354C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831C33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生活垃圾集中转运、处理设施排放未达标</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69A1DB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16F033A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0A557DF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14:paraId="2AB035B4">
            <w:pPr>
              <w:numPr>
                <w:ilvl w:val="0"/>
                <w:numId w:val="0"/>
              </w:numPr>
              <w:spacing w:line="232" w:lineRule="exact"/>
              <w:rPr>
                <w:rFonts w:hint="default" w:ascii="宋体" w:hAnsi="宋体" w:eastAsia="宋体"/>
                <w:b/>
                <w:bCs/>
                <w:color w:val="auto"/>
                <w:sz w:val="15"/>
                <w:szCs w:val="15"/>
                <w:highlight w:val="none"/>
                <w:lang w:val="en-US" w:eastAsia="zh-CN"/>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eastAsia="宋体" w:cs="宋体"/>
                <w:color w:val="auto"/>
                <w:kern w:val="0"/>
                <w:sz w:val="15"/>
                <w:szCs w:val="15"/>
                <w:highlight w:val="none"/>
              </w:rPr>
              <w:t>处理生活垃圾</w:t>
            </w:r>
            <w:r>
              <w:rPr>
                <w:rFonts w:hint="eastAsia" w:ascii="宋体" w:hAnsi="宋体" w:eastAsia="宋体" w:cs="宋体"/>
                <w:b w:val="0"/>
                <w:bCs w:val="0"/>
                <w:color w:val="auto"/>
                <w:kern w:val="0"/>
                <w:sz w:val="15"/>
                <w:szCs w:val="15"/>
                <w:highlight w:val="none"/>
              </w:rPr>
              <w:t>总量较大、持续时间较长，系数2-3；</w:t>
            </w:r>
            <w:r>
              <w:rPr>
                <w:rFonts w:hint="eastAsia" w:ascii="宋体" w:hAnsi="宋体" w:eastAsia="宋体" w:cs="宋体"/>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rPr>
              <w:t>.对环境造成较严重</w:t>
            </w:r>
            <w:r>
              <w:rPr>
                <w:rFonts w:hint="eastAsia" w:ascii="宋体" w:hAnsi="宋体" w:cs="宋体"/>
                <w:b w:val="0"/>
                <w:bCs w:val="0"/>
                <w:color w:val="auto"/>
                <w:kern w:val="0"/>
                <w:sz w:val="15"/>
                <w:szCs w:val="15"/>
                <w:highlight w:val="none"/>
                <w:lang w:eastAsia="zh-CN"/>
              </w:rPr>
              <w:t>影响</w:t>
            </w:r>
            <w:r>
              <w:rPr>
                <w:rFonts w:hint="eastAsia" w:ascii="宋体" w:hAnsi="宋体" w:eastAsia="宋体" w:cs="宋体"/>
                <w:b w:val="0"/>
                <w:bCs w:val="0"/>
                <w:color w:val="auto"/>
                <w:kern w:val="0"/>
                <w:sz w:val="15"/>
                <w:szCs w:val="15"/>
                <w:highlight w:val="none"/>
              </w:rPr>
              <w:t>的，</w:t>
            </w:r>
            <w:r>
              <w:rPr>
                <w:rFonts w:hint="eastAsia" w:ascii="宋体" w:hAnsi="宋体" w:eastAsia="宋体" w:cs="宋体"/>
                <w:color w:val="auto"/>
                <w:kern w:val="0"/>
                <w:sz w:val="15"/>
                <w:szCs w:val="15"/>
                <w:highlight w:val="none"/>
              </w:rPr>
              <w:t>系数2-3</w:t>
            </w:r>
            <w:r>
              <w:rPr>
                <w:rFonts w:hint="eastAsia" w:ascii="宋体" w:hAnsi="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14:paraId="5CC5B4D7">
            <w:pPr>
              <w:spacing w:line="232" w:lineRule="exact"/>
              <w:rPr>
                <w:rFonts w:hint="eastAsia" w:eastAsia="宋体" w:cs="宋体" w:asciiTheme="minorEastAsia" w:hAnsiTheme="minorEastAsia"/>
                <w:color w:val="auto"/>
                <w:kern w:val="0"/>
                <w:sz w:val="15"/>
                <w:szCs w:val="15"/>
                <w:highlight w:val="none"/>
                <w:lang w:eastAsia="zh-CN"/>
              </w:rPr>
            </w:pP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A9EB60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8C0B008">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p w14:paraId="36C98AF9">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14:paraId="4DD06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14:paraId="0DF303C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E1D0979">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未按要求对生活垃圾等处理过程中常规参数进行检测</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C85B86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31671DBE">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0BE2C06A">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14:paraId="726E6354">
            <w:pPr>
              <w:keepNext w:val="0"/>
              <w:keepLines w:val="0"/>
              <w:pageBreakBefore w:val="0"/>
              <w:widowControl w:val="0"/>
              <w:kinsoku/>
              <w:wordWrap/>
              <w:overflowPunct/>
              <w:topLinePunct w:val="0"/>
              <w:autoSpaceDE/>
              <w:autoSpaceDN/>
              <w:bidi w:val="0"/>
              <w:adjustRightInd/>
              <w:snapToGrid/>
              <w:spacing w:line="232" w:lineRule="exact"/>
              <w:textAlignment w:val="auto"/>
              <w:rPr>
                <w:rFonts w:ascii="宋体" w:hAnsi="宋体" w:eastAsia="宋体"/>
                <w:color w:val="auto"/>
                <w:sz w:val="15"/>
                <w:szCs w:val="15"/>
                <w:highlight w:val="none"/>
              </w:rPr>
            </w:pPr>
            <w:r>
              <w:rPr>
                <w:rFonts w:hint="eastAsia" w:ascii="宋体" w:hAnsi="宋体" w:eastAsia="宋体"/>
                <w:color w:val="auto"/>
                <w:sz w:val="15"/>
                <w:szCs w:val="15"/>
                <w:highlight w:val="none"/>
              </w:rPr>
              <w:t>1.未建立检测档案，</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 xml:space="preserve">； </w:t>
            </w:r>
          </w:p>
          <w:p w14:paraId="0658D588">
            <w:pPr>
              <w:numPr>
                <w:ilvl w:val="0"/>
                <w:numId w:val="0"/>
              </w:numPr>
              <w:spacing w:line="232" w:lineRule="exact"/>
              <w:rPr>
                <w:rFonts w:hint="eastAsia" w:eastAsia="宋体" w:asciiTheme="minorEastAsia" w:hAnsiTheme="minorEastAsia"/>
                <w:color w:val="auto"/>
                <w:sz w:val="15"/>
                <w:szCs w:val="15"/>
                <w:highlight w:val="none"/>
                <w:lang w:eastAsia="zh-CN"/>
              </w:rPr>
            </w:pPr>
            <w:r>
              <w:rPr>
                <w:rFonts w:hint="eastAsia" w:ascii="宋体" w:hAnsi="宋体" w:eastAsia="宋体"/>
                <w:color w:val="auto"/>
                <w:sz w:val="15"/>
                <w:szCs w:val="15"/>
                <w:highlight w:val="none"/>
              </w:rPr>
              <w:t>2.未设置化验室或者委托专业化验机构，对生活垃圾、渗沥液等处理过程中常规参数进行检测，</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strike w:val="0"/>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b w:val="0"/>
                <w:bCs w:val="0"/>
                <w:color w:val="auto"/>
                <w:kern w:val="0"/>
                <w:sz w:val="15"/>
                <w:szCs w:val="15"/>
                <w:highlight w:val="none"/>
              </w:rPr>
              <w:t>3.对环境造成较严重</w:t>
            </w:r>
            <w:r>
              <w:rPr>
                <w:rFonts w:hint="eastAsia" w:ascii="宋体" w:hAnsi="宋体" w:cs="宋体"/>
                <w:b w:val="0"/>
                <w:bCs w:val="0"/>
                <w:color w:val="auto"/>
                <w:kern w:val="0"/>
                <w:sz w:val="15"/>
                <w:szCs w:val="15"/>
                <w:highlight w:val="none"/>
                <w:lang w:eastAsia="zh-CN"/>
              </w:rPr>
              <w:t>影响</w:t>
            </w:r>
            <w:r>
              <w:rPr>
                <w:rFonts w:hint="eastAsia" w:ascii="宋体" w:hAnsi="宋体" w:eastAsia="宋体" w:cs="宋体"/>
                <w:b w:val="0"/>
                <w:bCs w:val="0"/>
                <w:color w:val="auto"/>
                <w:kern w:val="0"/>
                <w:sz w:val="15"/>
                <w:szCs w:val="15"/>
                <w:highlight w:val="none"/>
              </w:rPr>
              <w:t>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95DBA79">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81A74DC">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14:paraId="66253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16" w:hRule="atLeast"/>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14:paraId="7D12E46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5B2C888">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未按要求对生活垃圾处理设施相关指标进行检测</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173D2ED">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17A041FA">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6E5291C8">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14:paraId="3C90F618">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eastAsia="宋体" w:cs="宋体" w:asciiTheme="minorEastAsia" w:hAnsiTheme="minorEastAsia"/>
                <w:color w:val="auto"/>
                <w:kern w:val="0"/>
                <w:sz w:val="15"/>
                <w:szCs w:val="15"/>
                <w:highlight w:val="none"/>
                <w:lang w:eastAsia="zh-CN"/>
              </w:rPr>
            </w:pPr>
            <w:r>
              <w:rPr>
                <w:rFonts w:hint="eastAsia" w:ascii="宋体" w:hAnsi="宋体" w:eastAsia="宋体"/>
                <w:color w:val="auto"/>
                <w:sz w:val="15"/>
                <w:szCs w:val="15"/>
                <w:highlight w:val="none"/>
              </w:rPr>
              <w:t>1.未对生活垃圾处理设施相关指标进行检测，</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z w:val="15"/>
                <w:szCs w:val="15"/>
                <w:highlight w:val="none"/>
              </w:rPr>
              <w:t>； 2.未按照要求建设在线监管系统，</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olor w:val="auto"/>
                <w:sz w:val="15"/>
                <w:szCs w:val="15"/>
                <w:highlight w:val="none"/>
              </w:rPr>
              <w:t>；</w:t>
            </w:r>
            <w:r>
              <w:rPr>
                <w:rFonts w:hint="eastAsia" w:ascii="宋体" w:hAnsi="宋体" w:eastAsia="宋体" w:cs="宋体"/>
                <w:b w:val="0"/>
                <w:bCs w:val="0"/>
                <w:color w:val="auto"/>
                <w:kern w:val="0"/>
                <w:sz w:val="15"/>
                <w:szCs w:val="15"/>
                <w:highlight w:val="none"/>
              </w:rPr>
              <w:t>3.对环境造成较严重影响的，系数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9CF2922">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5024AFB">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14:paraId="231CC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66" w:hRule="atLeast"/>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14:paraId="6F5228B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884960F">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未按要求传送生活垃圾处理设施相关检测指标</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1F44AB9">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0EA75D81">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4B7F3B6F">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14:paraId="304EFCCF">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eastAsia="宋体" w:asciiTheme="minorEastAsia" w:hAnsiTheme="minorEastAsia"/>
                <w:color w:val="auto"/>
                <w:sz w:val="15"/>
                <w:szCs w:val="15"/>
                <w:highlight w:val="none"/>
                <w:lang w:eastAsia="zh-CN"/>
              </w:rPr>
            </w:pPr>
            <w:r>
              <w:rPr>
                <w:rFonts w:hint="eastAsia" w:ascii="宋体" w:hAnsi="宋体" w:eastAsia="宋体"/>
                <w:color w:val="auto"/>
                <w:spacing w:val="-4"/>
                <w:sz w:val="15"/>
                <w:szCs w:val="15"/>
                <w:highlight w:val="none"/>
              </w:rPr>
              <w:t>1.未将检测数据传送至生活垃圾管理信息系统，</w:t>
            </w:r>
            <w:r>
              <w:rPr>
                <w:rFonts w:hint="eastAsia" w:ascii="宋体" w:hAnsi="宋体"/>
                <w:color w:val="auto"/>
                <w:spacing w:val="-4"/>
                <w:sz w:val="15"/>
                <w:szCs w:val="15"/>
                <w:highlight w:val="none"/>
                <w:lang w:eastAsia="zh-CN"/>
              </w:rPr>
              <w:t>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1</w:t>
            </w:r>
            <w:r>
              <w:rPr>
                <w:rFonts w:hint="eastAsia" w:ascii="宋体" w:hAnsi="宋体" w:eastAsia="宋体"/>
                <w:color w:val="auto"/>
                <w:spacing w:val="-4"/>
                <w:sz w:val="15"/>
                <w:szCs w:val="15"/>
                <w:highlight w:val="none"/>
              </w:rPr>
              <w:t>；</w:t>
            </w:r>
            <w:r>
              <w:rPr>
                <w:rFonts w:hint="eastAsia" w:ascii="宋体" w:hAnsi="宋体" w:eastAsia="宋体" w:cs="宋体"/>
                <w:color w:val="auto"/>
                <w:kern w:val="0"/>
                <w:sz w:val="15"/>
                <w:szCs w:val="15"/>
                <w:highlight w:val="none"/>
              </w:rPr>
              <w:t>2.长期未按要求传送，未如实传送数据的，系数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.对环境造成较严重影响的，系数</w:t>
            </w:r>
            <w:r>
              <w:rPr>
                <w:rFonts w:hint="eastAsia" w:ascii="宋体" w:hAnsi="宋体" w:cs="宋体"/>
                <w:b w:val="0"/>
                <w:bCs w:val="0"/>
                <w:color w:val="auto"/>
                <w:kern w:val="0"/>
                <w:sz w:val="15"/>
                <w:szCs w:val="15"/>
                <w:highlight w:val="none"/>
                <w:lang w:val="en-US" w:eastAsia="zh-CN"/>
              </w:rPr>
              <w:t>5-6</w:t>
            </w:r>
            <w:r>
              <w:rPr>
                <w:rFonts w:hint="eastAsia" w:ascii="宋体" w:hAnsi="宋体" w:cs="宋体"/>
                <w:b w:val="0"/>
                <w:bCs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78D230D">
            <w:pPr>
              <w:keepNext w:val="0"/>
              <w:keepLines w:val="0"/>
              <w:pageBreakBefore w:val="0"/>
              <w:widowControl w:val="0"/>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4CB422C">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14:paraId="7C1CC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91" w:hRule="atLeast"/>
          <w:jc w:val="center"/>
        </w:trPr>
        <w:tc>
          <w:tcPr>
            <w:tcW w:w="610" w:type="dxa"/>
            <w:tcBorders>
              <w:top w:val="single" w:color="auto" w:sz="4" w:space="0"/>
              <w:left w:val="single" w:color="auto" w:sz="4" w:space="0"/>
              <w:bottom w:val="single" w:color="auto" w:sz="4" w:space="0"/>
              <w:right w:val="single" w:color="auto" w:sz="4" w:space="0"/>
            </w:tcBorders>
            <w:shd w:val="clear" w:color="auto" w:fill="auto"/>
            <w:vAlign w:val="center"/>
          </w:tcPr>
          <w:p w14:paraId="438446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33</w:t>
            </w:r>
          </w:p>
        </w:tc>
        <w:tc>
          <w:tcPr>
            <w:tcW w:w="183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615F7FD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未落实生活垃圾处理台</w:t>
            </w:r>
            <w:r>
              <w:rPr>
                <w:rFonts w:hint="eastAsia" w:asciiTheme="minorEastAsia" w:hAnsiTheme="minorEastAsia" w:eastAsiaTheme="minorEastAsia"/>
                <w:color w:val="auto"/>
                <w:sz w:val="15"/>
                <w:szCs w:val="15"/>
                <w:highlight w:val="none"/>
                <w:lang w:eastAsia="zh-CN"/>
              </w:rPr>
              <w:t>账</w:t>
            </w:r>
            <w:r>
              <w:rPr>
                <w:rFonts w:hint="eastAsia" w:asciiTheme="minorEastAsia" w:hAnsiTheme="minorEastAsia" w:eastAsiaTheme="minorEastAsia"/>
                <w:color w:val="auto"/>
                <w:sz w:val="15"/>
                <w:szCs w:val="15"/>
                <w:highlight w:val="none"/>
              </w:rPr>
              <w:t>制度</w:t>
            </w:r>
          </w:p>
        </w:tc>
        <w:tc>
          <w:tcPr>
            <w:tcW w:w="278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0379616">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2ED9E73">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5A6C76FB">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14:paraId="61BCB4E8">
            <w:pPr>
              <w:spacing w:line="200" w:lineRule="exact"/>
              <w:rPr>
                <w:rFonts w:hint="eastAsia" w:ascii="宋体" w:hAnsi="宋体" w:eastAsia="宋体" w:cs="宋体"/>
                <w:b/>
                <w:bCs/>
                <w:color w:val="auto"/>
                <w:kern w:val="0"/>
                <w:sz w:val="15"/>
                <w:szCs w:val="15"/>
                <w:highlight w:val="none"/>
                <w:lang w:eastAsia="zh-CN"/>
              </w:rPr>
            </w:pPr>
            <w:r>
              <w:rPr>
                <w:rFonts w:hint="eastAsia" w:ascii="宋体" w:hAnsi="宋体" w:eastAsia="宋体"/>
                <w:color w:val="auto"/>
                <w:sz w:val="15"/>
                <w:szCs w:val="15"/>
                <w:highlight w:val="none"/>
              </w:rPr>
              <w:t>1.未按照要求向相关管理部门报送数据、报表以及相关情况，</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0-2； 2.未建立生活垃圾处理台账，</w:t>
            </w:r>
            <w:r>
              <w:rPr>
                <w:rFonts w:hint="eastAsia" w:ascii="宋体" w:hAnsi="宋体"/>
                <w:color w:val="auto"/>
                <w:sz w:val="15"/>
                <w:szCs w:val="15"/>
                <w:highlight w:val="none"/>
                <w:lang w:eastAsia="zh-CN"/>
              </w:rPr>
              <w:t>系数</w:t>
            </w:r>
            <w:r>
              <w:rPr>
                <w:rFonts w:hint="eastAsia" w:ascii="宋体" w:hAnsi="宋体" w:eastAsia="宋体"/>
                <w:color w:val="auto"/>
                <w:sz w:val="15"/>
                <w:szCs w:val="15"/>
                <w:highlight w:val="none"/>
              </w:rPr>
              <w:t>3-6；</w:t>
            </w:r>
            <w:r>
              <w:rPr>
                <w:rFonts w:hint="eastAsia" w:ascii="宋体" w:hAnsi="宋体" w:eastAsia="宋体"/>
                <w:b w:val="0"/>
                <w:bCs w:val="0"/>
                <w:color w:val="auto"/>
                <w:sz w:val="15"/>
                <w:szCs w:val="15"/>
                <w:highlight w:val="none"/>
              </w:rPr>
              <w:t xml:space="preserve"> </w:t>
            </w:r>
            <w:r>
              <w:rPr>
                <w:rFonts w:hint="eastAsia" w:ascii="宋体" w:hAnsi="宋体" w:eastAsia="宋体" w:cs="宋体"/>
                <w:b w:val="0"/>
                <w:bCs w:val="0"/>
                <w:color w:val="auto"/>
                <w:kern w:val="0"/>
                <w:sz w:val="15"/>
                <w:szCs w:val="15"/>
                <w:highlight w:val="none"/>
              </w:rPr>
              <w:t>3.对环境造成较严重影响的，系数7-9</w:t>
            </w:r>
            <w:r>
              <w:rPr>
                <w:rFonts w:hint="eastAsia" w:ascii="宋体" w:hAnsi="宋体" w:cs="宋体"/>
                <w:b w:val="0"/>
                <w:bCs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14:paraId="2A14CCAF">
            <w:pPr>
              <w:spacing w:line="200" w:lineRule="exact"/>
              <w:rPr>
                <w:rFonts w:cs="宋体" w:asciiTheme="minorEastAsia" w:hAnsiTheme="minorEastAsia" w:eastAsiaTheme="minorEastAsia"/>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0DA7A75">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DDFC519">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p w14:paraId="1AB72FA4">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r>
      <w:tr w14:paraId="6FE4F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70" w:hRule="atLeast"/>
          <w:jc w:val="center"/>
        </w:trPr>
        <w:tc>
          <w:tcPr>
            <w:tcW w:w="610" w:type="dxa"/>
            <w:tcBorders>
              <w:top w:val="single" w:color="auto" w:sz="4" w:space="0"/>
              <w:left w:val="single" w:color="auto" w:sz="4" w:space="0"/>
              <w:right w:val="single" w:color="auto" w:sz="4" w:space="0"/>
            </w:tcBorders>
            <w:shd w:val="clear" w:color="auto" w:fill="auto"/>
            <w:vAlign w:val="center"/>
          </w:tcPr>
          <w:p w14:paraId="094CD0A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34</w:t>
            </w:r>
          </w:p>
        </w:tc>
        <w:tc>
          <w:tcPr>
            <w:tcW w:w="1830" w:type="dxa"/>
            <w:gridSpan w:val="3"/>
            <w:tcBorders>
              <w:top w:val="single" w:color="auto" w:sz="4" w:space="0"/>
              <w:left w:val="single" w:color="auto" w:sz="4" w:space="0"/>
              <w:right w:val="single" w:color="auto" w:sz="4" w:space="0"/>
            </w:tcBorders>
            <w:shd w:val="clear" w:color="auto" w:fill="auto"/>
            <w:vAlign w:val="center"/>
          </w:tcPr>
          <w:p w14:paraId="67728DDE">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未按要求公开设施污染控制监测指标和处理设施运行数据</w:t>
            </w:r>
          </w:p>
        </w:tc>
        <w:tc>
          <w:tcPr>
            <w:tcW w:w="2789" w:type="dxa"/>
            <w:gridSpan w:val="2"/>
            <w:tcBorders>
              <w:top w:val="single" w:color="auto" w:sz="4" w:space="0"/>
              <w:left w:val="single" w:color="auto" w:sz="4" w:space="0"/>
              <w:right w:val="single" w:color="auto" w:sz="4" w:space="0"/>
            </w:tcBorders>
            <w:shd w:val="clear" w:color="auto" w:fill="auto"/>
            <w:vAlign w:val="center"/>
          </w:tcPr>
          <w:p w14:paraId="394CFBC1">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54B87AC0">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07960CD1">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14:paraId="3C58C3EB">
            <w:pPr>
              <w:spacing w:line="21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1.未按要求公开数据的，系数</w:t>
            </w:r>
            <w:r>
              <w:rPr>
                <w:rFonts w:hint="eastAsia" w:ascii="宋体" w:hAnsi="宋体" w:eastAsia="宋体"/>
                <w:color w:val="auto"/>
                <w:sz w:val="15"/>
                <w:szCs w:val="15"/>
                <w:highlight w:val="none"/>
              </w:rPr>
              <w:t>0-</w:t>
            </w:r>
            <w:r>
              <w:rPr>
                <w:rFonts w:hint="eastAsia" w:ascii="宋体" w:hAnsi="宋体"/>
                <w:color w:val="auto"/>
                <w:sz w:val="15"/>
                <w:szCs w:val="15"/>
                <w:highlight w:val="none"/>
                <w:lang w:val="en-US" w:eastAsia="zh-CN"/>
              </w:rPr>
              <w:t xml:space="preserve"> 1</w:t>
            </w:r>
            <w:r>
              <w:rPr>
                <w:rFonts w:hint="eastAsia" w:cs="宋体" w:asciiTheme="minorEastAsia" w:hAnsiTheme="minorEastAsia" w:eastAsiaTheme="minorEastAsia"/>
                <w:color w:val="auto"/>
                <w:kern w:val="0"/>
                <w:sz w:val="15"/>
                <w:szCs w:val="15"/>
                <w:highlight w:val="none"/>
              </w:rPr>
              <w:t>；2.长期未公开数据，系数</w:t>
            </w:r>
            <w:r>
              <w:rPr>
                <w:rFonts w:hint="eastAsia" w:ascii="宋体" w:hAnsi="宋体" w:eastAsia="宋体"/>
                <w:color w:val="auto"/>
                <w:sz w:val="15"/>
                <w:szCs w:val="15"/>
                <w:highlight w:val="none"/>
              </w:rPr>
              <w:t>3-</w:t>
            </w:r>
            <w:r>
              <w:rPr>
                <w:rFonts w:hint="eastAsia" w:ascii="宋体" w:hAnsi="宋体"/>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；3.造成较严重后果的，系数</w:t>
            </w:r>
            <w:r>
              <w:rPr>
                <w:rFonts w:hint="eastAsia" w:ascii="宋体" w:hAnsi="宋体" w:cs="宋体"/>
                <w:b w:val="0"/>
                <w:bCs w:val="0"/>
                <w:color w:val="auto"/>
                <w:kern w:val="0"/>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5766D28">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0D191C6">
            <w:pPr>
              <w:spacing w:line="21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r>
      <w:tr w14:paraId="74453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57" w:hRule="atLeast"/>
          <w:jc w:val="center"/>
        </w:trPr>
        <w:tc>
          <w:tcPr>
            <w:tcW w:w="610" w:type="dxa"/>
            <w:vMerge w:val="restart"/>
            <w:tcBorders>
              <w:top w:val="single" w:color="auto" w:sz="4" w:space="0"/>
              <w:left w:val="single" w:color="auto" w:sz="4" w:space="0"/>
              <w:right w:val="single" w:color="auto" w:sz="4" w:space="0"/>
            </w:tcBorders>
            <w:shd w:val="clear" w:color="auto" w:fill="auto"/>
            <w:vAlign w:val="center"/>
          </w:tcPr>
          <w:p w14:paraId="7A0C5E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35</w:t>
            </w:r>
          </w:p>
        </w:tc>
        <w:tc>
          <w:tcPr>
            <w:tcW w:w="1830" w:type="dxa"/>
            <w:gridSpan w:val="3"/>
            <w:vMerge w:val="restart"/>
            <w:tcBorders>
              <w:top w:val="single" w:color="auto" w:sz="4" w:space="0"/>
              <w:left w:val="single" w:color="auto" w:sz="4" w:space="0"/>
              <w:right w:val="single" w:color="auto" w:sz="4" w:space="0"/>
            </w:tcBorders>
            <w:shd w:val="clear" w:color="auto" w:fill="auto"/>
            <w:vAlign w:val="center"/>
          </w:tcPr>
          <w:p w14:paraId="13AF977A">
            <w:pPr>
              <w:spacing w:line="210" w:lineRule="exact"/>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生活垃圾集中转运、处理设施的运行管理单位</w:t>
            </w:r>
            <w:r>
              <w:rPr>
                <w:rFonts w:hint="eastAsia" w:asciiTheme="minorEastAsia" w:hAnsiTheme="minorEastAsia" w:eastAsiaTheme="minorEastAsia"/>
                <w:color w:val="auto"/>
                <w:sz w:val="15"/>
                <w:szCs w:val="15"/>
                <w:highlight w:val="none"/>
              </w:rPr>
              <w:t>未按要求</w:t>
            </w:r>
            <w:r>
              <w:rPr>
                <w:rFonts w:cs="宋体" w:asciiTheme="minorEastAsia" w:hAnsiTheme="minorEastAsia" w:eastAsiaTheme="minorEastAsia"/>
                <w:color w:val="auto"/>
                <w:kern w:val="0"/>
                <w:sz w:val="15"/>
                <w:szCs w:val="15"/>
                <w:highlight w:val="none"/>
              </w:rPr>
              <w:t>配套建设相应的参观、宣传设施</w:t>
            </w:r>
            <w:r>
              <w:rPr>
                <w:rFonts w:hint="eastAsia" w:cs="宋体" w:asciiTheme="minorEastAsia" w:hAnsiTheme="minorEastAsia" w:eastAsiaTheme="minorEastAsia"/>
                <w:color w:val="auto"/>
                <w:kern w:val="0"/>
                <w:sz w:val="15"/>
                <w:szCs w:val="15"/>
                <w:highlight w:val="none"/>
              </w:rPr>
              <w:t>或者未</w:t>
            </w:r>
            <w:r>
              <w:rPr>
                <w:rFonts w:cs="宋体" w:asciiTheme="minorEastAsia" w:hAnsiTheme="minorEastAsia" w:eastAsiaTheme="minorEastAsia"/>
                <w:color w:val="auto"/>
                <w:kern w:val="0"/>
                <w:sz w:val="15"/>
                <w:szCs w:val="15"/>
                <w:highlight w:val="none"/>
              </w:rPr>
              <w:t>在规定的公众开放日接待社会公众</w:t>
            </w:r>
          </w:p>
        </w:tc>
        <w:tc>
          <w:tcPr>
            <w:tcW w:w="2789" w:type="dxa"/>
            <w:gridSpan w:val="2"/>
            <w:vMerge w:val="restart"/>
            <w:tcBorders>
              <w:top w:val="single" w:color="auto" w:sz="4" w:space="0"/>
              <w:left w:val="single" w:color="auto" w:sz="4" w:space="0"/>
              <w:right w:val="single" w:color="auto" w:sz="4" w:space="0"/>
            </w:tcBorders>
            <w:shd w:val="clear" w:color="auto" w:fill="auto"/>
            <w:vAlign w:val="center"/>
          </w:tcPr>
          <w:p w14:paraId="3EF5A950">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7AA8AC5A">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4BC40683">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14:paraId="11627881">
            <w:pPr>
              <w:spacing w:line="210" w:lineRule="exact"/>
              <w:rPr>
                <w:rFonts w:cs="宋体" w:asciiTheme="minorEastAsia" w:hAnsiTheme="minorEastAsia" w:eastAsiaTheme="minorEastAsia"/>
                <w:color w:val="auto"/>
                <w:kern w:val="0"/>
                <w:sz w:val="15"/>
                <w:szCs w:val="15"/>
                <w:highlight w:val="none"/>
              </w:rPr>
            </w:pP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6D5BEFF">
            <w:pPr>
              <w:spacing w:line="210" w:lineRule="exact"/>
              <w:rPr>
                <w:rFonts w:cs="宋体" w:asciiTheme="minorEastAsia" w:hAnsiTheme="minorEastAsia" w:eastAsiaTheme="minorEastAsia"/>
                <w:color w:val="auto"/>
                <w:kern w:val="0"/>
                <w:sz w:val="15"/>
                <w:szCs w:val="15"/>
                <w:highlight w:val="none"/>
              </w:rPr>
            </w:pP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5409AAB">
            <w:pPr>
              <w:spacing w:line="210" w:lineRule="exact"/>
              <w:rPr>
                <w:rFonts w:cs="宋体" w:asciiTheme="minorEastAsia" w:hAnsiTheme="minorEastAsia" w:eastAsiaTheme="minorEastAsia"/>
                <w:color w:val="auto"/>
                <w:kern w:val="0"/>
                <w:sz w:val="15"/>
                <w:szCs w:val="15"/>
                <w:highlight w:val="none"/>
              </w:rPr>
            </w:pPr>
          </w:p>
        </w:tc>
      </w:tr>
      <w:tr w14:paraId="24D29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11" w:hRule="atLeast"/>
          <w:jc w:val="center"/>
        </w:trPr>
        <w:tc>
          <w:tcPr>
            <w:tcW w:w="610" w:type="dxa"/>
            <w:vMerge w:val="continue"/>
            <w:tcBorders>
              <w:left w:val="single" w:color="auto" w:sz="4" w:space="0"/>
              <w:bottom w:val="single" w:color="auto" w:sz="4" w:space="0"/>
              <w:right w:val="single" w:color="auto" w:sz="4" w:space="0"/>
            </w:tcBorders>
            <w:shd w:val="clear" w:color="auto" w:fill="auto"/>
            <w:vAlign w:val="center"/>
          </w:tcPr>
          <w:p w14:paraId="141CDEDD">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shd w:val="clear" w:color="auto" w:fill="auto"/>
            <w:vAlign w:val="center"/>
          </w:tcPr>
          <w:p w14:paraId="0F06F603">
            <w:pPr>
              <w:spacing w:line="210" w:lineRule="exact"/>
              <w:rPr>
                <w:rFonts w:asciiTheme="minorEastAsia" w:hAnsiTheme="minorEastAsia" w:eastAsiaTheme="minorEastAsia"/>
                <w:color w:val="auto"/>
                <w:sz w:val="15"/>
                <w:szCs w:val="15"/>
                <w:highlight w:val="none"/>
              </w:rPr>
            </w:pPr>
          </w:p>
        </w:tc>
        <w:tc>
          <w:tcPr>
            <w:tcW w:w="2789" w:type="dxa"/>
            <w:gridSpan w:val="2"/>
            <w:vMerge w:val="continue"/>
            <w:tcBorders>
              <w:left w:val="single" w:color="auto" w:sz="4" w:space="0"/>
              <w:bottom w:val="single" w:color="auto" w:sz="4" w:space="0"/>
              <w:right w:val="single" w:color="auto" w:sz="4" w:space="0"/>
            </w:tcBorders>
            <w:shd w:val="clear" w:color="auto" w:fill="auto"/>
            <w:vAlign w:val="center"/>
          </w:tcPr>
          <w:p w14:paraId="2E0310E0">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066BE2C1">
            <w:pPr>
              <w:spacing w:line="21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141308A3">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（拒不改正的）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0F4CCFD2">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14:paraId="5652B65E">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D3DB32D">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6840F97">
            <w:pPr>
              <w:spacing w:line="210" w:lineRule="exact"/>
              <w:rPr>
                <w:rFonts w:cs="宋体" w:asciiTheme="minorEastAsia" w:hAnsiTheme="minorEastAsia" w:eastAsiaTheme="minorEastAsia"/>
                <w:color w:val="auto"/>
                <w:kern w:val="0"/>
                <w:sz w:val="15"/>
                <w:szCs w:val="15"/>
                <w:highlight w:val="none"/>
              </w:rPr>
            </w:pPr>
          </w:p>
        </w:tc>
      </w:tr>
      <w:tr w14:paraId="4F07D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9" w:hRule="atLeast"/>
          <w:jc w:val="center"/>
        </w:trPr>
        <w:tc>
          <w:tcPr>
            <w:tcW w:w="610" w:type="dxa"/>
            <w:vMerge w:val="restart"/>
            <w:tcBorders>
              <w:top w:val="single" w:color="auto" w:sz="4" w:space="0"/>
              <w:left w:val="single" w:color="auto" w:sz="4" w:space="0"/>
              <w:right w:val="single" w:color="auto" w:sz="4" w:space="0"/>
            </w:tcBorders>
            <w:shd w:val="clear" w:color="auto" w:fill="auto"/>
            <w:vAlign w:val="center"/>
          </w:tcPr>
          <w:p w14:paraId="03C411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830" w:type="dxa"/>
            <w:gridSpan w:val="3"/>
            <w:vMerge w:val="restart"/>
            <w:tcBorders>
              <w:top w:val="single" w:color="auto" w:sz="4" w:space="0"/>
              <w:left w:val="single" w:color="auto" w:sz="4" w:space="0"/>
              <w:right w:val="single" w:color="auto" w:sz="4" w:space="0"/>
            </w:tcBorders>
            <w:shd w:val="clear" w:color="auto" w:fill="auto"/>
            <w:vAlign w:val="center"/>
          </w:tcPr>
          <w:p w14:paraId="0C07AAD8">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再生资源回收经营者未分类贮存物品</w:t>
            </w:r>
          </w:p>
        </w:tc>
        <w:tc>
          <w:tcPr>
            <w:tcW w:w="2789" w:type="dxa"/>
            <w:gridSpan w:val="2"/>
            <w:vMerge w:val="restart"/>
            <w:tcBorders>
              <w:top w:val="single" w:color="auto" w:sz="4" w:space="0"/>
              <w:left w:val="single" w:color="auto" w:sz="4" w:space="0"/>
              <w:right w:val="single" w:color="auto" w:sz="4" w:space="0"/>
            </w:tcBorders>
            <w:shd w:val="clear" w:color="auto" w:fill="auto"/>
            <w:vAlign w:val="center"/>
          </w:tcPr>
          <w:p w14:paraId="07C4F68A">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15467E40">
            <w:pPr>
              <w:spacing w:line="21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14:paraId="1EEDA43C">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2EF82F39">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14:paraId="3A1EFD79">
            <w:pPr>
              <w:widowControl w:val="0"/>
              <w:numPr>
                <w:ilvl w:val="0"/>
                <w:numId w:val="0"/>
              </w:numPr>
              <w:jc w:val="both"/>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占地面积10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11－15</w:t>
            </w:r>
            <w:r>
              <w:rPr>
                <w:rFonts w:cs="Batang" w:asciiTheme="minorEastAsia" w:hAnsiTheme="minorEastAsia" w:eastAsiaTheme="minorEastAsia"/>
                <w:color w:val="auto"/>
                <w:kern w:val="0"/>
                <w:sz w:val="15"/>
                <w:szCs w:val="15"/>
                <w:highlight w:val="none"/>
              </w:rPr>
              <w:t>㎡</w:t>
            </w:r>
            <w:r>
              <w:rPr>
                <w:rFonts w:hint="eastAsia" w:cs="Batang"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16－20</w:t>
            </w:r>
            <w:r>
              <w:rPr>
                <w:rFonts w:cs="Batang" w:asciiTheme="minorEastAsia" w:hAnsiTheme="minorEastAsia" w:eastAsiaTheme="minorEastAsia"/>
                <w:color w:val="auto"/>
                <w:kern w:val="0"/>
                <w:sz w:val="15"/>
                <w:szCs w:val="15"/>
                <w:highlight w:val="none"/>
              </w:rPr>
              <w:t>㎡</w:t>
            </w:r>
            <w:r>
              <w:rPr>
                <w:rFonts w:hint="eastAsia" w:cs="Batang"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color w:val="auto"/>
                <w:sz w:val="15"/>
                <w:szCs w:val="15"/>
                <w:highlight w:val="none"/>
                <w:lang w:val="en-US" w:eastAsia="zh-CN"/>
              </w:rPr>
              <w:t>26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4；2.存在基准2.1.3规定情形的，系数按照相关规定确定。</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B9F3B83">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FAD5DB9">
            <w:pPr>
              <w:spacing w:line="210" w:lineRule="exact"/>
              <w:rPr>
                <w:rFonts w:cs="宋体" w:asciiTheme="minorEastAsia" w:hAnsiTheme="minorEastAsia" w:eastAsiaTheme="minorEastAsia"/>
                <w:color w:val="auto"/>
                <w:kern w:val="0"/>
                <w:sz w:val="15"/>
                <w:szCs w:val="15"/>
                <w:highlight w:val="none"/>
              </w:rPr>
            </w:pPr>
          </w:p>
        </w:tc>
      </w:tr>
      <w:tr w14:paraId="0B14B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85" w:hRule="atLeast"/>
          <w:jc w:val="center"/>
        </w:trPr>
        <w:tc>
          <w:tcPr>
            <w:tcW w:w="610" w:type="dxa"/>
            <w:vMerge w:val="continue"/>
            <w:tcBorders>
              <w:left w:val="single" w:color="auto" w:sz="4" w:space="0"/>
              <w:bottom w:val="single" w:color="auto" w:sz="4" w:space="0"/>
              <w:right w:val="single" w:color="auto" w:sz="4" w:space="0"/>
            </w:tcBorders>
            <w:shd w:val="clear" w:color="auto" w:fill="auto"/>
            <w:vAlign w:val="center"/>
          </w:tcPr>
          <w:p w14:paraId="22BCE15D">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left w:val="single" w:color="auto" w:sz="4" w:space="0"/>
              <w:bottom w:val="single" w:color="auto" w:sz="4" w:space="0"/>
              <w:right w:val="single" w:color="auto" w:sz="4" w:space="0"/>
            </w:tcBorders>
            <w:shd w:val="clear" w:color="auto" w:fill="auto"/>
            <w:vAlign w:val="center"/>
          </w:tcPr>
          <w:p w14:paraId="651BD027">
            <w:pPr>
              <w:spacing w:line="210" w:lineRule="exact"/>
              <w:rPr>
                <w:rFonts w:asciiTheme="minorEastAsia" w:hAnsiTheme="minorEastAsia" w:eastAsiaTheme="minorEastAsia"/>
                <w:color w:val="auto"/>
                <w:sz w:val="15"/>
                <w:szCs w:val="15"/>
                <w:highlight w:val="none"/>
              </w:rPr>
            </w:pPr>
          </w:p>
        </w:tc>
        <w:tc>
          <w:tcPr>
            <w:tcW w:w="2789" w:type="dxa"/>
            <w:gridSpan w:val="2"/>
            <w:vMerge w:val="continue"/>
            <w:tcBorders>
              <w:left w:val="single" w:color="auto" w:sz="4" w:space="0"/>
              <w:bottom w:val="single" w:color="auto" w:sz="4" w:space="0"/>
              <w:right w:val="single" w:color="auto" w:sz="4" w:space="0"/>
            </w:tcBorders>
            <w:shd w:val="clear" w:color="auto" w:fill="auto"/>
            <w:vAlign w:val="center"/>
          </w:tcPr>
          <w:p w14:paraId="374896E8">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14:paraId="3372556F">
            <w:pPr>
              <w:spacing w:line="21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547BB306">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3C1ED015">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top w:val="single" w:color="auto" w:sz="4" w:space="0"/>
              <w:left w:val="single" w:color="auto" w:sz="4" w:space="0"/>
              <w:bottom w:val="single" w:color="auto" w:sz="4" w:space="0"/>
              <w:right w:val="single" w:color="auto" w:sz="4" w:space="0"/>
            </w:tcBorders>
            <w:shd w:val="clear" w:color="auto" w:fill="auto"/>
            <w:vAlign w:val="center"/>
          </w:tcPr>
          <w:p w14:paraId="5F7CB37C">
            <w:pPr>
              <w:spacing w:line="210" w:lineRule="exact"/>
              <w:rPr>
                <w:rFonts w:cs="宋体" w:asciiTheme="minorEastAsia" w:hAnsiTheme="minorEastAsia" w:eastAsiaTheme="minorEastAsia"/>
                <w:color w:val="auto"/>
                <w:kern w:val="0"/>
                <w:sz w:val="15"/>
                <w:szCs w:val="15"/>
                <w:highlight w:val="none"/>
              </w:rPr>
            </w:pP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05BD84E">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637773A">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曾因此违法行为受到过行政处罚，再次违反的适用此情形。</w:t>
            </w:r>
          </w:p>
        </w:tc>
      </w:tr>
      <w:tr w14:paraId="4D821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83" w:hRule="atLeast"/>
          <w:jc w:val="center"/>
        </w:trPr>
        <w:tc>
          <w:tcPr>
            <w:tcW w:w="14203" w:type="dxa"/>
            <w:gridSpan w:val="13"/>
            <w:shd w:val="clear" w:color="auto" w:fill="auto"/>
            <w:vAlign w:val="center"/>
          </w:tcPr>
          <w:p w14:paraId="30D516E6">
            <w:pPr>
              <w:pStyle w:val="3"/>
              <w:widowControl w:val="0"/>
              <w:spacing w:line="232" w:lineRule="exact"/>
              <w:jc w:val="center"/>
              <w:rPr>
                <w:rFonts w:asciiTheme="minorEastAsia" w:hAnsiTheme="minorEastAsia" w:eastAsiaTheme="minorEastAsia"/>
                <w:color w:val="auto"/>
                <w:sz w:val="15"/>
                <w:szCs w:val="15"/>
                <w:highlight w:val="none"/>
              </w:rPr>
            </w:pPr>
            <w:bookmarkStart w:id="10" w:name="_Toc1852724472"/>
            <w:bookmarkStart w:id="11" w:name="_Toc726075658"/>
            <w:bookmarkStart w:id="12" w:name="_Toc110851438"/>
            <w:r>
              <w:rPr>
                <w:rFonts w:hint="eastAsia" w:asciiTheme="minorEastAsia" w:hAnsiTheme="minorEastAsia" w:eastAsiaTheme="minorEastAsia"/>
                <w:color w:val="auto"/>
                <w:sz w:val="21"/>
                <w:szCs w:val="21"/>
                <w:highlight w:val="none"/>
              </w:rPr>
              <w:t>《城市生活垃圾管理办法》案由11项</w:t>
            </w:r>
            <w:bookmarkEnd w:id="10"/>
            <w:bookmarkEnd w:id="11"/>
            <w:bookmarkEnd w:id="12"/>
          </w:p>
        </w:tc>
      </w:tr>
      <w:tr w14:paraId="67E4B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15" w:hRule="atLeast"/>
          <w:jc w:val="center"/>
        </w:trPr>
        <w:tc>
          <w:tcPr>
            <w:tcW w:w="610" w:type="dxa"/>
            <w:shd w:val="clear" w:color="auto" w:fill="auto"/>
            <w:vAlign w:val="center"/>
          </w:tcPr>
          <w:p w14:paraId="639A804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57F3F100">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未按规定缴纳城市生活垃圾处理费</w:t>
            </w:r>
          </w:p>
        </w:tc>
        <w:tc>
          <w:tcPr>
            <w:tcW w:w="2789" w:type="dxa"/>
            <w:gridSpan w:val="2"/>
            <w:shd w:val="clear" w:color="auto" w:fill="auto"/>
            <w:vAlign w:val="center"/>
          </w:tcPr>
          <w:p w14:paraId="56B9FE35">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shd w:val="clear" w:color="auto" w:fill="auto"/>
            <w:vAlign w:val="center"/>
          </w:tcPr>
          <w:p w14:paraId="1D3A33F0">
            <w:pPr>
              <w:spacing w:line="20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A7F0931">
            <w:pPr>
              <w:spacing w:line="20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44382A69">
            <w:pPr>
              <w:spacing w:line="20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7D638C8">
            <w:pPr>
              <w:spacing w:line="20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794BE3A2">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r>
      <w:tr w14:paraId="478CB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75" w:hRule="atLeast"/>
          <w:jc w:val="center"/>
        </w:trPr>
        <w:tc>
          <w:tcPr>
            <w:tcW w:w="610" w:type="dxa"/>
            <w:shd w:val="clear" w:color="auto" w:fill="auto"/>
            <w:vAlign w:val="center"/>
          </w:tcPr>
          <w:p w14:paraId="1DEDA49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495E9BFA">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未按规定配套建设城市生活垃圾收集设施</w:t>
            </w:r>
          </w:p>
        </w:tc>
        <w:tc>
          <w:tcPr>
            <w:tcW w:w="2789" w:type="dxa"/>
            <w:gridSpan w:val="2"/>
            <w:shd w:val="clear" w:color="auto" w:fill="auto"/>
            <w:vAlign w:val="center"/>
          </w:tcPr>
          <w:p w14:paraId="1BC7AB9C">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违反条款：第十条；处罚条款：第三十九条，责令限期改正，并可处以1万元以下的罚款。</w:t>
            </w:r>
          </w:p>
        </w:tc>
        <w:tc>
          <w:tcPr>
            <w:tcW w:w="851" w:type="dxa"/>
            <w:shd w:val="clear" w:color="auto" w:fill="auto"/>
            <w:vAlign w:val="center"/>
          </w:tcPr>
          <w:p w14:paraId="420FFF9D">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40F857F2">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726C0F7">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1.发生在</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造成较大社会影响或者严重后果的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情形，系数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2BC6BFCE">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FBE5B3D">
            <w:pPr>
              <w:spacing w:line="20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拟作出1000元以下罚款，说明理由并报案审会决定。</w:t>
            </w:r>
          </w:p>
          <w:p w14:paraId="1E56A3F6">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14:paraId="57BFCB13">
            <w:pPr>
              <w:spacing w:line="200" w:lineRule="exact"/>
              <w:rPr>
                <w:rFonts w:hint="eastAsia" w:asciiTheme="minorEastAsia" w:hAnsiTheme="minorEastAsia" w:eastAsiaTheme="minorEastAsia"/>
                <w:color w:val="auto"/>
                <w:sz w:val="15"/>
                <w:szCs w:val="15"/>
                <w:highlight w:val="none"/>
              </w:rPr>
            </w:pPr>
          </w:p>
        </w:tc>
      </w:tr>
      <w:tr w14:paraId="4AE3C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458" w:hRule="atLeast"/>
          <w:jc w:val="center"/>
        </w:trPr>
        <w:tc>
          <w:tcPr>
            <w:tcW w:w="610" w:type="dxa"/>
            <w:shd w:val="clear" w:color="auto" w:fill="auto"/>
            <w:vAlign w:val="center"/>
          </w:tcPr>
          <w:p w14:paraId="4E24998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5EDEB00F">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擅自关闭、闲置或者拆除城市生活垃圾处置设施、场所</w:t>
            </w:r>
          </w:p>
        </w:tc>
        <w:tc>
          <w:tcPr>
            <w:tcW w:w="2789" w:type="dxa"/>
            <w:gridSpan w:val="2"/>
            <w:shd w:val="clear" w:color="auto" w:fill="auto"/>
            <w:vAlign w:val="center"/>
          </w:tcPr>
          <w:p w14:paraId="295550BB">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违反条款：第十三条；处罚条款：第四十一条，责令停止违法行为，限期改正，处以1万元以上10万元以下的罚款。</w:t>
            </w:r>
          </w:p>
        </w:tc>
        <w:tc>
          <w:tcPr>
            <w:tcW w:w="851" w:type="dxa"/>
            <w:shd w:val="clear" w:color="auto" w:fill="auto"/>
            <w:vAlign w:val="center"/>
          </w:tcPr>
          <w:p w14:paraId="0415A3B2">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809376D">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3417D431">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w:t>
            </w:r>
            <w:r>
              <w:rPr>
                <w:rFonts w:hint="eastAsia" w:asciiTheme="minorEastAsia" w:hAnsiTheme="minorEastAsia" w:eastAsiaTheme="minorEastAsia"/>
                <w:strike w:val="0"/>
                <w:dstrike w:val="0"/>
                <w:color w:val="auto"/>
                <w:sz w:val="15"/>
                <w:szCs w:val="15"/>
                <w:highlight w:val="none"/>
                <w:lang w:eastAsia="zh-CN"/>
              </w:rPr>
              <w:t>其他</w:t>
            </w:r>
            <w:r>
              <w:rPr>
                <w:rFonts w:hint="eastAsia" w:asciiTheme="minorEastAsia" w:hAnsiTheme="minorEastAsia" w:eastAsiaTheme="minorEastAsia"/>
                <w:strike w:val="0"/>
                <w:dstrike w:val="0"/>
                <w:color w:val="auto"/>
                <w:sz w:val="15"/>
                <w:szCs w:val="15"/>
                <w:highlight w:val="none"/>
              </w:rPr>
              <w:t>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00587D08">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FA4E924">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14:paraId="484521C7">
            <w:pPr>
              <w:spacing w:line="200" w:lineRule="exact"/>
              <w:rPr>
                <w:rFonts w:hint="eastAsia" w:cs="宋体" w:asciiTheme="minorEastAsia" w:hAnsiTheme="minorEastAsia" w:eastAsiaTheme="minorEastAsia"/>
                <w:strike/>
                <w:dstrike w:val="0"/>
                <w:color w:val="auto"/>
                <w:kern w:val="0"/>
                <w:sz w:val="15"/>
                <w:szCs w:val="15"/>
                <w:highlight w:val="none"/>
                <w:lang w:eastAsia="zh-CN"/>
              </w:rPr>
            </w:pPr>
          </w:p>
        </w:tc>
      </w:tr>
      <w:tr w14:paraId="062F9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98" w:hRule="atLeast"/>
          <w:jc w:val="center"/>
        </w:trPr>
        <w:tc>
          <w:tcPr>
            <w:tcW w:w="610" w:type="dxa"/>
            <w:vMerge w:val="restart"/>
            <w:shd w:val="clear" w:color="auto" w:fill="auto"/>
            <w:vAlign w:val="center"/>
          </w:tcPr>
          <w:p w14:paraId="71CECB94">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4</w:t>
            </w:r>
          </w:p>
        </w:tc>
        <w:tc>
          <w:tcPr>
            <w:tcW w:w="1830" w:type="dxa"/>
            <w:gridSpan w:val="3"/>
            <w:vMerge w:val="restart"/>
            <w:shd w:val="clear" w:color="auto" w:fill="auto"/>
            <w:vAlign w:val="center"/>
          </w:tcPr>
          <w:p w14:paraId="2B5F6B08">
            <w:pPr>
              <w:spacing w:line="200"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随意倾倒、抛洒、堆放城市生活垃圾</w:t>
            </w:r>
          </w:p>
        </w:tc>
        <w:tc>
          <w:tcPr>
            <w:tcW w:w="2789" w:type="dxa"/>
            <w:gridSpan w:val="2"/>
            <w:vMerge w:val="restart"/>
            <w:shd w:val="clear" w:color="auto" w:fill="auto"/>
            <w:vAlign w:val="center"/>
          </w:tcPr>
          <w:p w14:paraId="6C4EF6AF">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shd w:val="clear" w:color="auto" w:fill="auto"/>
            <w:vAlign w:val="center"/>
          </w:tcPr>
          <w:p w14:paraId="1E3D2E8B">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14:paraId="25DFF241">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527758AD">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1FCB27E9">
            <w:pPr>
              <w:widowControl w:val="0"/>
              <w:numPr>
                <w:ilvl w:val="0"/>
                <w:numId w:val="0"/>
              </w:numPr>
              <w:jc w:val="both"/>
              <w:rPr>
                <w:rFonts w:hint="eastAsia" w:cs="宋体" w:asciiTheme="minorEastAsia" w:hAnsiTheme="minorEastAsia" w:eastAsiaTheme="minorEastAsia"/>
                <w:color w:val="auto"/>
                <w:kern w:val="0"/>
                <w:sz w:val="15"/>
                <w:szCs w:val="15"/>
                <w:highlight w:val="none"/>
                <w:lang w:eastAsia="zh-CN"/>
              </w:rPr>
            </w:pPr>
            <w:r>
              <w:rPr>
                <w:rFonts w:hint="eastAsia" w:cs="Batang" w:asciiTheme="minorEastAsia" w:hAnsiTheme="minorEastAsia" w:eastAsiaTheme="minorEastAsia"/>
                <w:color w:val="auto"/>
                <w:sz w:val="15"/>
                <w:szCs w:val="15"/>
                <w:highlight w:val="none"/>
                <w:lang w:val="en-US" w:eastAsia="zh-CN"/>
              </w:rPr>
              <w:t>1.污染道路</w:t>
            </w:r>
            <w:r>
              <w:rPr>
                <w:rFonts w:hint="eastAsia" w:cs="宋体" w:asciiTheme="minorEastAsia" w:hAnsiTheme="minorEastAsia" w:eastAsiaTheme="minorEastAsia"/>
                <w:color w:val="auto"/>
                <w:kern w:val="0"/>
                <w:sz w:val="15"/>
                <w:szCs w:val="15"/>
                <w:highlight w:val="none"/>
                <w:lang w:eastAsia="zh-CN"/>
              </w:rPr>
              <w:t>长度</w:t>
            </w:r>
            <w:r>
              <w:rPr>
                <w:rFonts w:hint="eastAsia" w:cs="宋体" w:asciiTheme="minorEastAsia" w:hAnsiTheme="minorEastAsia" w:eastAsiaTheme="minorEastAsia"/>
                <w:color w:val="auto"/>
                <w:kern w:val="0"/>
                <w:sz w:val="15"/>
                <w:szCs w:val="15"/>
                <w:highlight w:val="none"/>
              </w:rPr>
              <w:t>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w:t>
            </w:r>
            <w:r>
              <w:rPr>
                <w:rFonts w:hint="eastAsia" w:ascii="宋体" w:hAnsi="宋体" w:eastAsia="宋体" w:cs="宋体"/>
                <w:color w:val="auto"/>
                <w:kern w:val="0"/>
                <w:sz w:val="15"/>
                <w:szCs w:val="15"/>
                <w:highlight w:val="none"/>
                <w:lang w:val="en-US" w:eastAsia="zh-CN"/>
              </w:rPr>
              <w:t>11-15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5</w:t>
            </w:r>
            <w:r>
              <w:rPr>
                <w:rFonts w:hint="eastAsia" w:ascii="宋体" w:hAnsi="宋体" w:eastAsia="宋体"/>
                <w:color w:val="auto"/>
                <w:sz w:val="15"/>
                <w:szCs w:val="15"/>
                <w:highlight w:val="none"/>
              </w:rPr>
              <w:t>.对环境造成较严重影响的，系数6-9</w:t>
            </w:r>
            <w:r>
              <w:rPr>
                <w:rFonts w:hint="eastAsia" w:ascii="宋体" w:hAnsi="宋体"/>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40A2FA84">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D854A4F">
            <w:pP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w:t>
            </w:r>
            <w:r>
              <w:rPr>
                <w:rFonts w:hint="eastAsia" w:cs="宋体" w:asciiTheme="minorEastAsia" w:hAnsiTheme="minorEastAsia" w:eastAsiaTheme="minorEastAsia"/>
                <w:color w:val="auto"/>
                <w:kern w:val="0"/>
                <w:sz w:val="15"/>
                <w:szCs w:val="15"/>
                <w:highlight w:val="none"/>
              </w:rPr>
              <w:t>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14:paraId="60F0F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38" w:hRule="atLeast"/>
          <w:jc w:val="center"/>
        </w:trPr>
        <w:tc>
          <w:tcPr>
            <w:tcW w:w="610" w:type="dxa"/>
            <w:vMerge w:val="continue"/>
            <w:shd w:val="clear" w:color="auto" w:fill="auto"/>
            <w:vAlign w:val="center"/>
          </w:tcPr>
          <w:p w14:paraId="3CD675CC">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0A40F7F6">
            <w:pPr>
              <w:spacing w:line="23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77B796F5">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62A42A9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5AD6A4FA">
            <w:pPr>
              <w:spacing w:line="232" w:lineRule="exact"/>
              <w:jc w:val="center"/>
              <w:rPr>
                <w:rFonts w:asciiTheme="minorEastAsia" w:hAnsiTheme="minorEastAsia" w:eastAsiaTheme="minorEastAsia"/>
                <w:color w:val="auto"/>
                <w:sz w:val="15"/>
                <w:szCs w:val="15"/>
                <w:highlight w:val="none"/>
              </w:rPr>
            </w:pPr>
          </w:p>
        </w:tc>
        <w:tc>
          <w:tcPr>
            <w:tcW w:w="3426" w:type="dxa"/>
            <w:shd w:val="clear" w:color="auto" w:fill="auto"/>
            <w:vAlign w:val="center"/>
          </w:tcPr>
          <w:p w14:paraId="16CB4610">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1C7CD875">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2B791842">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根据实际情况处罚</w:t>
            </w:r>
            <w:r>
              <w:rPr>
                <w:rFonts w:hint="eastAsia" w:asciiTheme="minorEastAsia" w:hAnsiTheme="minorEastAsia" w:eastAsiaTheme="minorEastAsia"/>
                <w:color w:val="auto"/>
                <w:sz w:val="15"/>
                <w:szCs w:val="15"/>
                <w:highlight w:val="none"/>
                <w:lang w:eastAsia="zh-CN"/>
              </w:rPr>
              <w:t>。</w:t>
            </w:r>
          </w:p>
        </w:tc>
      </w:tr>
      <w:tr w14:paraId="6BBAD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60" w:hRule="atLeast"/>
          <w:jc w:val="center"/>
        </w:trPr>
        <w:tc>
          <w:tcPr>
            <w:tcW w:w="610" w:type="dxa"/>
            <w:shd w:val="clear" w:color="auto" w:fill="auto"/>
            <w:vAlign w:val="center"/>
          </w:tcPr>
          <w:p w14:paraId="0C0C99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167EBD1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未经批准从事城市生活垃圾经营性清扫、收集、运输活动</w:t>
            </w:r>
          </w:p>
        </w:tc>
        <w:tc>
          <w:tcPr>
            <w:tcW w:w="2789" w:type="dxa"/>
            <w:gridSpan w:val="2"/>
            <w:shd w:val="clear" w:color="auto" w:fill="auto"/>
            <w:vAlign w:val="center"/>
          </w:tcPr>
          <w:p w14:paraId="141A82A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违反条款：第十七条；处罚条款：第四十三条，责令停止违法行为，并处以3万元的罚款。</w:t>
            </w:r>
          </w:p>
        </w:tc>
        <w:tc>
          <w:tcPr>
            <w:tcW w:w="851" w:type="dxa"/>
            <w:shd w:val="clear" w:color="auto" w:fill="auto"/>
            <w:vAlign w:val="center"/>
          </w:tcPr>
          <w:p w14:paraId="25D73B48">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E96F8DA">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400FD0F9">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5670E9AF">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398B82CD">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r>
      <w:tr w14:paraId="03952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66" w:hRule="atLeast"/>
          <w:jc w:val="center"/>
        </w:trPr>
        <w:tc>
          <w:tcPr>
            <w:tcW w:w="610" w:type="dxa"/>
            <w:shd w:val="clear" w:color="auto" w:fill="auto"/>
            <w:vAlign w:val="center"/>
          </w:tcPr>
          <w:p w14:paraId="4285B2F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1C720F69">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未经批准从事城市生活垃圾经营性处置活动</w:t>
            </w:r>
          </w:p>
        </w:tc>
        <w:tc>
          <w:tcPr>
            <w:tcW w:w="2789" w:type="dxa"/>
            <w:gridSpan w:val="2"/>
            <w:shd w:val="clear" w:color="auto" w:fill="auto"/>
            <w:vAlign w:val="center"/>
          </w:tcPr>
          <w:p w14:paraId="04BA996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违反条款：第二十五条；处罚条款：第四十三条，责令停止违法行为，并处以3万元的罚款。</w:t>
            </w:r>
          </w:p>
        </w:tc>
        <w:tc>
          <w:tcPr>
            <w:tcW w:w="851" w:type="dxa"/>
            <w:shd w:val="clear" w:color="auto" w:fill="auto"/>
            <w:vAlign w:val="center"/>
          </w:tcPr>
          <w:p w14:paraId="79C06C82">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16432C90">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538DCFBF">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2F93BD19">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051CD10F">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r>
      <w:tr w14:paraId="37D0E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56" w:hRule="atLeast"/>
          <w:jc w:val="center"/>
        </w:trPr>
        <w:tc>
          <w:tcPr>
            <w:tcW w:w="610" w:type="dxa"/>
            <w:shd w:val="clear" w:color="auto" w:fill="auto"/>
            <w:vAlign w:val="center"/>
          </w:tcPr>
          <w:p w14:paraId="4747CD6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14:paraId="31989A1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从事城市生活垃圾经营性清扫、收集、运输的企业在运输过程中沿途丢弃、遗撒生活垃圾</w:t>
            </w:r>
          </w:p>
        </w:tc>
        <w:tc>
          <w:tcPr>
            <w:tcW w:w="2789" w:type="dxa"/>
            <w:gridSpan w:val="2"/>
            <w:shd w:val="clear" w:color="auto" w:fill="auto"/>
            <w:vAlign w:val="center"/>
          </w:tcPr>
          <w:p w14:paraId="7499894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违反条款：第二十一条第（三）项；处罚条款：第四十四条，责令停止违法行为，限期改正，处以5000元以上5万元以下的罚款。</w:t>
            </w:r>
          </w:p>
        </w:tc>
        <w:tc>
          <w:tcPr>
            <w:tcW w:w="851" w:type="dxa"/>
            <w:shd w:val="clear" w:color="auto" w:fill="auto"/>
            <w:vAlign w:val="center"/>
          </w:tcPr>
          <w:p w14:paraId="1A98D73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6330022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22AFB8F5">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2.随意丢弃、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s="宋体"/>
                <w:color w:val="auto"/>
                <w:kern w:val="0"/>
                <w:sz w:val="15"/>
                <w:szCs w:val="15"/>
                <w:highlight w:val="none"/>
              </w:rPr>
              <w:t>3.</w:t>
            </w:r>
            <w:r>
              <w:rPr>
                <w:rFonts w:hint="eastAsia" w:ascii="宋体" w:hAnsi="宋体" w:eastAsia="宋体"/>
                <w:color w:val="auto"/>
                <w:sz w:val="15"/>
                <w:szCs w:val="15"/>
                <w:highlight w:val="none"/>
              </w:rPr>
              <w:t>倾倒、丢弃、堆放生活</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val="en-US" w:eastAsia="zh-CN"/>
              </w:rPr>
              <w:t>4</w:t>
            </w:r>
            <w:r>
              <w:rPr>
                <w:rFonts w:hint="eastAsia" w:ascii="宋体" w:hAnsi="宋体" w:eastAsia="宋体"/>
                <w:color w:val="auto"/>
                <w:sz w:val="15"/>
                <w:szCs w:val="15"/>
                <w:highlight w:val="none"/>
              </w:rPr>
              <w:t>.对环境造成较严重影响的，系数6-9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0DB362B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18B43EB7">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遗撒点位重叠时，不适用区域台账。</w:t>
            </w:r>
          </w:p>
        </w:tc>
      </w:tr>
      <w:tr w14:paraId="63445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72" w:hRule="atLeast"/>
          <w:jc w:val="center"/>
        </w:trPr>
        <w:tc>
          <w:tcPr>
            <w:tcW w:w="610" w:type="dxa"/>
            <w:shd w:val="clear" w:color="auto" w:fill="auto"/>
            <w:vAlign w:val="center"/>
          </w:tcPr>
          <w:p w14:paraId="36801DE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14:paraId="717C8E26">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从事城市生活垃圾经营性清扫、收集、运输的企业未履行规定义务</w:t>
            </w:r>
          </w:p>
        </w:tc>
        <w:tc>
          <w:tcPr>
            <w:tcW w:w="2789" w:type="dxa"/>
            <w:gridSpan w:val="2"/>
            <w:shd w:val="clear" w:color="auto" w:fill="auto"/>
            <w:vAlign w:val="center"/>
          </w:tcPr>
          <w:p w14:paraId="2E69309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违反条款：第二十条；处罚条款：第四十五条，责令限期改正，并可处以5000元以上3万元以下的罚款。</w:t>
            </w:r>
          </w:p>
        </w:tc>
        <w:tc>
          <w:tcPr>
            <w:tcW w:w="851" w:type="dxa"/>
            <w:shd w:val="clear" w:color="auto" w:fill="auto"/>
            <w:vAlign w:val="center"/>
          </w:tcPr>
          <w:p w14:paraId="0AE0224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035C5A6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666CC093">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w:t>
            </w:r>
            <w:r>
              <w:rPr>
                <w:rFonts w:hint="eastAsia" w:cs="宋体" w:asciiTheme="minorEastAsia" w:hAnsiTheme="minorEastAsia" w:eastAsiaTheme="minorEastAsia"/>
                <w:color w:val="auto"/>
                <w:kern w:val="0"/>
                <w:sz w:val="15"/>
                <w:szCs w:val="15"/>
                <w:highlight w:val="none"/>
                <w:lang w:val="en-US" w:eastAsia="zh-CN"/>
              </w:rPr>
              <w:t>2-3，存在3种及以上情形的，系数4-5；2.</w:t>
            </w:r>
            <w:r>
              <w:rPr>
                <w:rFonts w:hint="eastAsia" w:asciiTheme="minorEastAsia" w:hAnsiTheme="minorEastAsia" w:eastAsiaTheme="minorEastAsia"/>
                <w:color w:val="auto"/>
                <w:sz w:val="15"/>
                <w:szCs w:val="15"/>
                <w:highlight w:val="none"/>
              </w:rPr>
              <w:t>对环境造成较严重影响的，系数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423FF61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D11E2AA">
            <w:pPr>
              <w:spacing w:line="232" w:lineRule="exact"/>
              <w:rPr>
                <w:rFonts w:cs="宋体" w:asciiTheme="minorEastAsia" w:hAnsiTheme="minorEastAsia" w:eastAsiaTheme="minorEastAsia"/>
                <w:color w:val="auto"/>
                <w:kern w:val="0"/>
                <w:sz w:val="15"/>
                <w:szCs w:val="15"/>
                <w:highlight w:val="none"/>
              </w:rPr>
            </w:pPr>
          </w:p>
        </w:tc>
      </w:tr>
      <w:tr w14:paraId="2A4C3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92" w:hRule="atLeast"/>
          <w:jc w:val="center"/>
        </w:trPr>
        <w:tc>
          <w:tcPr>
            <w:tcW w:w="610" w:type="dxa"/>
            <w:shd w:val="clear" w:color="auto" w:fill="auto"/>
            <w:vAlign w:val="center"/>
          </w:tcPr>
          <w:p w14:paraId="1581CB1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14:paraId="459F65C9">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从事城市生活垃圾经营性处置的企业未履行规定义务</w:t>
            </w:r>
          </w:p>
        </w:tc>
        <w:tc>
          <w:tcPr>
            <w:tcW w:w="2789" w:type="dxa"/>
            <w:gridSpan w:val="2"/>
            <w:shd w:val="clear" w:color="auto" w:fill="auto"/>
            <w:vAlign w:val="center"/>
          </w:tcPr>
          <w:p w14:paraId="53C5AF7C">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违反条款：第二十八条；处罚条款：第四十五条，责令限期改正，并可处以3万元以上10万元以下的罚款。</w:t>
            </w:r>
          </w:p>
        </w:tc>
        <w:tc>
          <w:tcPr>
            <w:tcW w:w="851" w:type="dxa"/>
            <w:shd w:val="clear" w:color="auto" w:fill="auto"/>
            <w:vAlign w:val="center"/>
          </w:tcPr>
          <w:p w14:paraId="589B80E9">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14:paraId="02E01CFB">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6BD81B6">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w:t>
            </w:r>
            <w:r>
              <w:rPr>
                <w:rFonts w:hint="eastAsia" w:cs="宋体" w:asciiTheme="minorEastAsia" w:hAnsiTheme="minorEastAsia" w:eastAsiaTheme="minorEastAsia"/>
                <w:color w:val="auto"/>
                <w:kern w:val="0"/>
                <w:sz w:val="15"/>
                <w:szCs w:val="15"/>
                <w:highlight w:val="none"/>
                <w:lang w:val="en-US" w:eastAsia="zh-CN"/>
              </w:rPr>
              <w:t>1，存在3种及以上情形的，系数2-3；</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造成较严重影响的，系数</w:t>
            </w:r>
            <w:r>
              <w:rPr>
                <w:rFonts w:hint="eastAsia" w:asciiTheme="minorEastAsia" w:hAnsiTheme="minorEastAsia" w:eastAsiaTheme="minorEastAsia"/>
                <w:color w:val="auto"/>
                <w:sz w:val="15"/>
                <w:szCs w:val="15"/>
                <w:highlight w:val="none"/>
                <w:lang w:val="en-US" w:eastAsia="zh-CN"/>
              </w:rPr>
              <w:t>2-3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42DFBA72">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F1C4039">
            <w:pPr>
              <w:spacing w:line="220" w:lineRule="exact"/>
              <w:rPr>
                <w:rFonts w:asciiTheme="minorEastAsia" w:hAnsiTheme="minorEastAsia" w:eastAsiaTheme="minorEastAsia"/>
                <w:color w:val="auto"/>
                <w:sz w:val="15"/>
                <w:szCs w:val="15"/>
                <w:highlight w:val="none"/>
              </w:rPr>
            </w:pPr>
          </w:p>
        </w:tc>
      </w:tr>
      <w:tr w14:paraId="6C108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68" w:hRule="atLeast"/>
          <w:jc w:val="center"/>
        </w:trPr>
        <w:tc>
          <w:tcPr>
            <w:tcW w:w="610" w:type="dxa"/>
            <w:shd w:val="clear" w:color="auto" w:fill="auto"/>
            <w:vAlign w:val="center"/>
          </w:tcPr>
          <w:p w14:paraId="6D40183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14:paraId="5C9ED979">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从事城市生活垃圾经营性清扫、收集、运输的企业未经批准擅自停业、歇业的</w:t>
            </w:r>
          </w:p>
        </w:tc>
        <w:tc>
          <w:tcPr>
            <w:tcW w:w="2789" w:type="dxa"/>
            <w:gridSpan w:val="2"/>
            <w:shd w:val="clear" w:color="auto" w:fill="auto"/>
            <w:vAlign w:val="center"/>
          </w:tcPr>
          <w:p w14:paraId="25CCA92F">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违反条款：第二十一条第（二）项</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第三十五条第一款；处罚条款：第四十六条，责令限期改正，并可处以1万元以上3万元以下罚款。</w:t>
            </w:r>
          </w:p>
        </w:tc>
        <w:tc>
          <w:tcPr>
            <w:tcW w:w="851" w:type="dxa"/>
            <w:shd w:val="clear" w:color="auto" w:fill="auto"/>
            <w:vAlign w:val="center"/>
          </w:tcPr>
          <w:p w14:paraId="76951C15">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78E01AC5">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6392D74">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Theme="minorEastAsia" w:hAnsiTheme="minorEastAsia" w:eastAsiaTheme="minorEastAsia"/>
                <w:color w:val="auto"/>
                <w:sz w:val="15"/>
                <w:szCs w:val="15"/>
                <w:highlight w:val="none"/>
              </w:rPr>
              <w:t>造成较严重影响的，系数1-2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14:paraId="0A8AC8EA">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D57D08D">
            <w:pPr>
              <w:spacing w:line="220" w:lineRule="exact"/>
              <w:rPr>
                <w:rFonts w:asciiTheme="minorEastAsia" w:hAnsiTheme="minorEastAsia" w:eastAsiaTheme="minorEastAsia"/>
                <w:color w:val="auto"/>
                <w:sz w:val="15"/>
                <w:szCs w:val="15"/>
                <w:highlight w:val="none"/>
              </w:rPr>
            </w:pPr>
          </w:p>
        </w:tc>
      </w:tr>
      <w:tr w14:paraId="209D3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60" w:hRule="atLeast"/>
          <w:jc w:val="center"/>
        </w:trPr>
        <w:tc>
          <w:tcPr>
            <w:tcW w:w="610" w:type="dxa"/>
            <w:shd w:val="clear" w:color="auto" w:fill="auto"/>
            <w:vAlign w:val="center"/>
          </w:tcPr>
          <w:p w14:paraId="3E491F2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14:paraId="0DCBD08A">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从事城市生活垃圾经营性处置的企业未经批准擅自停业、歇业的</w:t>
            </w:r>
          </w:p>
        </w:tc>
        <w:tc>
          <w:tcPr>
            <w:tcW w:w="2789" w:type="dxa"/>
            <w:gridSpan w:val="2"/>
            <w:shd w:val="clear" w:color="auto" w:fill="auto"/>
            <w:vAlign w:val="center"/>
          </w:tcPr>
          <w:p w14:paraId="03E58B2F">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违反条款：第三十五条第一款；处罚条款：第四十六条，责令限期改正，并可处以5万元以上10万元以下罚款。</w:t>
            </w:r>
          </w:p>
        </w:tc>
        <w:tc>
          <w:tcPr>
            <w:tcW w:w="851" w:type="dxa"/>
            <w:shd w:val="clear" w:color="auto" w:fill="auto"/>
            <w:vAlign w:val="center"/>
          </w:tcPr>
          <w:p w14:paraId="5F7840C6">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44157B36">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3105C07">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违法行为持续</w:t>
            </w:r>
            <w:r>
              <w:rPr>
                <w:rFonts w:hint="eastAsia" w:cs="宋体" w:asciiTheme="minorEastAsia" w:hAnsiTheme="minorEastAsia" w:eastAsiaTheme="minorEastAsia"/>
                <w:color w:val="auto"/>
                <w:kern w:val="0"/>
                <w:sz w:val="15"/>
                <w:szCs w:val="15"/>
                <w:highlight w:val="none"/>
                <w:lang w:val="en-US" w:eastAsia="zh-CN"/>
              </w:rPr>
              <w:t>2天的，系数0</w:t>
            </w:r>
            <w:r>
              <w:rPr>
                <w:rFonts w:hint="default"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；3天的，系数0</w:t>
            </w:r>
            <w:r>
              <w:rPr>
                <w:rFonts w:hint="default"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；4天的，系数0</w:t>
            </w:r>
            <w:r>
              <w:rPr>
                <w:rFonts w:hint="default" w:cs="宋体" w:asciiTheme="minorEastAsia" w:hAnsiTheme="minorEastAsia" w:eastAsiaTheme="minorEastAsia"/>
                <w:color w:val="auto"/>
                <w:kern w:val="0"/>
                <w:sz w:val="15"/>
                <w:szCs w:val="15"/>
                <w:highlight w:val="none"/>
                <w:lang w:val="en-US" w:eastAsia="zh-CN"/>
              </w:rPr>
              <w:t>.6</w:t>
            </w:r>
            <w:r>
              <w:rPr>
                <w:rFonts w:hint="eastAsia" w:cs="宋体" w:asciiTheme="minorEastAsia" w:hAnsiTheme="minorEastAsia" w:eastAsiaTheme="minorEastAsia"/>
                <w:color w:val="auto"/>
                <w:kern w:val="0"/>
                <w:sz w:val="15"/>
                <w:szCs w:val="15"/>
                <w:highlight w:val="none"/>
                <w:lang w:val="en-US" w:eastAsia="zh-CN"/>
              </w:rPr>
              <w:t>；5天的，系数0.8；6天及以上的，系数1。</w:t>
            </w:r>
            <w:r>
              <w:rPr>
                <w:rFonts w:hint="default"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造成较严重影响的，系数1。3.存在基准2.1.3规定情形的，系数按照相关规定确定（基准2.1.3.5不适用）。</w:t>
            </w:r>
          </w:p>
        </w:tc>
        <w:tc>
          <w:tcPr>
            <w:tcW w:w="1875" w:type="dxa"/>
            <w:gridSpan w:val="2"/>
            <w:shd w:val="clear" w:color="auto" w:fill="auto"/>
            <w:vAlign w:val="center"/>
          </w:tcPr>
          <w:p w14:paraId="786B94AE">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4E62F0A">
            <w:pPr>
              <w:spacing w:line="220" w:lineRule="exact"/>
              <w:rPr>
                <w:rFonts w:asciiTheme="minorEastAsia" w:hAnsiTheme="minorEastAsia" w:eastAsiaTheme="minorEastAsia"/>
                <w:color w:val="auto"/>
                <w:sz w:val="15"/>
                <w:szCs w:val="15"/>
                <w:highlight w:val="none"/>
              </w:rPr>
            </w:pPr>
          </w:p>
        </w:tc>
      </w:tr>
      <w:tr w14:paraId="60B29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68" w:hRule="atLeast"/>
          <w:jc w:val="center"/>
        </w:trPr>
        <w:tc>
          <w:tcPr>
            <w:tcW w:w="14203" w:type="dxa"/>
            <w:gridSpan w:val="13"/>
            <w:shd w:val="clear" w:color="auto" w:fill="auto"/>
            <w:vAlign w:val="center"/>
          </w:tcPr>
          <w:p w14:paraId="12AA3E6E">
            <w:pPr>
              <w:pStyle w:val="3"/>
              <w:widowControl w:val="0"/>
              <w:spacing w:line="220" w:lineRule="exact"/>
              <w:jc w:val="center"/>
              <w:rPr>
                <w:rFonts w:asciiTheme="minorEastAsia" w:hAnsiTheme="minorEastAsia" w:eastAsiaTheme="minorEastAsia"/>
                <w:color w:val="auto"/>
                <w:sz w:val="15"/>
                <w:szCs w:val="15"/>
                <w:highlight w:val="none"/>
              </w:rPr>
            </w:pPr>
            <w:bookmarkStart w:id="13" w:name="_Toc110851439"/>
            <w:bookmarkStart w:id="14" w:name="_Toc1544417110"/>
            <w:bookmarkStart w:id="15" w:name="_Toc515097220"/>
            <w:r>
              <w:rPr>
                <w:rFonts w:hint="eastAsia" w:asciiTheme="minorEastAsia" w:hAnsiTheme="minorEastAsia" w:eastAsiaTheme="minorEastAsia"/>
                <w:color w:val="auto"/>
                <w:sz w:val="21"/>
                <w:szCs w:val="21"/>
                <w:highlight w:val="none"/>
              </w:rPr>
              <w:t>《城市建筑垃圾管理规定》案由11项</w:t>
            </w:r>
            <w:bookmarkEnd w:id="13"/>
            <w:bookmarkEnd w:id="14"/>
            <w:bookmarkEnd w:id="15"/>
          </w:p>
        </w:tc>
      </w:tr>
      <w:tr w14:paraId="60326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5581C3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5CD81B4B">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将建筑垃圾混入生活垃圾</w:t>
            </w:r>
          </w:p>
        </w:tc>
        <w:tc>
          <w:tcPr>
            <w:tcW w:w="2789" w:type="dxa"/>
            <w:gridSpan w:val="2"/>
            <w:shd w:val="clear" w:color="auto" w:fill="auto"/>
            <w:vAlign w:val="center"/>
          </w:tcPr>
          <w:p w14:paraId="584FF810">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违反条款：第九条；处罚条款：第二十条第一款第（一）项及第二款，责令限期改正，予以警告；对单位处3000元以下罚款；对个人处200元以下罚款。</w:t>
            </w:r>
          </w:p>
        </w:tc>
        <w:tc>
          <w:tcPr>
            <w:tcW w:w="851" w:type="dxa"/>
            <w:shd w:val="clear" w:color="auto" w:fill="auto"/>
            <w:vAlign w:val="center"/>
          </w:tcPr>
          <w:p w14:paraId="5D46B4F5">
            <w:pPr>
              <w:spacing w:line="22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769266DA">
            <w:pPr>
              <w:spacing w:line="22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10FF8623">
            <w:pPr>
              <w:spacing w:line="22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1A4D6396">
            <w:pPr>
              <w:spacing w:line="22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2A7FA707">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r>
      <w:tr w14:paraId="0EAD2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4" w:hRule="atLeast"/>
          <w:jc w:val="center"/>
        </w:trPr>
        <w:tc>
          <w:tcPr>
            <w:tcW w:w="610" w:type="dxa"/>
            <w:shd w:val="clear" w:color="auto" w:fill="auto"/>
            <w:vAlign w:val="center"/>
          </w:tcPr>
          <w:p w14:paraId="5D0373A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72350A8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将危险废物混入建筑垃圾</w:t>
            </w:r>
          </w:p>
        </w:tc>
        <w:tc>
          <w:tcPr>
            <w:tcW w:w="2789" w:type="dxa"/>
            <w:gridSpan w:val="2"/>
            <w:shd w:val="clear" w:color="auto" w:fill="auto"/>
            <w:vAlign w:val="center"/>
          </w:tcPr>
          <w:p w14:paraId="7A73EBC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违反条款：第九条；处罚条款：第二十条第一款第（二）项及第二款，责令限期改正，予以警告；对单位处3000元以下罚款；对个人处200元以下罚款。</w:t>
            </w:r>
          </w:p>
        </w:tc>
        <w:tc>
          <w:tcPr>
            <w:tcW w:w="851" w:type="dxa"/>
            <w:shd w:val="clear" w:color="auto" w:fill="auto"/>
            <w:vAlign w:val="center"/>
          </w:tcPr>
          <w:p w14:paraId="33C0FA21">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78A38313">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78472B02">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4D86284C">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14BBB464">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r>
      <w:tr w14:paraId="3D867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84" w:hRule="atLeast"/>
          <w:jc w:val="center"/>
        </w:trPr>
        <w:tc>
          <w:tcPr>
            <w:tcW w:w="610" w:type="dxa"/>
            <w:vMerge w:val="restart"/>
            <w:shd w:val="clear" w:color="auto" w:fill="auto"/>
            <w:vAlign w:val="center"/>
          </w:tcPr>
          <w:p w14:paraId="7E253A6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vMerge w:val="restart"/>
            <w:shd w:val="clear" w:color="auto" w:fill="auto"/>
            <w:vAlign w:val="center"/>
          </w:tcPr>
          <w:p w14:paraId="25B3A8A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擅自设立弃置场受纳建筑垃圾</w:t>
            </w:r>
          </w:p>
        </w:tc>
        <w:tc>
          <w:tcPr>
            <w:tcW w:w="2789" w:type="dxa"/>
            <w:gridSpan w:val="2"/>
            <w:vMerge w:val="restart"/>
            <w:shd w:val="clear" w:color="auto" w:fill="auto"/>
            <w:vAlign w:val="center"/>
          </w:tcPr>
          <w:p w14:paraId="460672B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shd w:val="clear" w:color="auto" w:fill="auto"/>
            <w:vAlign w:val="center"/>
          </w:tcPr>
          <w:p w14:paraId="0519BC8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7F43060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513161F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EC0B6BA">
            <w:pPr>
              <w:numPr>
                <w:ilvl w:val="0"/>
                <w:numId w:val="0"/>
              </w:numPr>
              <w:spacing w:line="232" w:lineRule="exact"/>
              <w:rPr>
                <w:rFonts w:hint="default"/>
                <w:color w:val="auto"/>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1AFC659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F62108C">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接收、消纳建筑垃圾，污染环境、破坏生态的</w:t>
            </w:r>
            <w:r>
              <w:rPr>
                <w:rFonts w:hint="eastAsia" w:asciiTheme="minorEastAsia" w:hAnsiTheme="minorEastAsia" w:eastAsiaTheme="minorEastAsia"/>
                <w:color w:val="auto"/>
                <w:sz w:val="15"/>
                <w:szCs w:val="15"/>
                <w:highlight w:val="none"/>
                <w:lang w:eastAsia="zh-CN"/>
              </w:rPr>
              <w:t>，适用</w:t>
            </w:r>
            <w:r>
              <w:rPr>
                <w:rFonts w:hint="eastAsia" w:asciiTheme="minorEastAsia" w:hAnsiTheme="minorEastAsia" w:eastAsiaTheme="minorEastAsia"/>
                <w:color w:val="auto"/>
                <w:sz w:val="15"/>
                <w:szCs w:val="15"/>
                <w:highlight w:val="none"/>
              </w:rPr>
              <w:t>《北京市建筑垃圾处置管理规定》</w:t>
            </w:r>
            <w:r>
              <w:rPr>
                <w:rFonts w:hint="eastAsia" w:asciiTheme="minorEastAsia" w:hAnsiTheme="minorEastAsia" w:eastAsiaTheme="minorEastAsia"/>
                <w:color w:val="auto"/>
                <w:sz w:val="15"/>
                <w:szCs w:val="15"/>
                <w:highlight w:val="none"/>
                <w:lang w:eastAsia="zh-CN"/>
              </w:rPr>
              <w:t>。</w:t>
            </w:r>
          </w:p>
        </w:tc>
      </w:tr>
      <w:tr w14:paraId="2F1DD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76" w:hRule="atLeast"/>
          <w:jc w:val="center"/>
        </w:trPr>
        <w:tc>
          <w:tcPr>
            <w:tcW w:w="610" w:type="dxa"/>
            <w:vMerge w:val="continue"/>
            <w:shd w:val="clear" w:color="auto" w:fill="auto"/>
            <w:vAlign w:val="center"/>
          </w:tcPr>
          <w:p w14:paraId="6F306B9F">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0AF1FE8C">
            <w:pPr>
              <w:spacing w:line="23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2AEBF649">
            <w:pPr>
              <w:spacing w:line="232" w:lineRule="exact"/>
              <w:rPr>
                <w:rFonts w:cs="宋体" w:asciiTheme="minorEastAsia" w:hAnsiTheme="minorEastAsia" w:eastAsiaTheme="minorEastAsia"/>
                <w:b/>
                <w:color w:val="auto"/>
                <w:sz w:val="15"/>
                <w:szCs w:val="15"/>
                <w:highlight w:val="none"/>
              </w:rPr>
            </w:pPr>
          </w:p>
        </w:tc>
        <w:tc>
          <w:tcPr>
            <w:tcW w:w="851" w:type="dxa"/>
            <w:shd w:val="clear" w:color="auto" w:fill="auto"/>
            <w:vAlign w:val="center"/>
          </w:tcPr>
          <w:p w14:paraId="6B5D2F9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strike w:val="0"/>
                <w:dstrike w:val="0"/>
                <w:color w:val="auto"/>
                <w:sz w:val="15"/>
                <w:szCs w:val="15"/>
                <w:highlight w:val="none"/>
                <w:lang w:val="en-US" w:eastAsia="zh-CN"/>
              </w:rPr>
            </w:pPr>
            <w:r>
              <w:rPr>
                <w:rFonts w:hint="eastAsia" w:asciiTheme="minorEastAsia" w:hAnsiTheme="minorEastAsia" w:eastAsiaTheme="minorEastAsia"/>
                <w:strike w:val="0"/>
                <w:dstrike w:val="0"/>
                <w:color w:val="auto"/>
                <w:sz w:val="15"/>
                <w:szCs w:val="15"/>
                <w:highlight w:val="none"/>
                <w:lang w:val="en-US" w:eastAsia="zh-CN"/>
              </w:rPr>
              <w:t>1500</w:t>
            </w:r>
          </w:p>
          <w:p w14:paraId="652AE947">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4017C7BA">
            <w:pPr>
              <w:spacing w:line="232" w:lineRule="exact"/>
              <w:jc w:val="center"/>
              <w:rPr>
                <w:rFonts w:cs="宋体" w:asciiTheme="minorEastAsia" w:hAnsiTheme="minorEastAsia" w:eastAsiaTheme="minorEastAsia"/>
                <w:b w:val="0"/>
                <w:bCs w:val="0"/>
                <w:color w:val="auto"/>
                <w:kern w:val="0"/>
                <w:sz w:val="15"/>
                <w:szCs w:val="15"/>
                <w:highlight w:val="none"/>
              </w:rPr>
            </w:pPr>
          </w:p>
        </w:tc>
        <w:tc>
          <w:tcPr>
            <w:tcW w:w="3426" w:type="dxa"/>
            <w:shd w:val="clear" w:color="auto" w:fill="auto"/>
            <w:vAlign w:val="center"/>
          </w:tcPr>
          <w:p w14:paraId="2639BF6D">
            <w:pPr>
              <w:numPr>
                <w:ilvl w:val="0"/>
                <w:numId w:val="0"/>
              </w:numPr>
              <w:spacing w:line="232" w:lineRule="exact"/>
              <w:rPr>
                <w:rFonts w:hint="default" w:cs="宋体" w:asciiTheme="minorEastAsia" w:hAnsiTheme="minorEastAsia" w:eastAsiaTheme="minorEastAsia"/>
                <w:b w:val="0"/>
                <w:bCs w:val="0"/>
                <w:color w:val="auto"/>
                <w:kern w:val="0"/>
                <w:sz w:val="15"/>
                <w:szCs w:val="15"/>
                <w:highlight w:val="none"/>
                <w:lang w:val="en-US"/>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367EF5E1">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15</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7E779983">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接收、消纳建筑垃圾，污染环境、破坏生态的</w:t>
            </w:r>
            <w:r>
              <w:rPr>
                <w:rFonts w:hint="eastAsia" w:asciiTheme="minorEastAsia" w:hAnsiTheme="minorEastAsia" w:eastAsiaTheme="minorEastAsia"/>
                <w:color w:val="auto"/>
                <w:sz w:val="15"/>
                <w:szCs w:val="15"/>
                <w:highlight w:val="none"/>
                <w:lang w:eastAsia="zh-CN"/>
              </w:rPr>
              <w:t>，适用</w:t>
            </w:r>
            <w:r>
              <w:rPr>
                <w:rFonts w:hint="eastAsia" w:asciiTheme="minorEastAsia" w:hAnsiTheme="minorEastAsia" w:eastAsiaTheme="minorEastAsia"/>
                <w:color w:val="auto"/>
                <w:sz w:val="15"/>
                <w:szCs w:val="15"/>
                <w:highlight w:val="none"/>
              </w:rPr>
              <w:t>《北京市建筑垃圾处置管理规定》</w:t>
            </w:r>
            <w:r>
              <w:rPr>
                <w:rFonts w:hint="eastAsia" w:asciiTheme="minorEastAsia" w:hAnsiTheme="minorEastAsia" w:eastAsiaTheme="minorEastAsia"/>
                <w:color w:val="auto"/>
                <w:sz w:val="15"/>
                <w:szCs w:val="15"/>
                <w:highlight w:val="none"/>
                <w:lang w:eastAsia="zh-CN"/>
              </w:rPr>
              <w:t>。</w:t>
            </w:r>
          </w:p>
          <w:p w14:paraId="18F02FC5">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eastAsia="zh-CN"/>
              </w:rPr>
              <w:t>拟作出</w:t>
            </w:r>
            <w:r>
              <w:rPr>
                <w:rFonts w:hint="eastAsia" w:asciiTheme="minorEastAsia" w:hAnsiTheme="minorEastAsia" w:eastAsiaTheme="minorEastAsia"/>
                <w:color w:val="auto"/>
                <w:sz w:val="15"/>
                <w:szCs w:val="15"/>
                <w:highlight w:val="none"/>
                <w:lang w:val="en-US" w:eastAsia="zh-CN"/>
              </w:rPr>
              <w:t>1500元以下罚款的，说明理由并报案审会决定。</w:t>
            </w:r>
          </w:p>
        </w:tc>
      </w:tr>
      <w:tr w14:paraId="7B393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33" w:hRule="atLeast"/>
          <w:jc w:val="center"/>
        </w:trPr>
        <w:tc>
          <w:tcPr>
            <w:tcW w:w="610" w:type="dxa"/>
            <w:shd w:val="clear" w:color="auto" w:fill="auto"/>
            <w:vAlign w:val="center"/>
          </w:tcPr>
          <w:p w14:paraId="4408FF9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1B4DE5E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建筑垃圾储运消纳场受纳工业垃圾、生活垃圾和有毒有害垃圾</w:t>
            </w:r>
          </w:p>
        </w:tc>
        <w:tc>
          <w:tcPr>
            <w:tcW w:w="2789" w:type="dxa"/>
            <w:gridSpan w:val="2"/>
            <w:shd w:val="clear" w:color="auto" w:fill="auto"/>
            <w:vAlign w:val="center"/>
          </w:tcPr>
          <w:p w14:paraId="348209D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违反条款：第十条；处罚条款：第二十一条，责令限期改正，给予警告，处5000元以上1万元以下罚款。 </w:t>
            </w:r>
          </w:p>
        </w:tc>
        <w:tc>
          <w:tcPr>
            <w:tcW w:w="851" w:type="dxa"/>
            <w:shd w:val="clear" w:color="auto" w:fill="auto"/>
            <w:vAlign w:val="center"/>
          </w:tcPr>
          <w:p w14:paraId="33ADF75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F2AD518">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w:t>
            </w:r>
          </w:p>
        </w:tc>
        <w:tc>
          <w:tcPr>
            <w:tcW w:w="3426" w:type="dxa"/>
            <w:shd w:val="clear" w:color="auto" w:fill="auto"/>
            <w:vAlign w:val="center"/>
          </w:tcPr>
          <w:p w14:paraId="201CB32A">
            <w:pPr>
              <w:spacing w:line="232" w:lineRule="exact"/>
              <w:rPr>
                <w:rFonts w:cs="宋体" w:asciiTheme="minorEastAsia" w:hAnsiTheme="minorEastAsia" w:eastAsiaTheme="minorEastAsia"/>
                <w:b w:val="0"/>
                <w:bCs w:val="0"/>
                <w:color w:val="auto"/>
                <w:kern w:val="0"/>
                <w:sz w:val="15"/>
                <w:szCs w:val="15"/>
                <w:highlight w:val="none"/>
              </w:rPr>
            </w:pPr>
            <w:r>
              <w:rPr>
                <w:rFonts w:hint="eastAsia" w:asciiTheme="minorEastAsia" w:hAnsiTheme="minorEastAsia" w:eastAsiaTheme="minorEastAsia"/>
                <w:b w:val="0"/>
                <w:bCs w:val="0"/>
                <w:color w:val="auto"/>
                <w:sz w:val="15"/>
                <w:szCs w:val="15"/>
                <w:highlight w:val="none"/>
                <w:lang w:val="en-US" w:eastAsia="zh-CN"/>
              </w:rPr>
              <w:t>1.</w:t>
            </w:r>
            <w:r>
              <w:rPr>
                <w:rFonts w:hint="eastAsia" w:ascii="宋体" w:hAnsi="宋体" w:cs="宋体"/>
                <w:b w:val="0"/>
                <w:bCs w:val="0"/>
                <w:color w:val="auto"/>
                <w:kern w:val="0"/>
                <w:sz w:val="15"/>
                <w:szCs w:val="15"/>
                <w:highlight w:val="none"/>
                <w:lang w:eastAsia="zh-CN"/>
              </w:rPr>
              <w:t>受纳工业</w:t>
            </w:r>
            <w:r>
              <w:rPr>
                <w:rFonts w:hint="eastAsia" w:ascii="宋体" w:hAnsi="宋体" w:eastAsia="宋体" w:cs="宋体"/>
                <w:b w:val="0"/>
                <w:bCs w:val="0"/>
                <w:color w:val="auto"/>
                <w:sz w:val="15"/>
                <w:szCs w:val="15"/>
                <w:highlight w:val="none"/>
                <w:lang w:val="en-US" w:eastAsia="zh-CN"/>
              </w:rPr>
              <w:t>垃圾、生活垃圾重量在2吨及以上的，系数0.5；</w:t>
            </w:r>
            <w:r>
              <w:rPr>
                <w:rFonts w:hint="eastAsia" w:ascii="宋体" w:hAnsi="宋体" w:cs="宋体"/>
                <w:b w:val="0"/>
                <w:bCs w:val="0"/>
                <w:color w:val="auto"/>
                <w:kern w:val="0"/>
                <w:sz w:val="15"/>
                <w:szCs w:val="15"/>
                <w:highlight w:val="none"/>
                <w:lang w:eastAsia="zh-CN"/>
              </w:rPr>
              <w:t>受纳工业</w:t>
            </w:r>
            <w:r>
              <w:rPr>
                <w:rFonts w:hint="eastAsia" w:ascii="宋体" w:hAnsi="宋体" w:eastAsia="宋体" w:cs="宋体"/>
                <w:b w:val="0"/>
                <w:bCs w:val="0"/>
                <w:color w:val="auto"/>
                <w:sz w:val="15"/>
                <w:szCs w:val="15"/>
                <w:highlight w:val="none"/>
                <w:lang w:val="en-US" w:eastAsia="zh-CN"/>
              </w:rPr>
              <w:t>垃圾、生活垃圾重量在4吨及以上的，系数1；受纳有毒有害垃圾的，系数1</w:t>
            </w:r>
            <w:r>
              <w:rPr>
                <w:rFonts w:hint="eastAsia" w:ascii="宋体" w:hAnsi="宋体" w:cs="宋体"/>
                <w:b w:val="0"/>
                <w:bCs w:val="0"/>
                <w:color w:val="auto"/>
                <w:sz w:val="15"/>
                <w:szCs w:val="15"/>
                <w:highlight w:val="none"/>
                <w:lang w:val="en-US" w:eastAsia="zh-CN"/>
              </w:rPr>
              <w:t>；2</w:t>
            </w:r>
            <w:r>
              <w:rPr>
                <w:rFonts w:hint="eastAsia" w:ascii="宋体" w:hAnsi="宋体"/>
                <w:b w:val="0"/>
                <w:bCs w:val="0"/>
                <w:color w:val="auto"/>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789570B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D4391EB">
            <w:pPr>
              <w:spacing w:line="232" w:lineRule="exact"/>
              <w:rPr>
                <w:rFonts w:asciiTheme="minorEastAsia" w:hAnsiTheme="minorEastAsia" w:eastAsiaTheme="minorEastAsia"/>
                <w:color w:val="auto"/>
                <w:sz w:val="15"/>
                <w:szCs w:val="15"/>
                <w:highlight w:val="none"/>
              </w:rPr>
            </w:pPr>
          </w:p>
        </w:tc>
      </w:tr>
      <w:tr w14:paraId="21611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67" w:hRule="atLeast"/>
          <w:jc w:val="center"/>
        </w:trPr>
        <w:tc>
          <w:tcPr>
            <w:tcW w:w="610" w:type="dxa"/>
            <w:shd w:val="clear" w:color="auto" w:fill="auto"/>
            <w:vAlign w:val="center"/>
          </w:tcPr>
          <w:p w14:paraId="79497A0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27C17FAB">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未及时清运工程施工过程中产生的建筑垃圾造成环境污染</w:t>
            </w:r>
          </w:p>
        </w:tc>
        <w:tc>
          <w:tcPr>
            <w:tcW w:w="2789" w:type="dxa"/>
            <w:gridSpan w:val="2"/>
            <w:shd w:val="clear" w:color="auto" w:fill="auto"/>
            <w:vAlign w:val="center"/>
          </w:tcPr>
          <w:p w14:paraId="3ECD0E81">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违反条款：第十二条；处罚条款：第二十二条第一款，责令限期改正，给予警告，处5000元以上5万元以下罚款。 </w:t>
            </w:r>
          </w:p>
        </w:tc>
        <w:tc>
          <w:tcPr>
            <w:tcW w:w="851" w:type="dxa"/>
            <w:shd w:val="clear" w:color="auto" w:fill="auto"/>
            <w:vAlign w:val="center"/>
          </w:tcPr>
          <w:p w14:paraId="05D5622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396330B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04482AF">
            <w:pP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w:t>
            </w:r>
            <w:r>
              <w:rPr>
                <w:rFonts w:hint="eastAsia" w:cs="宋体" w:asciiTheme="minorEastAsia" w:hAnsiTheme="minorEastAsia" w:eastAsiaTheme="minorEastAsia"/>
                <w:color w:val="auto"/>
                <w:kern w:val="0"/>
                <w:sz w:val="15"/>
                <w:szCs w:val="15"/>
                <w:highlight w:val="none"/>
              </w:rPr>
              <w:t>数2</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3.造成尘土飞扬，严重污染环境的，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2004048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54AB3F3">
            <w:pPr>
              <w:spacing w:line="240" w:lineRule="exact"/>
              <w:rPr>
                <w:rFonts w:cs="宋体" w:asciiTheme="minorEastAsia" w:hAnsiTheme="minorEastAsia" w:eastAsiaTheme="minorEastAsia"/>
                <w:strike/>
                <w:dstrike w:val="0"/>
                <w:color w:val="auto"/>
                <w:kern w:val="0"/>
                <w:sz w:val="15"/>
                <w:szCs w:val="15"/>
                <w:highlight w:val="none"/>
              </w:rPr>
            </w:pPr>
          </w:p>
        </w:tc>
      </w:tr>
      <w:tr w14:paraId="3B784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9" w:hRule="atLeast"/>
          <w:jc w:val="center"/>
        </w:trPr>
        <w:tc>
          <w:tcPr>
            <w:tcW w:w="610" w:type="dxa"/>
            <w:shd w:val="clear" w:color="auto" w:fill="auto"/>
            <w:vAlign w:val="center"/>
          </w:tcPr>
          <w:p w14:paraId="4EBED39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00D376AC">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施工单位将建筑垃圾交给个人或者未经核准从事建筑垃圾运输的单位处置</w:t>
            </w:r>
          </w:p>
        </w:tc>
        <w:tc>
          <w:tcPr>
            <w:tcW w:w="2789" w:type="dxa"/>
            <w:gridSpan w:val="2"/>
            <w:shd w:val="clear" w:color="auto" w:fill="auto"/>
            <w:vAlign w:val="center"/>
          </w:tcPr>
          <w:p w14:paraId="04670F5C">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违反条款：第十三条；处罚条款：第二十二条第二款，责令限期改正，给予警告，处1万元以上10万元以下罚款。 </w:t>
            </w:r>
          </w:p>
        </w:tc>
        <w:tc>
          <w:tcPr>
            <w:tcW w:w="851" w:type="dxa"/>
            <w:shd w:val="clear" w:color="auto" w:fill="auto"/>
            <w:vAlign w:val="center"/>
          </w:tcPr>
          <w:p w14:paraId="15972B4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222F4B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6DA42C7">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hint="eastAsia" w:asciiTheme="minorEastAsia" w:hAnsiTheme="minorEastAsia" w:eastAsiaTheme="minorEastAsia"/>
                <w:color w:val="auto"/>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运输垃圾1车次或者建筑垃圾重量在4.5吨以下的</w:t>
            </w:r>
            <w:r>
              <w:rPr>
                <w:rFonts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或者</w:t>
            </w:r>
            <w:r>
              <w:rPr>
                <w:rFonts w:hint="eastAsia" w:ascii="宋体" w:hAnsi="宋体" w:cs="宋体"/>
                <w:b w:val="0"/>
                <w:bCs w:val="0"/>
                <w:color w:val="auto"/>
                <w:sz w:val="15"/>
                <w:szCs w:val="15"/>
                <w:highlight w:val="none"/>
                <w:lang w:val="en-US" w:eastAsia="zh-CN"/>
              </w:rPr>
              <w:t>2车次或者4.5-9吨的</w:t>
            </w:r>
            <w:r>
              <w:rPr>
                <w:rFonts w:hint="eastAsia"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3车次或者9-13.5吨的，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2</w:t>
            </w:r>
            <w:r>
              <w:rPr>
                <w:rFonts w:hint="eastAsia"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21-25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4车次或者13.5-18吨的，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3；26-30</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5车次或者18-22.5吨的，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4；31-35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6车次或者22.5-27吨的，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Theme="minorEastAsia" w:hAnsiTheme="minorEastAsia" w:eastAsiaTheme="minorEastAsia"/>
                <w:b w:val="0"/>
                <w:bCs w:val="0"/>
                <w:color w:val="auto"/>
                <w:sz w:val="15"/>
                <w:szCs w:val="15"/>
                <w:highlight w:val="none"/>
              </w:rPr>
              <w:t>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w:t>
            </w:r>
            <w:r>
              <w:rPr>
                <w:rFonts w:hint="eastAsia" w:ascii="宋体" w:hAnsi="宋体" w:cs="宋体"/>
                <w:b w:val="0"/>
                <w:bCs w:val="0"/>
                <w:color w:val="auto"/>
                <w:sz w:val="15"/>
                <w:szCs w:val="15"/>
                <w:highlight w:val="none"/>
                <w:lang w:val="en-US" w:eastAsia="zh-CN"/>
              </w:rPr>
              <w:t>10车次及以上火车40.5吨及以上</w:t>
            </w:r>
            <w:r>
              <w:rPr>
                <w:rFonts w:hint="eastAsia" w:cs="Batang" w:asciiTheme="minorEastAsia" w:hAnsiTheme="minorEastAsia" w:eastAsiaTheme="minorEastAsia"/>
                <w:color w:val="auto"/>
                <w:sz w:val="15"/>
                <w:szCs w:val="15"/>
                <w:highlight w:val="none"/>
                <w:lang w:eastAsia="zh-CN"/>
              </w:rPr>
              <w:t>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cs="宋体" w:asciiTheme="minorEastAsia" w:hAnsiTheme="minorEastAsia" w:eastAsiaTheme="minorEastAsia"/>
                <w:strike w:val="0"/>
                <w:dstrike w:val="0"/>
                <w:color w:val="auto"/>
                <w:sz w:val="15"/>
                <w:szCs w:val="15"/>
                <w:highlight w:val="none"/>
                <w:lang w:val="en-US" w:eastAsia="zh-CN"/>
              </w:rPr>
              <w:t>。</w:t>
            </w:r>
            <w:r>
              <w:rPr>
                <w:rFonts w:hint="eastAsia" w:ascii="宋体" w:hAnsi="宋体" w:cs="宋体"/>
                <w:b w:val="0"/>
                <w:bCs w:val="0"/>
                <w:strike w:val="0"/>
                <w:dstrike w:val="0"/>
                <w:color w:val="auto"/>
                <w:sz w:val="15"/>
                <w:szCs w:val="15"/>
                <w:highlight w:val="none"/>
                <w:lang w:val="en-US" w:eastAsia="zh-CN"/>
              </w:rPr>
              <w:t>3</w:t>
            </w:r>
            <w:r>
              <w:rPr>
                <w:rFonts w:hint="eastAsia" w:ascii="宋体" w:hAnsi="宋体"/>
                <w:b w:val="0"/>
                <w:bCs w:val="0"/>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4786984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48BFEFA6">
            <w:pPr>
              <w:spacing w:line="240" w:lineRule="exact"/>
              <w:rPr>
                <w:rFonts w:hint="default" w:cs="宋体" w:asciiTheme="minorEastAsia" w:hAnsiTheme="minorEastAsia" w:eastAsiaTheme="minorEastAsia"/>
                <w:strike/>
                <w:dstrike w:val="0"/>
                <w:color w:val="auto"/>
                <w:kern w:val="0"/>
                <w:sz w:val="15"/>
                <w:szCs w:val="15"/>
                <w:highlight w:val="none"/>
                <w:lang w:val="en-US" w:eastAsia="zh-CN" w:bidi="ar-SA"/>
              </w:rPr>
            </w:pPr>
          </w:p>
        </w:tc>
      </w:tr>
      <w:tr w14:paraId="6E1F6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27D1C27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14:paraId="78387E57">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处置建筑垃圾的单位在运输建筑垃圾过程中沿途丢弃、遗撒建筑垃圾</w:t>
            </w:r>
          </w:p>
        </w:tc>
        <w:tc>
          <w:tcPr>
            <w:tcW w:w="2789" w:type="dxa"/>
            <w:gridSpan w:val="2"/>
            <w:shd w:val="clear" w:color="auto" w:fill="auto"/>
            <w:vAlign w:val="center"/>
          </w:tcPr>
          <w:p w14:paraId="079FE2AA">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违反条款：第十四条；处罚条款：第二十三条，责令限期改正，给予警告，处5000元以上5万元以下罚款。 </w:t>
            </w:r>
          </w:p>
        </w:tc>
        <w:tc>
          <w:tcPr>
            <w:tcW w:w="851" w:type="dxa"/>
            <w:shd w:val="clear" w:color="auto" w:fill="auto"/>
            <w:vAlign w:val="center"/>
          </w:tcPr>
          <w:p w14:paraId="635667E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1FBBEDE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CF90C6E">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w:t>
            </w:r>
            <w:r>
              <w:rPr>
                <w:rFonts w:hint="eastAsia" w:asciiTheme="minorEastAsia" w:hAnsiTheme="minorEastAsia" w:eastAsiaTheme="minorEastAsia"/>
                <w:b w:val="0"/>
                <w:bCs w:val="0"/>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w:t>
            </w:r>
            <w:r>
              <w:rPr>
                <w:rFonts w:hint="eastAsia" w:ascii="宋体" w:hAnsi="宋体" w:cs="宋体"/>
                <w:b w:val="0"/>
                <w:bCs w:val="0"/>
                <w:color w:val="auto"/>
                <w:sz w:val="15"/>
                <w:szCs w:val="15"/>
                <w:highlight w:val="none"/>
                <w:lang w:val="en-US" w:eastAsia="zh-CN"/>
              </w:rPr>
              <w:t>9-13.5吨的，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2</w:t>
            </w:r>
            <w:r>
              <w:rPr>
                <w:rFonts w:hint="eastAsia" w:asciiTheme="minorEastAsia" w:hAnsiTheme="minorEastAsia" w:eastAsiaTheme="minorEastAsia"/>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13.5-18吨的，</w:t>
            </w:r>
            <w:r>
              <w:rPr>
                <w:rFonts w:hint="eastAsia" w:asciiTheme="minorEastAsia" w:hAnsiTheme="minorEastAsia" w:eastAsiaTheme="minorEastAsia"/>
                <w:b w:val="0"/>
                <w:bCs w:val="0"/>
                <w:color w:val="auto"/>
                <w:sz w:val="15"/>
                <w:szCs w:val="15"/>
                <w:highlight w:val="none"/>
              </w:rPr>
              <w:t>系数</w:t>
            </w:r>
            <w:r>
              <w:rPr>
                <w:rFonts w:hint="eastAsia" w:asciiTheme="minorEastAsia" w:hAnsiTheme="minorEastAsia" w:eastAsiaTheme="minorEastAsia"/>
                <w:b w:val="0"/>
                <w:bCs w:val="0"/>
                <w:color w:val="auto"/>
                <w:sz w:val="15"/>
                <w:szCs w:val="15"/>
                <w:highlight w:val="none"/>
                <w:lang w:val="en-US" w:eastAsia="zh-CN"/>
              </w:rPr>
              <w:t>3；</w:t>
            </w:r>
            <w:r>
              <w:rPr>
                <w:rFonts w:hint="eastAsia" w:ascii="宋体" w:hAnsi="宋体" w:cs="宋体"/>
                <w:b w:val="0"/>
                <w:bCs w:val="0"/>
                <w:color w:val="auto"/>
                <w:sz w:val="15"/>
                <w:szCs w:val="15"/>
                <w:highlight w:val="none"/>
                <w:lang w:val="en-US" w:eastAsia="zh-CN"/>
              </w:rPr>
              <w:t>18-22.5吨的，</w:t>
            </w:r>
            <w:r>
              <w:rPr>
                <w:rFonts w:hint="eastAsia" w:asciiTheme="minorEastAsia" w:hAnsiTheme="minorEastAsia" w:eastAsiaTheme="minorEastAsia"/>
                <w:b w:val="0"/>
                <w:bCs w:val="0"/>
                <w:color w:val="auto"/>
                <w:sz w:val="15"/>
                <w:szCs w:val="15"/>
                <w:highlight w:val="none"/>
              </w:rPr>
              <w:t>系数</w:t>
            </w:r>
            <w:r>
              <w:rPr>
                <w:rFonts w:hint="eastAsia" w:asciiTheme="minorEastAsia" w:hAnsiTheme="minorEastAsia" w:eastAsiaTheme="minorEastAsia"/>
                <w:b w:val="0"/>
                <w:bCs w:val="0"/>
                <w:color w:val="auto"/>
                <w:sz w:val="15"/>
                <w:szCs w:val="15"/>
                <w:highlight w:val="none"/>
                <w:lang w:val="en-US" w:eastAsia="zh-CN"/>
              </w:rPr>
              <w:t>4；</w:t>
            </w:r>
            <w:r>
              <w:rPr>
                <w:rFonts w:hint="eastAsia" w:ascii="宋体" w:hAnsi="宋体" w:cs="宋体"/>
                <w:b w:val="0"/>
                <w:bCs w:val="0"/>
                <w:color w:val="auto"/>
                <w:sz w:val="15"/>
                <w:szCs w:val="15"/>
                <w:highlight w:val="none"/>
                <w:lang w:val="en-US" w:eastAsia="zh-CN"/>
              </w:rPr>
              <w:t>22.5-27吨的，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Theme="minorEastAsia" w:hAnsiTheme="minorEastAsia" w:eastAsiaTheme="minorEastAsia" w:cstheme="minorEastAsia"/>
                <w:b w:val="0"/>
                <w:bCs w:val="0"/>
                <w:color w:val="auto"/>
                <w:sz w:val="15"/>
                <w:szCs w:val="15"/>
                <w:highlight w:val="none"/>
                <w:lang w:val="en-US" w:eastAsia="zh-CN"/>
              </w:rPr>
              <w:t>以此类推，40.5吨及以上的，系数9；在面积和长度无法取证的情况下，可以适用此情形。4</w:t>
            </w:r>
            <w:r>
              <w:rPr>
                <w:rFonts w:hint="eastAsia" w:cs="宋体" w:asciiTheme="minorEastAsia" w:hAnsiTheme="minorEastAsia" w:eastAsiaTheme="minorEastAsia"/>
                <w:color w:val="auto"/>
                <w:kern w:val="0"/>
                <w:sz w:val="15"/>
                <w:szCs w:val="15"/>
                <w:highlight w:val="none"/>
              </w:rPr>
              <w:t>.随意丢弃、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006C913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C9C0373">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区域台账与《基准表》情节系数中</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遗撒点位重叠时，不适用区域台账。</w:t>
            </w:r>
          </w:p>
        </w:tc>
      </w:tr>
      <w:tr w14:paraId="6C493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45" w:hRule="atLeast"/>
          <w:jc w:val="center"/>
        </w:trPr>
        <w:tc>
          <w:tcPr>
            <w:tcW w:w="610" w:type="dxa"/>
            <w:shd w:val="clear" w:color="auto" w:fill="auto"/>
            <w:vAlign w:val="center"/>
          </w:tcPr>
          <w:p w14:paraId="2F97368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14:paraId="71213ED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涂改、倒卖、出租、出借或者以</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形式非法转让城市建筑垃圾处置核准文件</w:t>
            </w:r>
          </w:p>
        </w:tc>
        <w:tc>
          <w:tcPr>
            <w:tcW w:w="2789" w:type="dxa"/>
            <w:gridSpan w:val="2"/>
            <w:shd w:val="clear" w:color="auto" w:fill="auto"/>
            <w:vAlign w:val="center"/>
          </w:tcPr>
          <w:p w14:paraId="20F9A7D7">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违反条款：第八条；处罚条款：第二十四条，责令限期改正，给予警告，处5000元以上2万元以下罚款。 </w:t>
            </w:r>
          </w:p>
        </w:tc>
        <w:tc>
          <w:tcPr>
            <w:tcW w:w="851" w:type="dxa"/>
            <w:shd w:val="clear" w:color="auto" w:fill="auto"/>
            <w:vAlign w:val="center"/>
          </w:tcPr>
          <w:p w14:paraId="0E2FE0B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E1FDCF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F6CCC02">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宋体" w:hAnsi="宋体" w:cs="宋体"/>
                <w:b w:val="0"/>
                <w:bCs w:val="0"/>
                <w:color w:val="auto"/>
                <w:kern w:val="0"/>
                <w:sz w:val="15"/>
                <w:szCs w:val="15"/>
                <w:highlight w:val="none"/>
                <w:lang w:eastAsia="zh-CN"/>
              </w:rPr>
              <w:t>第</w:t>
            </w: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次发生，系数</w:t>
            </w:r>
            <w:r>
              <w:rPr>
                <w:rFonts w:hint="eastAsia" w:ascii="宋体" w:hAnsi="宋体" w:cs="宋体"/>
                <w:b w:val="0"/>
                <w:bCs w:val="0"/>
                <w:color w:val="auto"/>
                <w:kern w:val="0"/>
                <w:sz w:val="15"/>
                <w:szCs w:val="15"/>
                <w:highlight w:val="none"/>
                <w:lang w:val="en-US" w:eastAsia="zh-CN"/>
              </w:rPr>
              <w:t>0；第2次发生</w:t>
            </w:r>
            <w:r>
              <w:rPr>
                <w:rFonts w:hint="eastAsia" w:ascii="宋体" w:hAnsi="宋体" w:cs="宋体"/>
                <w:b w:val="0"/>
                <w:bCs w:val="0"/>
                <w:color w:val="auto"/>
                <w:kern w:val="0"/>
                <w:sz w:val="15"/>
                <w:szCs w:val="15"/>
                <w:highlight w:val="none"/>
                <w:lang w:eastAsia="zh-CN"/>
              </w:rPr>
              <w:t>，系</w:t>
            </w:r>
            <w:r>
              <w:rPr>
                <w:rFonts w:hint="eastAsia" w:ascii="宋体" w:hAnsi="宋体" w:eastAsia="宋体" w:cs="宋体"/>
                <w:b w:val="0"/>
                <w:bCs w:val="0"/>
                <w:color w:val="auto"/>
                <w:kern w:val="0"/>
                <w:sz w:val="15"/>
                <w:szCs w:val="15"/>
                <w:highlight w:val="none"/>
                <w:lang w:eastAsia="zh-CN"/>
              </w:rPr>
              <w:t>数</w:t>
            </w:r>
            <w:r>
              <w:rPr>
                <w:rFonts w:hint="eastAsia" w:ascii="宋体" w:hAnsi="宋体" w:eastAsia="宋体" w:cs="宋体"/>
                <w:b w:val="0"/>
                <w:bCs w:val="0"/>
                <w:color w:val="auto"/>
                <w:kern w:val="0"/>
                <w:sz w:val="15"/>
                <w:szCs w:val="15"/>
                <w:highlight w:val="none"/>
                <w:lang w:val="en-US" w:eastAsia="zh-CN"/>
              </w:rPr>
              <w:t>3。2.</w:t>
            </w:r>
            <w:r>
              <w:rPr>
                <w:rFonts w:hint="eastAsia" w:asciiTheme="minorEastAsia" w:hAnsiTheme="minorEastAsia" w:eastAsiaTheme="minorEastAsia"/>
                <w:color w:val="auto"/>
                <w:sz w:val="15"/>
                <w:szCs w:val="15"/>
                <w:highlight w:val="none"/>
              </w:rPr>
              <w:t>造成严重影响的，</w:t>
            </w:r>
            <w:r>
              <w:rPr>
                <w:rFonts w:hint="eastAsia" w:ascii="宋体" w:hAnsi="宋体" w:eastAsia="宋体"/>
                <w:color w:val="auto"/>
                <w:sz w:val="15"/>
                <w:szCs w:val="15"/>
                <w:highlight w:val="none"/>
              </w:rPr>
              <w:t>系数3</w:t>
            </w:r>
            <w:r>
              <w:rPr>
                <w:rFonts w:hint="eastAsia" w:ascii="宋体" w:hAnsi="宋体" w:eastAsia="宋体" w:cs="宋体"/>
                <w:b w:val="0"/>
                <w:bCs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00D6F04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ED6D2F4">
            <w:pPr>
              <w:spacing w:line="232" w:lineRule="exact"/>
              <w:rPr>
                <w:rFonts w:asciiTheme="minorEastAsia" w:hAnsiTheme="minorEastAsia" w:eastAsiaTheme="minorEastAsia"/>
                <w:color w:val="auto"/>
                <w:sz w:val="15"/>
                <w:szCs w:val="15"/>
                <w:highlight w:val="none"/>
              </w:rPr>
            </w:pPr>
          </w:p>
        </w:tc>
      </w:tr>
      <w:tr w14:paraId="538F6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29" w:hRule="atLeast"/>
          <w:jc w:val="center"/>
        </w:trPr>
        <w:tc>
          <w:tcPr>
            <w:tcW w:w="610" w:type="dxa"/>
            <w:vMerge w:val="restart"/>
            <w:shd w:val="clear" w:color="auto" w:fill="auto"/>
            <w:vAlign w:val="center"/>
          </w:tcPr>
          <w:p w14:paraId="1525BD3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830" w:type="dxa"/>
            <w:gridSpan w:val="3"/>
            <w:vMerge w:val="restart"/>
            <w:shd w:val="clear" w:color="auto" w:fill="auto"/>
            <w:vAlign w:val="center"/>
          </w:tcPr>
          <w:p w14:paraId="3385784E">
            <w:pPr>
              <w:spacing w:line="232"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未经核准擅自处置建筑垃圾</w:t>
            </w:r>
          </w:p>
        </w:tc>
        <w:tc>
          <w:tcPr>
            <w:tcW w:w="2789" w:type="dxa"/>
            <w:gridSpan w:val="2"/>
            <w:vMerge w:val="restart"/>
            <w:shd w:val="clear" w:color="auto" w:fill="auto"/>
            <w:vAlign w:val="center"/>
          </w:tcPr>
          <w:p w14:paraId="625A28F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shd w:val="clear" w:color="auto" w:fill="auto"/>
            <w:vAlign w:val="center"/>
          </w:tcPr>
          <w:p w14:paraId="2C5522D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060EDE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（施工单位）</w:t>
            </w:r>
          </w:p>
        </w:tc>
        <w:tc>
          <w:tcPr>
            <w:tcW w:w="840" w:type="dxa"/>
            <w:shd w:val="clear" w:color="auto" w:fill="auto"/>
            <w:vAlign w:val="center"/>
          </w:tcPr>
          <w:p w14:paraId="4D1C0B4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7371000">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4A81158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14:paraId="53B3514C">
            <w:pPr>
              <w:spacing w:line="232" w:lineRule="exact"/>
              <w:rPr>
                <w:rFonts w:asciiTheme="minorEastAsia" w:hAnsiTheme="minorEastAsia" w:eastAsiaTheme="minorEastAsia"/>
                <w:strike/>
                <w:color w:val="auto"/>
                <w:sz w:val="15"/>
                <w:szCs w:val="15"/>
                <w:highlight w:val="none"/>
              </w:rPr>
            </w:pPr>
          </w:p>
        </w:tc>
      </w:tr>
      <w:tr w14:paraId="1D5BC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90" w:hRule="atLeast"/>
          <w:jc w:val="center"/>
        </w:trPr>
        <w:tc>
          <w:tcPr>
            <w:tcW w:w="610" w:type="dxa"/>
            <w:vMerge w:val="continue"/>
            <w:shd w:val="clear" w:color="auto" w:fill="auto"/>
            <w:vAlign w:val="center"/>
          </w:tcPr>
          <w:p w14:paraId="62260988">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14:paraId="4BA28FFB">
            <w:pPr>
              <w:spacing w:line="232" w:lineRule="exact"/>
              <w:rPr>
                <w:rFonts w:asciiTheme="minorEastAsia" w:hAnsiTheme="minorEastAsia" w:eastAsiaTheme="minorEastAsia"/>
                <w:b w:val="0"/>
                <w:bCs w:val="0"/>
                <w:color w:val="auto"/>
                <w:sz w:val="15"/>
                <w:szCs w:val="15"/>
                <w:highlight w:val="none"/>
              </w:rPr>
            </w:pPr>
          </w:p>
        </w:tc>
        <w:tc>
          <w:tcPr>
            <w:tcW w:w="2789" w:type="dxa"/>
            <w:gridSpan w:val="2"/>
            <w:vMerge w:val="continue"/>
            <w:shd w:val="clear" w:color="auto" w:fill="auto"/>
            <w:vAlign w:val="center"/>
          </w:tcPr>
          <w:p w14:paraId="66BE9995">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61A8A9E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1608DC0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（建设、运输单位）</w:t>
            </w:r>
          </w:p>
        </w:tc>
        <w:tc>
          <w:tcPr>
            <w:tcW w:w="840" w:type="dxa"/>
            <w:shd w:val="clear" w:color="auto" w:fill="auto"/>
            <w:vAlign w:val="center"/>
          </w:tcPr>
          <w:p w14:paraId="02175AD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6BC76BB">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77982C3D">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vMerge w:val="continue"/>
            <w:shd w:val="clear" w:color="auto" w:fill="auto"/>
            <w:vAlign w:val="center"/>
          </w:tcPr>
          <w:p w14:paraId="278EA05E">
            <w:pPr>
              <w:spacing w:line="232" w:lineRule="exact"/>
              <w:rPr>
                <w:rFonts w:cs="宋体" w:asciiTheme="minorEastAsia" w:hAnsiTheme="minorEastAsia" w:eastAsiaTheme="minorEastAsia"/>
                <w:color w:val="auto"/>
                <w:kern w:val="0"/>
                <w:sz w:val="15"/>
                <w:szCs w:val="15"/>
                <w:highlight w:val="none"/>
              </w:rPr>
            </w:pPr>
          </w:p>
        </w:tc>
      </w:tr>
      <w:tr w14:paraId="1ABE6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76" w:hRule="atLeast"/>
          <w:jc w:val="center"/>
        </w:trPr>
        <w:tc>
          <w:tcPr>
            <w:tcW w:w="610" w:type="dxa"/>
            <w:vMerge w:val="restart"/>
            <w:shd w:val="clear" w:color="auto" w:fill="auto"/>
            <w:vAlign w:val="center"/>
          </w:tcPr>
          <w:p w14:paraId="1DB4792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830" w:type="dxa"/>
            <w:gridSpan w:val="3"/>
            <w:vMerge w:val="restart"/>
            <w:shd w:val="clear" w:color="auto" w:fill="auto"/>
            <w:vAlign w:val="center"/>
          </w:tcPr>
          <w:p w14:paraId="3C802D03">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处置超出核准范围的建筑垃圾</w:t>
            </w:r>
          </w:p>
        </w:tc>
        <w:tc>
          <w:tcPr>
            <w:tcW w:w="2789" w:type="dxa"/>
            <w:gridSpan w:val="2"/>
            <w:vMerge w:val="restart"/>
            <w:shd w:val="clear" w:color="auto" w:fill="auto"/>
            <w:vAlign w:val="center"/>
          </w:tcPr>
          <w:p w14:paraId="0D2A803E">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shd w:val="clear" w:color="auto" w:fill="auto"/>
            <w:vAlign w:val="center"/>
          </w:tcPr>
          <w:p w14:paraId="3B2F9FF6">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14:paraId="37634D2B">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p>
        </w:tc>
        <w:tc>
          <w:tcPr>
            <w:tcW w:w="840" w:type="dxa"/>
            <w:shd w:val="clear" w:color="auto" w:fill="auto"/>
            <w:vAlign w:val="center"/>
          </w:tcPr>
          <w:p w14:paraId="692FA300">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573D17DF">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13BEBE7C">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vMerge w:val="restart"/>
            <w:shd w:val="clear" w:color="auto" w:fill="auto"/>
            <w:vAlign w:val="center"/>
          </w:tcPr>
          <w:p w14:paraId="17831C74">
            <w:pPr>
              <w:spacing w:line="180" w:lineRule="exact"/>
              <w:rPr>
                <w:rFonts w:cs="宋体" w:asciiTheme="minorEastAsia" w:hAnsiTheme="minorEastAsia" w:eastAsiaTheme="minorEastAsia"/>
                <w:color w:val="auto"/>
                <w:kern w:val="0"/>
                <w:sz w:val="15"/>
                <w:szCs w:val="15"/>
                <w:highlight w:val="none"/>
              </w:rPr>
            </w:pPr>
          </w:p>
        </w:tc>
      </w:tr>
      <w:tr w14:paraId="55B97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79" w:hRule="atLeast"/>
          <w:jc w:val="center"/>
        </w:trPr>
        <w:tc>
          <w:tcPr>
            <w:tcW w:w="610" w:type="dxa"/>
            <w:vMerge w:val="continue"/>
            <w:shd w:val="clear" w:color="auto" w:fill="auto"/>
            <w:vAlign w:val="center"/>
          </w:tcPr>
          <w:p w14:paraId="42C338AF">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14:paraId="1DA8C63E">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1C5A1E04">
            <w:pPr>
              <w:spacing w:line="18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7D475743">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14:paraId="6F300580">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（建设、运输单位）</w:t>
            </w:r>
          </w:p>
        </w:tc>
        <w:tc>
          <w:tcPr>
            <w:tcW w:w="840" w:type="dxa"/>
            <w:shd w:val="clear" w:color="auto" w:fill="auto"/>
            <w:vAlign w:val="center"/>
          </w:tcPr>
          <w:p w14:paraId="07D5D5F2">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3124B432">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170EC322">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vMerge w:val="continue"/>
            <w:shd w:val="clear" w:color="auto" w:fill="auto"/>
            <w:vAlign w:val="center"/>
          </w:tcPr>
          <w:p w14:paraId="0AC201C3">
            <w:pPr>
              <w:spacing w:line="180" w:lineRule="exact"/>
              <w:rPr>
                <w:rFonts w:cs="宋体" w:asciiTheme="minorEastAsia" w:hAnsiTheme="minorEastAsia" w:eastAsiaTheme="minorEastAsia"/>
                <w:color w:val="auto"/>
                <w:kern w:val="0"/>
                <w:sz w:val="15"/>
                <w:szCs w:val="15"/>
                <w:highlight w:val="none"/>
              </w:rPr>
            </w:pPr>
          </w:p>
        </w:tc>
      </w:tr>
      <w:tr w14:paraId="6D384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628" w:hRule="atLeast"/>
          <w:jc w:val="center"/>
        </w:trPr>
        <w:tc>
          <w:tcPr>
            <w:tcW w:w="610" w:type="dxa"/>
            <w:vMerge w:val="restart"/>
            <w:shd w:val="clear" w:color="auto" w:fill="auto"/>
            <w:vAlign w:val="center"/>
          </w:tcPr>
          <w:p w14:paraId="64D61A5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vMerge w:val="restart"/>
            <w:shd w:val="clear" w:color="auto" w:fill="auto"/>
            <w:vAlign w:val="center"/>
          </w:tcPr>
          <w:p w14:paraId="5B43D831">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gridSpan w:val="2"/>
            <w:vMerge w:val="restart"/>
            <w:shd w:val="clear" w:color="auto" w:fill="auto"/>
            <w:vAlign w:val="center"/>
          </w:tcPr>
          <w:p w14:paraId="2142D97D">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违反条款：第十五条；处罚条款：第二十六条：责令限期改正，给予警告，并对单位处5000元以上5万元以下罚款，对个人处200元以下罚款。</w:t>
            </w:r>
          </w:p>
        </w:tc>
        <w:tc>
          <w:tcPr>
            <w:tcW w:w="851" w:type="dxa"/>
            <w:shd w:val="clear" w:color="auto" w:fill="auto"/>
            <w:vAlign w:val="center"/>
          </w:tcPr>
          <w:p w14:paraId="720CC7BB">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3CD29E31">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253FAF31">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070B713">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color w:val="auto"/>
                <w:sz w:val="15"/>
                <w:szCs w:val="15"/>
                <w:highlight w:val="none"/>
              </w:rPr>
              <w:t>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.将垃圾</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宋体" w:hAnsi="宋体" w:eastAsia="宋体"/>
                <w:color w:val="auto"/>
                <w:sz w:val="15"/>
                <w:szCs w:val="15"/>
                <w:highlight w:val="none"/>
              </w:rPr>
              <w:t>倾倒、丢弃、堆放</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，系数4-6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110F19B8">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1B88862">
            <w:pPr>
              <w:spacing w:line="18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区域台账与情节系数中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14:paraId="16C66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95" w:hRule="atLeast"/>
          <w:jc w:val="center"/>
        </w:trPr>
        <w:tc>
          <w:tcPr>
            <w:tcW w:w="610" w:type="dxa"/>
            <w:vMerge w:val="continue"/>
            <w:shd w:val="clear" w:color="auto" w:fill="auto"/>
            <w:vAlign w:val="center"/>
          </w:tcPr>
          <w:p w14:paraId="3CE9D235">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6BB2AF44">
            <w:pPr>
              <w:spacing w:line="180"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7E2B7FFB">
            <w:pPr>
              <w:spacing w:line="18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1C8A8018">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25108FA5">
            <w:pPr>
              <w:spacing w:line="18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5F771DE">
            <w:pPr>
              <w:spacing w:line="18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5C7B9562">
            <w:pPr>
              <w:spacing w:line="18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4762C6F3">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r>
      <w:tr w14:paraId="2E2FD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89" w:hRule="atLeast"/>
          <w:jc w:val="center"/>
        </w:trPr>
        <w:tc>
          <w:tcPr>
            <w:tcW w:w="14203" w:type="dxa"/>
            <w:gridSpan w:val="13"/>
            <w:shd w:val="clear" w:color="auto" w:fill="auto"/>
            <w:vAlign w:val="center"/>
          </w:tcPr>
          <w:p w14:paraId="0D520692">
            <w:pPr>
              <w:pStyle w:val="3"/>
              <w:widowControl w:val="0"/>
              <w:spacing w:line="232" w:lineRule="exact"/>
              <w:jc w:val="center"/>
              <w:rPr>
                <w:rFonts w:asciiTheme="minorEastAsia" w:hAnsiTheme="minorEastAsia" w:eastAsiaTheme="minorEastAsia"/>
                <w:color w:val="auto"/>
                <w:sz w:val="15"/>
                <w:szCs w:val="15"/>
                <w:highlight w:val="none"/>
              </w:rPr>
            </w:pPr>
            <w:bookmarkStart w:id="16" w:name="_Toc1596148479"/>
            <w:bookmarkStart w:id="17" w:name="_Toc80602247"/>
            <w:bookmarkStart w:id="18" w:name="_Toc110851440"/>
            <w:r>
              <w:rPr>
                <w:rFonts w:hint="eastAsia" w:asciiTheme="minorEastAsia" w:hAnsiTheme="minorEastAsia" w:eastAsiaTheme="minorEastAsia"/>
                <w:color w:val="auto"/>
                <w:sz w:val="21"/>
                <w:szCs w:val="21"/>
                <w:highlight w:val="none"/>
              </w:rPr>
              <w:t>《中华人民共和国固体废物污染环境防治法》案由</w:t>
            </w:r>
            <w:r>
              <w:rPr>
                <w:rFonts w:asciiTheme="minorEastAsia" w:hAnsiTheme="minorEastAsia" w:eastAsiaTheme="minorEastAsia"/>
                <w:color w:val="auto"/>
                <w:sz w:val="21"/>
                <w:szCs w:val="21"/>
                <w:highlight w:val="none"/>
              </w:rPr>
              <w:t>10</w:t>
            </w:r>
            <w:r>
              <w:rPr>
                <w:rFonts w:hint="eastAsia" w:asciiTheme="minorEastAsia" w:hAnsiTheme="minorEastAsia" w:eastAsiaTheme="minorEastAsia"/>
                <w:color w:val="auto"/>
                <w:sz w:val="21"/>
                <w:szCs w:val="21"/>
                <w:highlight w:val="none"/>
              </w:rPr>
              <w:t>项</w:t>
            </w:r>
            <w:bookmarkEnd w:id="16"/>
            <w:bookmarkEnd w:id="17"/>
            <w:bookmarkEnd w:id="18"/>
          </w:p>
        </w:tc>
      </w:tr>
      <w:tr w14:paraId="05B82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4" w:hRule="atLeast"/>
          <w:jc w:val="center"/>
        </w:trPr>
        <w:tc>
          <w:tcPr>
            <w:tcW w:w="610" w:type="dxa"/>
            <w:vMerge w:val="restart"/>
            <w:shd w:val="clear" w:color="auto" w:fill="auto"/>
            <w:vAlign w:val="center"/>
          </w:tcPr>
          <w:p w14:paraId="76E8F08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vMerge w:val="restart"/>
            <w:shd w:val="clear" w:color="auto" w:fill="auto"/>
            <w:vAlign w:val="center"/>
          </w:tcPr>
          <w:p w14:paraId="03BD8176">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拒绝、阻扰固体废物污染环境防治监督检查或在接受监督检查时弄虚作假</w:t>
            </w:r>
          </w:p>
        </w:tc>
        <w:tc>
          <w:tcPr>
            <w:tcW w:w="2789" w:type="dxa"/>
            <w:gridSpan w:val="2"/>
            <w:vMerge w:val="restart"/>
            <w:shd w:val="clear" w:color="auto" w:fill="auto"/>
            <w:vAlign w:val="center"/>
          </w:tcPr>
          <w:p w14:paraId="63D3BA6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第一百零三条</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处罚条款：第一百零三条  责令改正，处五万元以上二十万元以下的罚款；对直接负责的主管人员和其他直接责任人员，处二万元以上十万元以下的罚款。</w:t>
            </w:r>
          </w:p>
        </w:tc>
        <w:tc>
          <w:tcPr>
            <w:tcW w:w="851" w:type="dxa"/>
            <w:shd w:val="clear" w:color="auto" w:fill="auto"/>
            <w:vAlign w:val="center"/>
          </w:tcPr>
          <w:p w14:paraId="3FD6841C">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14:paraId="3D32A31A">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5E4618AF">
            <w:pPr>
              <w:spacing w:line="196"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2-3；2</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0E9C4CAF">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48C7664">
            <w:pPr>
              <w:spacing w:line="196" w:lineRule="exact"/>
              <w:rPr>
                <w:rFonts w:cs="宋体" w:asciiTheme="minorEastAsia" w:hAnsiTheme="minorEastAsia" w:eastAsiaTheme="minorEastAsia"/>
                <w:color w:val="auto"/>
                <w:kern w:val="0"/>
                <w:sz w:val="15"/>
                <w:szCs w:val="15"/>
                <w:highlight w:val="none"/>
              </w:rPr>
            </w:pPr>
          </w:p>
        </w:tc>
      </w:tr>
      <w:tr w14:paraId="7A13F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8" w:hRule="atLeast"/>
          <w:jc w:val="center"/>
        </w:trPr>
        <w:tc>
          <w:tcPr>
            <w:tcW w:w="610" w:type="dxa"/>
            <w:vMerge w:val="continue"/>
            <w:shd w:val="clear" w:color="auto" w:fill="auto"/>
            <w:vAlign w:val="center"/>
          </w:tcPr>
          <w:p w14:paraId="051FD51F">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14:paraId="37985996">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4ABBD14F">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26A3742E">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r>
              <w:rPr>
                <w:rFonts w:asciiTheme="minorEastAsia" w:hAnsiTheme="minorEastAsia" w:eastAsiaTheme="minorEastAsia"/>
                <w:color w:val="auto"/>
                <w:sz w:val="15"/>
                <w:szCs w:val="15"/>
                <w:highlight w:val="none"/>
              </w:rPr>
              <w:t>主管人员或负责人）</w:t>
            </w:r>
          </w:p>
        </w:tc>
        <w:tc>
          <w:tcPr>
            <w:tcW w:w="840" w:type="dxa"/>
            <w:shd w:val="clear" w:color="auto" w:fill="auto"/>
            <w:vAlign w:val="center"/>
          </w:tcPr>
          <w:p w14:paraId="39C59D65">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1916994C">
            <w:pPr>
              <w:keepNext w:val="0"/>
              <w:keepLines w:val="0"/>
              <w:pageBreakBefore w:val="0"/>
              <w:widowControl w:val="0"/>
              <w:kinsoku/>
              <w:wordWrap/>
              <w:overflowPunct/>
              <w:topLinePunct w:val="0"/>
              <w:autoSpaceDE/>
              <w:autoSpaceDN/>
              <w:bidi w:val="0"/>
              <w:adjustRightIn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2-4；2</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3937A4D5">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EF513BB">
            <w:pPr>
              <w:spacing w:line="196" w:lineRule="exact"/>
              <w:rPr>
                <w:rFonts w:cs="宋体" w:asciiTheme="minorEastAsia" w:hAnsiTheme="minorEastAsia" w:eastAsiaTheme="minorEastAsia"/>
                <w:color w:val="auto"/>
                <w:kern w:val="0"/>
                <w:sz w:val="15"/>
                <w:szCs w:val="15"/>
                <w:highlight w:val="none"/>
              </w:rPr>
            </w:pPr>
          </w:p>
        </w:tc>
      </w:tr>
      <w:tr w14:paraId="675B9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9" w:hRule="atLeast"/>
          <w:jc w:val="center"/>
        </w:trPr>
        <w:tc>
          <w:tcPr>
            <w:tcW w:w="610" w:type="dxa"/>
            <w:shd w:val="clear" w:color="auto" w:fill="auto"/>
            <w:vAlign w:val="center"/>
          </w:tcPr>
          <w:p w14:paraId="64536F1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shd w:val="clear" w:color="auto" w:fill="auto"/>
            <w:vAlign w:val="center"/>
          </w:tcPr>
          <w:p w14:paraId="7168AD0B">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工程施工单位未编制建筑垃圾处理方案报备案</w:t>
            </w:r>
          </w:p>
        </w:tc>
        <w:tc>
          <w:tcPr>
            <w:tcW w:w="2789" w:type="dxa"/>
            <w:gridSpan w:val="2"/>
            <w:shd w:val="clear" w:color="auto" w:fill="auto"/>
            <w:vAlign w:val="center"/>
          </w:tcPr>
          <w:p w14:paraId="6B5AD5DB">
            <w:pPr>
              <w:spacing w:line="232" w:lineRule="exact"/>
              <w:rPr>
                <w:rFonts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违反条款：第六十三条第一款；处罚条款：第一百一十一条第一款第（三）项、第二款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14:paraId="4A1CB874">
            <w:pPr>
              <w:spacing w:line="196"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14:paraId="1B9C2D9E">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00CD1D72">
            <w:pPr>
              <w:keepNext w:val="0"/>
              <w:keepLines w:val="0"/>
              <w:pageBreakBefore w:val="0"/>
              <w:widowControl w:val="0"/>
              <w:kinsoku/>
              <w:wordWrap/>
              <w:overflowPunct/>
              <w:topLinePunct w:val="0"/>
              <w:autoSpaceDE/>
              <w:autoSpaceDN/>
              <w:bidi w:val="0"/>
              <w:adjustRightInd/>
              <w:spacing w:line="232" w:lineRule="exact"/>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1.工程建筑面积在300㎡及以下的，系数0；300㎡以上5000㎡及以下的，系数1-2；5000㎡以上2万㎡及以下的，系数3</w:t>
            </w:r>
            <w:r>
              <w:rPr>
                <w:rFonts w:hint="default" w:asciiTheme="minorEastAsia" w:hAnsiTheme="minorEastAsia" w:eastAsiaTheme="minorEastAsia" w:cstheme="minorEastAsia"/>
                <w:b w:val="0"/>
                <w:bCs w:val="0"/>
                <w:strike w:val="0"/>
                <w:dstrike w:val="0"/>
                <w:color w:val="auto"/>
                <w:sz w:val="15"/>
                <w:szCs w:val="15"/>
                <w:highlight w:val="none"/>
                <w:lang w:val="en-US" w:eastAsia="zh-CN"/>
              </w:rPr>
              <w:t>-4</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；2万㎡以上的，系数</w:t>
            </w:r>
            <w:r>
              <w:rPr>
                <w:rFonts w:hint="default" w:asciiTheme="minorEastAsia" w:hAnsiTheme="minorEastAsia" w:eastAsiaTheme="minorEastAsia" w:cstheme="minorEastAsia"/>
                <w:b w:val="0"/>
                <w:bCs w:val="0"/>
                <w:strike w:val="0"/>
                <w:dstrike w:val="0"/>
                <w:color w:val="auto"/>
                <w:sz w:val="15"/>
                <w:szCs w:val="15"/>
                <w:highlight w:val="none"/>
                <w:lang w:val="en-US" w:eastAsia="zh-CN"/>
              </w:rPr>
              <w:t>5-6</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。2.未备案时间持续10天及以内的，系数0；11-20天的，系数1；以此类推，91天及以上的，系数9。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成环境较严重影响的，系数</w:t>
            </w:r>
            <w:r>
              <w:rPr>
                <w:rFonts w:hint="eastAsia" w:cs="宋体" w:asciiTheme="minorEastAsia" w:hAnsiTheme="minorEastAsia" w:eastAsiaTheme="minorEastAsia"/>
                <w:color w:val="auto"/>
                <w:sz w:val="15"/>
                <w:szCs w:val="15"/>
                <w:highlight w:val="none"/>
                <w:lang w:val="en-US" w:eastAsia="zh-CN"/>
              </w:rPr>
              <w:t>5-6</w:t>
            </w:r>
            <w:r>
              <w:rPr>
                <w:rFonts w:hint="eastAsia" w:cs="宋体"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3D6F54AD">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F8DBFD5">
            <w:pPr>
              <w:spacing w:line="196" w:lineRule="exact"/>
              <w:rPr>
                <w:rFonts w:asciiTheme="minorEastAsia" w:hAnsiTheme="minorEastAsia" w:eastAsiaTheme="minorEastAsia"/>
                <w:color w:val="auto"/>
                <w:sz w:val="15"/>
                <w:szCs w:val="15"/>
                <w:highlight w:val="none"/>
              </w:rPr>
            </w:pPr>
          </w:p>
        </w:tc>
      </w:tr>
      <w:tr w14:paraId="36F9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11" w:hRule="atLeast"/>
          <w:jc w:val="center"/>
        </w:trPr>
        <w:tc>
          <w:tcPr>
            <w:tcW w:w="610" w:type="dxa"/>
            <w:shd w:val="clear" w:color="auto" w:fill="auto"/>
            <w:vAlign w:val="center"/>
          </w:tcPr>
          <w:p w14:paraId="2243C488">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3</w:t>
            </w:r>
          </w:p>
        </w:tc>
        <w:tc>
          <w:tcPr>
            <w:tcW w:w="1830" w:type="dxa"/>
            <w:gridSpan w:val="3"/>
            <w:shd w:val="clear" w:color="auto" w:fill="auto"/>
            <w:vAlign w:val="center"/>
          </w:tcPr>
          <w:p w14:paraId="0EA650BC">
            <w:pPr>
              <w:spacing w:line="196"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单位未在指定的地点分类投放生活垃圾情节</w:t>
            </w:r>
            <w:r>
              <w:rPr>
                <w:rFonts w:cs="宋体" w:asciiTheme="minorEastAsia" w:hAnsiTheme="minorEastAsia" w:eastAsiaTheme="minorEastAsia"/>
                <w:color w:val="auto"/>
                <w:sz w:val="15"/>
                <w:szCs w:val="15"/>
                <w:highlight w:val="none"/>
              </w:rPr>
              <w:t>严重</w:t>
            </w:r>
          </w:p>
        </w:tc>
        <w:tc>
          <w:tcPr>
            <w:tcW w:w="2789" w:type="dxa"/>
            <w:gridSpan w:val="2"/>
            <w:shd w:val="clear" w:color="auto" w:fill="auto"/>
            <w:vAlign w:val="center"/>
          </w:tcPr>
          <w:p w14:paraId="6A862B32">
            <w:pPr>
              <w:spacing w:line="232"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违反条款：第四十九条第二款；</w:t>
            </w:r>
            <w:r>
              <w:rPr>
                <w:rFonts w:cs="宋体" w:asciiTheme="minorEastAsia" w:hAnsiTheme="minorEastAsia" w:eastAsiaTheme="minorEastAsia"/>
                <w:color w:val="auto"/>
                <w:sz w:val="15"/>
                <w:szCs w:val="15"/>
                <w:highlight w:val="none"/>
              </w:rPr>
              <w:t>处罚条款：</w:t>
            </w:r>
            <w:r>
              <w:rPr>
                <w:rFonts w:hint="eastAsia" w:cs="宋体" w:asciiTheme="minorEastAsia" w:hAnsiTheme="minorEastAsia" w:eastAsiaTheme="minorEastAsia"/>
                <w:color w:val="auto"/>
                <w:sz w:val="15"/>
                <w:szCs w:val="15"/>
                <w:highlight w:val="none"/>
              </w:rPr>
              <w:t>第一百一十一条第三款 责令</w:t>
            </w:r>
            <w:r>
              <w:rPr>
                <w:rFonts w:cs="宋体" w:asciiTheme="minorEastAsia" w:hAnsiTheme="minorEastAsia" w:eastAsiaTheme="minorEastAsia"/>
                <w:color w:val="auto"/>
                <w:sz w:val="15"/>
                <w:szCs w:val="15"/>
                <w:highlight w:val="none"/>
              </w:rPr>
              <w:t>改正；情节严重的</w:t>
            </w:r>
            <w:r>
              <w:rPr>
                <w:rFonts w:hint="eastAsia" w:cs="宋体" w:asciiTheme="minorEastAsia" w:hAnsiTheme="minorEastAsia" w:eastAsiaTheme="minorEastAsia"/>
                <w:color w:val="auto"/>
                <w:sz w:val="15"/>
                <w:szCs w:val="15"/>
                <w:highlight w:val="none"/>
              </w:rPr>
              <w:t>，对单位处五万元以上五十万元以下的罚款。</w:t>
            </w:r>
          </w:p>
        </w:tc>
        <w:tc>
          <w:tcPr>
            <w:tcW w:w="851" w:type="dxa"/>
            <w:shd w:val="clear" w:color="auto" w:fill="auto"/>
            <w:vAlign w:val="center"/>
          </w:tcPr>
          <w:p w14:paraId="699BA5E4">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14:paraId="3E9CF4F6">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1EB90B63">
            <w:pPr>
              <w:widowControl w:val="0"/>
              <w:numPr>
                <w:ilvl w:val="0"/>
                <w:numId w:val="0"/>
              </w:numPr>
              <w:jc w:val="both"/>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垃圾占地面积6－10㎡，系数1；</w:t>
            </w:r>
            <w:r>
              <w:rPr>
                <w:rFonts w:hint="eastAsia" w:asciiTheme="minorEastAsia" w:hAnsiTheme="minorEastAsia" w:eastAsiaTheme="minorEastAsia"/>
                <w:color w:val="auto"/>
                <w:sz w:val="15"/>
                <w:szCs w:val="15"/>
                <w:highlight w:val="none"/>
                <w:lang w:val="en-US" w:eastAsia="zh-CN"/>
              </w:rPr>
              <w:t>11-15</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rPr>
              <w:t>随意倾倒、丢弃、堆放至城市道路、绿地、林地、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Theme="minorEastAsia" w:hAnsiTheme="minorEastAsia" w:eastAsiaTheme="minorEastAsia"/>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Theme="minorEastAsia" w:hAnsiTheme="minorEastAsia" w:eastAsiaTheme="minorEastAsia"/>
                <w:color w:val="auto"/>
                <w:sz w:val="15"/>
                <w:szCs w:val="15"/>
                <w:highlight w:val="none"/>
              </w:rPr>
              <w:t>，系数4-</w:t>
            </w:r>
            <w:r>
              <w:rPr>
                <w:rFonts w:hint="eastAsia" w:asciiTheme="minorEastAsia" w:hAnsiTheme="minorEastAsia" w:eastAsiaTheme="minorEastAsia"/>
                <w:strike w:val="0"/>
                <w:dstrike w:val="0"/>
                <w:color w:val="auto"/>
                <w:sz w:val="15"/>
                <w:szCs w:val="15"/>
                <w:highlight w:val="none"/>
                <w:lang w:val="en-US" w:eastAsia="zh-CN"/>
              </w:rPr>
              <w:t>5</w:t>
            </w:r>
            <w:r>
              <w:rPr>
                <w:rFonts w:hint="eastAsia" w:asciiTheme="minorEastAsia" w:hAnsiTheme="minorEastAsia" w:eastAsiaTheme="minorEastAsia"/>
                <w:color w:val="auto"/>
                <w:sz w:val="15"/>
                <w:szCs w:val="15"/>
                <w:highlight w:val="none"/>
              </w:rPr>
              <w:t>；4.对环境造成较严重影响的，系数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2B2B1CAB">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2A13AA82">
            <w:pPr>
              <w:spacing w:line="196"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构成情节系数相关情形的，视为“情节严重”。</w:t>
            </w:r>
          </w:p>
          <w:p w14:paraId="057A48A8">
            <w:pPr>
              <w:pStyle w:val="8"/>
              <w:rPr>
                <w:rFonts w:hint="eastAsia" w:asciiTheme="minorEastAsia" w:hAnsiTheme="minorEastAsia" w:eastAsiaTheme="minorEastAsia"/>
                <w:color w:val="auto"/>
                <w:sz w:val="15"/>
                <w:szCs w:val="15"/>
                <w:highlight w:val="none"/>
                <w:lang w:eastAsia="zh-CN"/>
              </w:rPr>
            </w:pPr>
          </w:p>
          <w:p w14:paraId="614F0C3A">
            <w:pPr>
              <w:pStyle w:val="9"/>
              <w:rPr>
                <w:rFonts w:hint="eastAsia"/>
                <w:color w:val="auto"/>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区域台账与情节系数中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14:paraId="3613B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83" w:hRule="atLeast"/>
          <w:jc w:val="center"/>
        </w:trPr>
        <w:tc>
          <w:tcPr>
            <w:tcW w:w="610" w:type="dxa"/>
            <w:vMerge w:val="restart"/>
            <w:shd w:val="clear" w:color="auto" w:fill="auto"/>
            <w:vAlign w:val="center"/>
          </w:tcPr>
          <w:p w14:paraId="3DAED0E1">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830" w:type="dxa"/>
            <w:gridSpan w:val="3"/>
            <w:vMerge w:val="restart"/>
            <w:shd w:val="clear" w:color="auto" w:fill="auto"/>
            <w:vAlign w:val="center"/>
          </w:tcPr>
          <w:p w14:paraId="4C7A8AF7">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随意倾倒、抛撒或者堆放生活垃圾</w:t>
            </w:r>
          </w:p>
        </w:tc>
        <w:tc>
          <w:tcPr>
            <w:tcW w:w="2789" w:type="dxa"/>
            <w:gridSpan w:val="2"/>
            <w:vMerge w:val="restart"/>
            <w:shd w:val="clear" w:color="auto" w:fill="auto"/>
            <w:vAlign w:val="center"/>
          </w:tcPr>
          <w:p w14:paraId="27D94C7C">
            <w:pPr>
              <w:keepNext w:val="0"/>
              <w:keepLines w:val="0"/>
              <w:pageBreakBefore w:val="0"/>
              <w:widowControl w:val="0"/>
              <w:kinsoku/>
              <w:wordWrap/>
              <w:overflowPunct/>
              <w:topLinePunct w:val="0"/>
              <w:autoSpaceDE/>
              <w:autoSpaceDN/>
              <w:bidi w:val="0"/>
              <w:adjustRightInd/>
              <w:snapToGrid/>
              <w:spacing w:line="23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违反条款：第四十九条第二款；处罚条款：第一百一十一条第一款第（一）项、第二款，责令改正，没收违法所得</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单位有前款第一项、第七项行为之一，处五万元以上五十万元以下的罚款；……个人有前款第一项、第五项、第七项行为之一，处一百元以上五百元以下的罚款。</w:t>
            </w:r>
          </w:p>
        </w:tc>
        <w:tc>
          <w:tcPr>
            <w:tcW w:w="851" w:type="dxa"/>
            <w:shd w:val="clear" w:color="auto" w:fill="auto"/>
            <w:vAlign w:val="center"/>
          </w:tcPr>
          <w:p w14:paraId="235205F4">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14:paraId="2266D768">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0641EBA3">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463BFF8A">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污染道路长21－30米</w:t>
            </w:r>
            <w:r>
              <w:rPr>
                <w:rFonts w:hint="eastAsia" w:cs="宋体" w:asciiTheme="minorEastAsia" w:hAnsiTheme="minorEastAsia" w:eastAsiaTheme="minorEastAsia"/>
                <w:color w:val="auto"/>
                <w:kern w:val="0"/>
                <w:sz w:val="15"/>
                <w:szCs w:val="15"/>
                <w:highlight w:val="none"/>
                <w:lang w:eastAsia="zh-CN"/>
              </w:rPr>
              <w:t>或者垃圾占地面积</w:t>
            </w:r>
            <w:r>
              <w:rPr>
                <w:rFonts w:hint="eastAsia" w:asciiTheme="minorEastAsia" w:hAnsiTheme="minorEastAsia" w:eastAsiaTheme="minorEastAsia"/>
                <w:color w:val="auto"/>
                <w:sz w:val="15"/>
                <w:szCs w:val="15"/>
                <w:highlight w:val="none"/>
              </w:rPr>
              <w:t>6－10</w:t>
            </w:r>
            <w:r>
              <w:rPr>
                <w:rFonts w:hint="eastAsia" w:cs="Microsoft JhengHei" w:asciiTheme="minorEastAsia" w:hAnsiTheme="minorEastAsia" w:eastAsiaTheme="minorEastAsia"/>
                <w:color w:val="auto"/>
                <w:sz w:val="15"/>
                <w:szCs w:val="15"/>
                <w:highlight w:val="none"/>
              </w:rPr>
              <w:t>㎡</w:t>
            </w:r>
            <w:r>
              <w:rPr>
                <w:rFonts w:hint="eastAsia" w:cs="Microsoft JhengHei" w:asciiTheme="minorEastAsia" w:hAnsiTheme="minorEastAsia" w:eastAsiaTheme="minorEastAsia"/>
                <w:color w:val="auto"/>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，系数1；31－40米</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lang w:val="en-US" w:eastAsia="zh-CN"/>
              </w:rPr>
              <w:t>11-15</w:t>
            </w:r>
            <w:r>
              <w:rPr>
                <w:rFonts w:hint="eastAsia" w:cs="Microsoft JhengHei" w:asciiTheme="minorEastAsia" w:hAnsiTheme="minorEastAsia" w:eastAsiaTheme="minorEastAsia"/>
                <w:color w:val="auto"/>
                <w:sz w:val="15"/>
                <w:szCs w:val="15"/>
                <w:highlight w:val="none"/>
              </w:rPr>
              <w:t>㎡</w:t>
            </w:r>
            <w:r>
              <w:rPr>
                <w:rFonts w:hint="eastAsia" w:cs="Microsoft JhengHei" w:asciiTheme="minorEastAsia" w:hAnsiTheme="minorEastAsia" w:eastAsiaTheme="minorEastAsia"/>
                <w:color w:val="auto"/>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16-20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61-70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米及以上或者占地面积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9。2</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Theme="minorEastAsia" w:hAnsiTheme="minorEastAsia" w:eastAsiaTheme="minorEastAsia"/>
                <w:color w:val="auto"/>
                <w:sz w:val="15"/>
                <w:szCs w:val="15"/>
                <w:highlight w:val="none"/>
              </w:rPr>
              <w:t>，系数4-</w:t>
            </w:r>
            <w:r>
              <w:rPr>
                <w:rFonts w:hint="eastAsia" w:asciiTheme="minorEastAsia" w:hAnsiTheme="minorEastAsia" w:eastAsiaTheme="minorEastAsia"/>
                <w:strike w:val="0"/>
                <w:dstrike w:val="0"/>
                <w:color w:val="auto"/>
                <w:sz w:val="15"/>
                <w:szCs w:val="15"/>
                <w:highlight w:val="none"/>
                <w:lang w:val="en-US" w:eastAsia="zh-CN"/>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.对环境造成较严重影响的，系数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4B4B67A4">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15BC8DDB">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区域台账与情节系数中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14:paraId="6DB7C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58" w:hRule="atLeast"/>
          <w:jc w:val="center"/>
        </w:trPr>
        <w:tc>
          <w:tcPr>
            <w:tcW w:w="610" w:type="dxa"/>
            <w:vMerge w:val="continue"/>
            <w:shd w:val="clear" w:color="auto" w:fill="auto"/>
            <w:vAlign w:val="center"/>
          </w:tcPr>
          <w:p w14:paraId="54068B2C">
            <w:pPr>
              <w:spacing w:line="190" w:lineRule="exact"/>
              <w:jc w:val="center"/>
              <w:rPr>
                <w:rFonts w:cs="宋体"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14:paraId="08F346D5">
            <w:pPr>
              <w:spacing w:line="190"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14CDE89B">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0DD9EF80">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14:paraId="1E4F9365">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3ED21ED0">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tcPr>
          <w:p w14:paraId="36A4AAE9">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污染道路长21－30米的，系数1；31－40米的，系数2；41-50米的，系数3；51</w:t>
            </w:r>
            <w:r>
              <w:rPr>
                <w:rFonts w:hint="eastAsia" w:asciiTheme="minorEastAsia" w:hAnsiTheme="minorEastAsia" w:eastAsiaTheme="minorEastAsia"/>
                <w:color w:val="auto"/>
                <w:sz w:val="15"/>
                <w:szCs w:val="15"/>
                <w:highlight w:val="none"/>
                <w:lang w:eastAsia="zh-CN"/>
              </w:rPr>
              <w:t>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4.对环境造成较严重影响的，系数</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6AACD9FE">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CFDC99F">
            <w:pPr>
              <w:spacing w:line="19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区域台账与情节系数中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14:paraId="6F88A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619" w:hRule="atLeast"/>
          <w:jc w:val="center"/>
        </w:trPr>
        <w:tc>
          <w:tcPr>
            <w:tcW w:w="610" w:type="dxa"/>
            <w:shd w:val="clear" w:color="auto" w:fill="auto"/>
            <w:vAlign w:val="center"/>
          </w:tcPr>
          <w:p w14:paraId="765A52B8">
            <w:pPr>
              <w:spacing w:line="19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5</w:t>
            </w:r>
          </w:p>
        </w:tc>
        <w:tc>
          <w:tcPr>
            <w:tcW w:w="1830" w:type="dxa"/>
            <w:gridSpan w:val="3"/>
            <w:shd w:val="clear" w:color="auto" w:fill="auto"/>
            <w:vAlign w:val="center"/>
          </w:tcPr>
          <w:p w14:paraId="51463E93">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擅自关闭、闲置或者拆除生活垃圾处理设施、场所</w:t>
            </w:r>
          </w:p>
        </w:tc>
        <w:tc>
          <w:tcPr>
            <w:tcW w:w="2789" w:type="dxa"/>
            <w:gridSpan w:val="2"/>
            <w:shd w:val="clear" w:color="auto" w:fill="auto"/>
            <w:vAlign w:val="center"/>
          </w:tcPr>
          <w:p w14:paraId="10255E26">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违反条款：第五十五条第三款；处罚条款：第一百一十一条第一款第（二）项、第二款，责令</w:t>
            </w:r>
            <w:r>
              <w:rPr>
                <w:rFonts w:asciiTheme="minorEastAsia" w:hAnsiTheme="minorEastAsia" w:eastAsiaTheme="minorEastAsia"/>
                <w:color w:val="auto"/>
                <w:sz w:val="15"/>
                <w:szCs w:val="15"/>
                <w:highlight w:val="none"/>
              </w:rPr>
              <w:t>改正，没收违法所得，</w:t>
            </w:r>
            <w:r>
              <w:rPr>
                <w:rFonts w:hint="eastAsia" w:asciiTheme="minorEastAsia" w:hAnsiTheme="minorEastAsia" w:eastAsiaTheme="minorEastAsia"/>
                <w:color w:val="auto"/>
                <w:sz w:val="15"/>
                <w:szCs w:val="15"/>
                <w:highlight w:val="none"/>
              </w:rPr>
              <w:t>对单位处十万元以上一百万元以下的罚款。</w:t>
            </w:r>
          </w:p>
        </w:tc>
        <w:tc>
          <w:tcPr>
            <w:tcW w:w="851" w:type="dxa"/>
            <w:shd w:val="clear" w:color="auto" w:fill="auto"/>
            <w:vAlign w:val="center"/>
          </w:tcPr>
          <w:p w14:paraId="5A937B10">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14:paraId="5F26DB2D">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15557A37">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3-4。2.涉及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7</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w:t>
            </w:r>
            <w:r>
              <w:rPr>
                <w:rFonts w:hint="eastAsia" w:asciiTheme="minorEastAsia" w:hAnsiTheme="minorEastAsia" w:eastAsiaTheme="minorEastAsia"/>
                <w:strike w:val="0"/>
                <w:dstrike w:val="0"/>
                <w:color w:val="auto"/>
                <w:sz w:val="15"/>
                <w:szCs w:val="15"/>
                <w:highlight w:val="none"/>
                <w:lang w:eastAsia="zh-CN"/>
              </w:rPr>
              <w:t>其他</w:t>
            </w:r>
            <w:r>
              <w:rPr>
                <w:rFonts w:hint="eastAsia" w:asciiTheme="minorEastAsia" w:hAnsiTheme="minorEastAsia" w:eastAsiaTheme="minorEastAsia"/>
                <w:strike w:val="0"/>
                <w:dstrike w:val="0"/>
                <w:color w:val="auto"/>
                <w:sz w:val="15"/>
                <w:szCs w:val="15"/>
                <w:highlight w:val="none"/>
              </w:rPr>
              <w:t>情形，系数</w:t>
            </w:r>
            <w:r>
              <w:rPr>
                <w:rFonts w:hint="eastAsia" w:ascii="宋体" w:hAnsi="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宋体" w:hAnsi="宋体" w:cs="宋体"/>
                <w:color w:val="auto"/>
                <w:kern w:val="0"/>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6D202909">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A1C1474">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14:paraId="4461EFC8">
            <w:pPr>
              <w:spacing w:line="190" w:lineRule="exact"/>
              <w:rPr>
                <w:rFonts w:hint="eastAsia" w:asciiTheme="minorEastAsia" w:hAnsiTheme="minorEastAsia" w:eastAsiaTheme="minorEastAsia"/>
                <w:color w:val="auto"/>
                <w:sz w:val="15"/>
                <w:szCs w:val="15"/>
                <w:highlight w:val="none"/>
                <w:lang w:eastAsia="zh-CN"/>
              </w:rPr>
            </w:pPr>
          </w:p>
        </w:tc>
      </w:tr>
      <w:tr w14:paraId="61461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15" w:hRule="atLeast"/>
          <w:jc w:val="center"/>
        </w:trPr>
        <w:tc>
          <w:tcPr>
            <w:tcW w:w="610" w:type="dxa"/>
            <w:shd w:val="clear" w:color="auto" w:fill="auto"/>
            <w:vAlign w:val="center"/>
          </w:tcPr>
          <w:p w14:paraId="368EFDDB">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6</w:t>
            </w:r>
          </w:p>
        </w:tc>
        <w:tc>
          <w:tcPr>
            <w:tcW w:w="1830" w:type="dxa"/>
            <w:gridSpan w:val="3"/>
            <w:shd w:val="clear" w:color="auto" w:fill="auto"/>
            <w:vAlign w:val="center"/>
          </w:tcPr>
          <w:p w14:paraId="0A500BC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工程施工单位未及时清运施工过程中产生的固体废物</w:t>
            </w:r>
          </w:p>
        </w:tc>
        <w:tc>
          <w:tcPr>
            <w:tcW w:w="2789" w:type="dxa"/>
            <w:gridSpan w:val="2"/>
            <w:shd w:val="clear" w:color="auto" w:fill="auto"/>
            <w:vAlign w:val="center"/>
          </w:tcPr>
          <w:p w14:paraId="6686F16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14:paraId="0972D4E5">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14:paraId="117B112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19DA6AB9">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color w:val="auto"/>
                <w:sz w:val="15"/>
                <w:szCs w:val="15"/>
                <w:highlight w:val="none"/>
              </w:rPr>
              <w:t>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。2.逾期不清的，逾期达2天的，系数１；逾期达4天的，系数2；逾期达6天的，系数3；逾期达8天的，系数4；逾期达10天的，系数5；以此类推，逾期达18天及以上的，系数9。</w:t>
            </w:r>
            <w:r>
              <w:rPr>
                <w:rFonts w:hint="eastAsia" w:asciiTheme="minorEastAsia" w:hAnsiTheme="minorEastAsia" w:eastAsiaTheme="minorEastAsia"/>
                <w:color w:val="auto"/>
                <w:sz w:val="15"/>
                <w:szCs w:val="15"/>
                <w:highlight w:val="none"/>
              </w:rPr>
              <w:t>3.造成尘土飞扬，严重污染环境的，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d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2C88B888">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2493C68">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不适用基准</w:t>
            </w:r>
            <w:r>
              <w:rPr>
                <w:rFonts w:hint="eastAsia" w:cs="宋体" w:asciiTheme="minorEastAsia" w:hAnsiTheme="minorEastAsia" w:eastAsiaTheme="minorEastAsia"/>
                <w:color w:val="auto"/>
                <w:kern w:val="0"/>
                <w:sz w:val="15"/>
                <w:szCs w:val="15"/>
                <w:highlight w:val="none"/>
                <w:lang w:val="en-US" w:eastAsia="zh-CN"/>
              </w:rPr>
              <w:t>2.1.3.1规定的“拒不改正”的情形</w:t>
            </w:r>
          </w:p>
        </w:tc>
      </w:tr>
      <w:tr w14:paraId="3A7D8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92" w:hRule="atLeast"/>
          <w:jc w:val="center"/>
        </w:trPr>
        <w:tc>
          <w:tcPr>
            <w:tcW w:w="610" w:type="dxa"/>
            <w:shd w:val="clear" w:color="auto" w:fill="auto"/>
            <w:vAlign w:val="center"/>
          </w:tcPr>
          <w:p w14:paraId="3509023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830" w:type="dxa"/>
            <w:gridSpan w:val="3"/>
            <w:shd w:val="clear" w:color="auto" w:fill="auto"/>
            <w:vAlign w:val="center"/>
          </w:tcPr>
          <w:p w14:paraId="7D60E21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工程施工单位擅自倾倒、抛撒或者堆放工程施工过程中产生的建筑垃圾</w:t>
            </w:r>
          </w:p>
        </w:tc>
        <w:tc>
          <w:tcPr>
            <w:tcW w:w="2789" w:type="dxa"/>
            <w:gridSpan w:val="2"/>
            <w:shd w:val="clear" w:color="auto" w:fill="auto"/>
            <w:vAlign w:val="center"/>
          </w:tcPr>
          <w:p w14:paraId="724C312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违反条款：第六十三条第三款；处罚条款：第一百一十一条第一款第（四）项、第二款责令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14:paraId="69DEC303">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14:paraId="423E4C3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38EC3CAB">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w:t>
            </w:r>
            <w:r>
              <w:rPr>
                <w:rFonts w:hint="eastAsia" w:cs="宋体" w:asciiTheme="minorEastAsia" w:hAnsiTheme="minorEastAsia" w:eastAsiaTheme="minorEastAsia"/>
                <w:color w:val="auto"/>
                <w:kern w:val="0"/>
                <w:sz w:val="15"/>
                <w:szCs w:val="15"/>
                <w:highlight w:val="none"/>
                <w:lang w:eastAsia="zh-CN"/>
              </w:rPr>
              <w:t>或者建筑垃圾占地面积</w:t>
            </w:r>
            <w:r>
              <w:rPr>
                <w:rFonts w:hint="eastAsia" w:cs="宋体" w:asciiTheme="minorEastAsia" w:hAnsiTheme="minorEastAsia" w:eastAsiaTheme="minorEastAsia"/>
                <w:color w:val="auto"/>
                <w:kern w:val="0"/>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1—15</w:t>
            </w:r>
            <w:r>
              <w:rPr>
                <w:rFonts w:hint="eastAsia" w:cs="Batang" w:asciiTheme="minorEastAsia" w:hAnsiTheme="minorEastAsia" w:eastAsiaTheme="minorEastAsia"/>
                <w:b w:val="0"/>
                <w:bCs w:val="0"/>
                <w:color w:val="auto"/>
                <w:sz w:val="15"/>
                <w:szCs w:val="15"/>
                <w:highlight w:val="none"/>
              </w:rPr>
              <w:t>㎡</w:t>
            </w:r>
            <w:r>
              <w:rPr>
                <w:rFonts w:hint="eastAsia" w:cs="宋体" w:asciiTheme="minorEastAsia" w:hAnsiTheme="minorEastAsia" w:eastAsiaTheme="minorEastAsia"/>
                <w:color w:val="auto"/>
                <w:kern w:val="0"/>
                <w:sz w:val="15"/>
                <w:szCs w:val="15"/>
                <w:highlight w:val="none"/>
              </w:rPr>
              <w:t>的，系数1；31－40米</w:t>
            </w:r>
            <w:r>
              <w:rPr>
                <w:rFonts w:hint="eastAsia" w:cs="宋体" w:asciiTheme="minorEastAsia" w:hAnsiTheme="minorEastAsia" w:eastAsiaTheme="minorEastAsia"/>
                <w:color w:val="auto"/>
                <w:kern w:val="0"/>
                <w:sz w:val="15"/>
                <w:szCs w:val="15"/>
                <w:highlight w:val="none"/>
                <w:lang w:eastAsia="zh-CN"/>
              </w:rPr>
              <w:t>或者</w:t>
            </w:r>
            <w:r>
              <w:rPr>
                <w:rFonts w:hint="eastAsia" w:asciiTheme="minorEastAsia" w:hAnsiTheme="minorEastAsia" w:eastAsiaTheme="minorEastAsia"/>
                <w:b w:val="0"/>
                <w:bCs w:val="0"/>
                <w:color w:val="auto"/>
                <w:sz w:val="15"/>
                <w:szCs w:val="15"/>
                <w:highlight w:val="none"/>
                <w:lang w:val="en-US" w:eastAsia="zh-CN"/>
              </w:rPr>
              <w:t>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宋体" w:asciiTheme="minorEastAsia" w:hAnsiTheme="minorEastAsia" w:eastAsiaTheme="minorEastAsia"/>
                <w:color w:val="auto"/>
                <w:kern w:val="0"/>
                <w:sz w:val="15"/>
                <w:szCs w:val="15"/>
                <w:highlight w:val="none"/>
              </w:rPr>
              <w:t>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61-70</w:t>
            </w:r>
            <w:r>
              <w:rPr>
                <w:rFonts w:hint="eastAsia" w:cs="宋体" w:asciiTheme="minorEastAsia" w:hAnsiTheme="minorEastAsia" w:eastAsiaTheme="minorEastAsia"/>
                <w:color w:val="auto"/>
                <w:kern w:val="0"/>
                <w:sz w:val="15"/>
                <w:szCs w:val="15"/>
                <w:highlight w:val="none"/>
              </w:rPr>
              <w:t>米</w:t>
            </w:r>
            <w:r>
              <w:rPr>
                <w:rFonts w:hint="eastAsia" w:cs="宋体" w:asciiTheme="minorEastAsia" w:hAnsiTheme="minorEastAsia" w:eastAsiaTheme="minorEastAsia"/>
                <w:color w:val="auto"/>
                <w:kern w:val="0"/>
                <w:sz w:val="15"/>
                <w:szCs w:val="15"/>
                <w:highlight w:val="none"/>
                <w:lang w:eastAsia="zh-CN"/>
              </w:rPr>
              <w:t>或者</w:t>
            </w:r>
            <w:r>
              <w:rPr>
                <w:rFonts w:hint="eastAsia" w:ascii="宋体" w:hAnsi="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及以上或者</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w:t>
            </w:r>
            <w:r>
              <w:rPr>
                <w:rFonts w:hint="eastAsia" w:cs="Batang" w:asciiTheme="minorEastAsia" w:hAnsiTheme="minorEastAsia" w:eastAsiaTheme="minorEastAsia"/>
                <w:color w:val="auto"/>
                <w:sz w:val="15"/>
                <w:szCs w:val="15"/>
                <w:highlight w:val="none"/>
                <w:lang w:eastAsia="zh-CN"/>
              </w:rPr>
              <w:t>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Batang" w:asciiTheme="minorEastAsia" w:hAnsiTheme="minorEastAsia" w:eastAsia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）或</w:t>
            </w:r>
            <w:r>
              <w:rPr>
                <w:rFonts w:hint="eastAsia" w:ascii="宋体" w:hAnsi="宋体" w:eastAsia="宋体" w:cs="宋体"/>
                <w:color w:val="auto"/>
                <w:kern w:val="0"/>
                <w:sz w:val="15"/>
                <w:szCs w:val="15"/>
                <w:highlight w:val="none"/>
              </w:rPr>
              <w:t>对环境造成较严重影响的，系数</w:t>
            </w:r>
            <w:r>
              <w:rPr>
                <w:rFonts w:hint="eastAsia" w:ascii="宋体" w:hAnsi="宋体" w:cs="宋体"/>
                <w:color w:val="auto"/>
                <w:kern w:val="0"/>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48426AA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778B9A9">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区域台账与《基准表》情节系数中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点位重叠时，不适用区域台账。</w:t>
            </w:r>
          </w:p>
        </w:tc>
      </w:tr>
      <w:tr w14:paraId="61259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04" w:hRule="atLeast"/>
          <w:jc w:val="center"/>
        </w:trPr>
        <w:tc>
          <w:tcPr>
            <w:tcW w:w="610" w:type="dxa"/>
            <w:shd w:val="clear" w:color="auto" w:fill="auto"/>
            <w:vAlign w:val="center"/>
          </w:tcPr>
          <w:p w14:paraId="6F622D6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830" w:type="dxa"/>
            <w:gridSpan w:val="3"/>
            <w:shd w:val="clear" w:color="auto" w:fill="auto"/>
            <w:vAlign w:val="center"/>
          </w:tcPr>
          <w:p w14:paraId="0DFA257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工程施工单位未按照规定对施工过程中产生的固体废物进行利用或者处置</w:t>
            </w:r>
          </w:p>
        </w:tc>
        <w:tc>
          <w:tcPr>
            <w:tcW w:w="2789" w:type="dxa"/>
            <w:gridSpan w:val="2"/>
            <w:shd w:val="clear" w:color="auto" w:fill="auto"/>
            <w:vAlign w:val="center"/>
          </w:tcPr>
          <w:p w14:paraId="059359F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违反条款：第六十三条第二款；处罚条款：第一百一十一条第一款第（四）项、第二款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14:paraId="45F8C2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14:paraId="4AFA77C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2CEBADB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未按规定</w:t>
            </w:r>
            <w:r>
              <w:rPr>
                <w:rFonts w:cs="宋体" w:asciiTheme="minorEastAsia" w:hAnsiTheme="minorEastAsia" w:eastAsiaTheme="minorEastAsia"/>
                <w:color w:val="auto"/>
                <w:kern w:val="0"/>
                <w:sz w:val="15"/>
                <w:szCs w:val="15"/>
                <w:highlight w:val="none"/>
              </w:rPr>
              <w:t>利用或处置的固体废物</w:t>
            </w:r>
            <w:r>
              <w:rPr>
                <w:rFonts w:hint="eastAsia" w:cs="宋体" w:asciiTheme="minorEastAsia" w:hAnsiTheme="minorEastAsia" w:eastAsiaTheme="minorEastAsia"/>
                <w:color w:val="auto"/>
                <w:kern w:val="0"/>
                <w:sz w:val="15"/>
                <w:szCs w:val="15"/>
                <w:highlight w:val="none"/>
              </w:rPr>
              <w:t>占地面积10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b w:val="0"/>
                <w:bCs w:val="0"/>
                <w:color w:val="auto"/>
                <w:kern w:val="0"/>
                <w:sz w:val="15"/>
                <w:szCs w:val="15"/>
                <w:highlight w:val="none"/>
              </w:rPr>
              <w:t>以下</w:t>
            </w:r>
            <w:r>
              <w:rPr>
                <w:rFonts w:hint="eastAsia" w:cs="仿宋_GB2312" w:asciiTheme="minorEastAsia" w:hAnsiTheme="minorEastAsia" w:eastAsiaTheme="minorEastAsia"/>
                <w:b w:val="0"/>
                <w:bCs w:val="0"/>
                <w:color w:val="auto"/>
                <w:kern w:val="0"/>
                <w:sz w:val="15"/>
                <w:szCs w:val="15"/>
                <w:highlight w:val="none"/>
                <w:lang w:eastAsia="zh-CN"/>
              </w:rPr>
              <w:t>或</w:t>
            </w:r>
            <w:r>
              <w:rPr>
                <w:rFonts w:hint="eastAsia" w:ascii="宋体" w:hAnsi="宋体" w:eastAsia="宋体" w:cs="宋体"/>
                <w:b w:val="0"/>
                <w:bCs w:val="0"/>
                <w:color w:val="auto"/>
                <w:sz w:val="15"/>
                <w:szCs w:val="15"/>
                <w:highlight w:val="none"/>
                <w:lang w:val="en-US" w:eastAsia="zh-CN"/>
              </w:rPr>
              <w:t>者运输垃圾5车次以下的</w:t>
            </w:r>
            <w:r>
              <w:rPr>
                <w:rFonts w:hint="eastAsia" w:cs="仿宋_GB2312" w:asciiTheme="minorEastAsia" w:hAnsiTheme="minorEastAsia" w:eastAsiaTheme="minorEastAsia"/>
                <w:b w:val="0"/>
                <w:bCs w:val="0"/>
                <w:color w:val="auto"/>
                <w:kern w:val="0"/>
                <w:sz w:val="15"/>
                <w:szCs w:val="15"/>
                <w:highlight w:val="none"/>
              </w:rPr>
              <w:t>，系数</w:t>
            </w:r>
            <w:r>
              <w:rPr>
                <w:rFonts w:hint="eastAsia" w:cs="宋体" w:asciiTheme="minorEastAsia" w:hAnsiTheme="minorEastAsia" w:eastAsiaTheme="minorEastAsia"/>
                <w:b w:val="0"/>
                <w:bCs w:val="0"/>
                <w:color w:val="auto"/>
                <w:kern w:val="0"/>
                <w:sz w:val="15"/>
                <w:szCs w:val="15"/>
                <w:highlight w:val="none"/>
              </w:rPr>
              <w:t>0；11－15</w:t>
            </w:r>
            <w:r>
              <w:rPr>
                <w:rFonts w:hint="eastAsia" w:cs="Microsoft JhengHei" w:asciiTheme="minorEastAsia" w:hAnsiTheme="minorEastAsia" w:eastAsiaTheme="minorEastAsia"/>
                <w:b w:val="0"/>
                <w:bCs w:val="0"/>
                <w:color w:val="auto"/>
                <w:kern w:val="0"/>
                <w:sz w:val="15"/>
                <w:szCs w:val="15"/>
                <w:highlight w:val="none"/>
              </w:rPr>
              <w:t>㎡</w:t>
            </w:r>
            <w:r>
              <w:rPr>
                <w:rFonts w:hint="eastAsia" w:cs="仿宋_GB2312" w:asciiTheme="minorEastAsia" w:hAnsiTheme="minorEastAsia" w:eastAsiaTheme="minorEastAsia"/>
                <w:b w:val="0"/>
                <w:bCs w:val="0"/>
                <w:color w:val="auto"/>
                <w:kern w:val="0"/>
                <w:sz w:val="15"/>
                <w:szCs w:val="15"/>
                <w:highlight w:val="none"/>
              </w:rPr>
              <w:t>的</w:t>
            </w:r>
            <w:r>
              <w:rPr>
                <w:rFonts w:hint="eastAsia" w:cs="仿宋_GB2312" w:asciiTheme="minorEastAsia" w:hAnsiTheme="minorEastAsia" w:eastAsiaTheme="minorEastAsia"/>
                <w:b w:val="0"/>
                <w:bCs w:val="0"/>
                <w:color w:val="auto"/>
                <w:kern w:val="0"/>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5（含5次）-9车次</w:t>
            </w:r>
            <w:r>
              <w:rPr>
                <w:rFonts w:hint="eastAsia" w:cs="仿宋_GB2312" w:asciiTheme="minorEastAsia" w:hAnsiTheme="minorEastAsia" w:eastAsiaTheme="minorEastAsia"/>
                <w:b w:val="0"/>
                <w:bCs w:val="0"/>
                <w:color w:val="auto"/>
                <w:kern w:val="0"/>
                <w:sz w:val="15"/>
                <w:szCs w:val="15"/>
                <w:highlight w:val="none"/>
                <w:lang w:val="en-US" w:eastAsia="zh-CN"/>
              </w:rPr>
              <w:t>的</w:t>
            </w:r>
            <w:r>
              <w:rPr>
                <w:rFonts w:hint="eastAsia" w:cs="仿宋_GB2312" w:asciiTheme="minorEastAsia" w:hAnsiTheme="minorEastAsia" w:eastAsiaTheme="minorEastAsia"/>
                <w:b w:val="0"/>
                <w:bCs w:val="0"/>
                <w:color w:val="auto"/>
                <w:kern w:val="0"/>
                <w:sz w:val="15"/>
                <w:szCs w:val="15"/>
                <w:highlight w:val="none"/>
              </w:rPr>
              <w:t>，系数</w:t>
            </w:r>
            <w:r>
              <w:rPr>
                <w:rFonts w:hint="eastAsia" w:cs="宋体" w:asciiTheme="minorEastAsia" w:hAnsiTheme="minorEastAsia" w:eastAsiaTheme="minorEastAsia"/>
                <w:b w:val="0"/>
                <w:bCs w:val="0"/>
                <w:color w:val="auto"/>
                <w:kern w:val="0"/>
                <w:sz w:val="15"/>
                <w:szCs w:val="15"/>
                <w:highlight w:val="none"/>
              </w:rPr>
              <w:t>1；16－20</w:t>
            </w:r>
            <w:r>
              <w:rPr>
                <w:rFonts w:hint="eastAsia" w:cs="Microsoft JhengHei" w:asciiTheme="minorEastAsia" w:hAnsiTheme="minorEastAsia" w:eastAsiaTheme="minorEastAsia"/>
                <w:b w:val="0"/>
                <w:bCs w:val="0"/>
                <w:color w:val="auto"/>
                <w:kern w:val="0"/>
                <w:sz w:val="15"/>
                <w:szCs w:val="15"/>
                <w:highlight w:val="none"/>
              </w:rPr>
              <w:t>㎡</w:t>
            </w:r>
            <w:r>
              <w:rPr>
                <w:rFonts w:hint="eastAsia" w:cs="Microsoft JhengHei" w:asciiTheme="minorEastAsia" w:hAnsiTheme="minorEastAsia" w:eastAsiaTheme="minorEastAsia"/>
                <w:b w:val="0"/>
                <w:bCs w:val="0"/>
                <w:color w:val="auto"/>
                <w:kern w:val="0"/>
                <w:sz w:val="15"/>
                <w:szCs w:val="15"/>
                <w:highlight w:val="none"/>
                <w:lang w:eastAsia="zh-CN"/>
              </w:rPr>
              <w:t>或者</w:t>
            </w:r>
            <w:r>
              <w:rPr>
                <w:rFonts w:hint="eastAsia" w:cs="Microsoft JhengHei" w:asciiTheme="minorEastAsia" w:hAnsiTheme="minorEastAsia" w:eastAsiaTheme="minorEastAsia"/>
                <w:b w:val="0"/>
                <w:bCs w:val="0"/>
                <w:color w:val="auto"/>
                <w:kern w:val="0"/>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0-14车次的</w:t>
            </w:r>
            <w:r>
              <w:rPr>
                <w:rFonts w:hint="eastAsia" w:cs="Microsoft JhengHei" w:asciiTheme="minorEastAsia" w:hAnsiTheme="minorEastAsia" w:eastAsiaTheme="minorEastAsia"/>
                <w:b w:val="0"/>
                <w:bCs w:val="0"/>
                <w:color w:val="auto"/>
                <w:kern w:val="0"/>
                <w:sz w:val="15"/>
                <w:szCs w:val="15"/>
                <w:highlight w:val="none"/>
                <w:lang w:val="en-US" w:eastAsia="zh-CN"/>
              </w:rPr>
              <w:t>，</w:t>
            </w:r>
            <w:r>
              <w:rPr>
                <w:rFonts w:hint="eastAsia" w:cs="仿宋_GB2312" w:asciiTheme="minorEastAsia" w:hAnsiTheme="minorEastAsia" w:eastAsiaTheme="minorEastAsia"/>
                <w:b w:val="0"/>
                <w:bCs w:val="0"/>
                <w:color w:val="auto"/>
                <w:kern w:val="0"/>
                <w:sz w:val="15"/>
                <w:szCs w:val="15"/>
                <w:highlight w:val="none"/>
              </w:rPr>
              <w:t>系数</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15-19车次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20-24车次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25-29车次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rPr>
              <w:t>以此类推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或者45车次及以上的</w:t>
            </w:r>
            <w:r>
              <w:rPr>
                <w:rFonts w:hint="eastAsia" w:cs="Batang" w:asciiTheme="minorEastAsia" w:hAnsiTheme="minorEastAsia" w:eastAsiaTheme="minorEastAsia"/>
                <w:b w:val="0"/>
                <w:bCs w:val="0"/>
                <w:color w:val="auto"/>
                <w:sz w:val="15"/>
                <w:szCs w:val="15"/>
                <w:highlight w:val="none"/>
                <w:lang w:eastAsia="zh-CN"/>
              </w:rPr>
              <w:t>，系数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2.未按规定进行利用或者处置固体废物数量较大的、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w:t>
            </w:r>
            <w:r>
              <w:rPr>
                <w:rFonts w:hint="eastAsia" w:ascii="宋体" w:hAnsi="宋体" w:cs="宋体"/>
                <w:color w:val="auto"/>
                <w:kern w:val="0"/>
                <w:sz w:val="15"/>
                <w:szCs w:val="15"/>
                <w:highlight w:val="none"/>
                <w:lang w:val="en-US" w:eastAsia="zh-CN"/>
              </w:rPr>
              <w:t>5-6</w:t>
            </w:r>
            <w:r>
              <w:rPr>
                <w:rFonts w:hint="eastAsia" w:cs="宋体" w:asciiTheme="minorEastAsia" w:hAnsiTheme="minorEastAsia" w:eastAsiaTheme="minorEastAsia"/>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1EC78F4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A8D0891">
            <w:pPr>
              <w:spacing w:line="232" w:lineRule="exact"/>
              <w:rPr>
                <w:rFonts w:asciiTheme="minorEastAsia" w:hAnsiTheme="minorEastAsia" w:eastAsiaTheme="minorEastAsia"/>
                <w:b/>
                <w:color w:val="auto"/>
                <w:sz w:val="15"/>
                <w:szCs w:val="15"/>
                <w:highlight w:val="none"/>
              </w:rPr>
            </w:pPr>
          </w:p>
        </w:tc>
      </w:tr>
      <w:tr w14:paraId="42C21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57" w:hRule="atLeast"/>
          <w:jc w:val="center"/>
        </w:trPr>
        <w:tc>
          <w:tcPr>
            <w:tcW w:w="610" w:type="dxa"/>
            <w:vMerge w:val="restart"/>
            <w:shd w:val="clear" w:color="auto" w:fill="auto"/>
            <w:vAlign w:val="center"/>
          </w:tcPr>
          <w:p w14:paraId="324AC971">
            <w:pPr>
              <w:spacing w:line="232" w:lineRule="exact"/>
              <w:jc w:val="center"/>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kern w:val="0"/>
                <w:sz w:val="15"/>
                <w:szCs w:val="15"/>
                <w:highlight w:val="none"/>
              </w:rPr>
              <w:t>9</w:t>
            </w:r>
          </w:p>
        </w:tc>
        <w:tc>
          <w:tcPr>
            <w:tcW w:w="1830" w:type="dxa"/>
            <w:gridSpan w:val="3"/>
            <w:vMerge w:val="restart"/>
            <w:shd w:val="clear" w:color="auto" w:fill="auto"/>
            <w:vAlign w:val="center"/>
          </w:tcPr>
          <w:p w14:paraId="623F3E37">
            <w:pPr>
              <w:spacing w:line="232" w:lineRule="exact"/>
              <w:jc w:val="left"/>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未将厨余垃圾交由具备相应资质条件的单位进行无害化处理</w:t>
            </w:r>
          </w:p>
        </w:tc>
        <w:tc>
          <w:tcPr>
            <w:tcW w:w="2789" w:type="dxa"/>
            <w:gridSpan w:val="2"/>
            <w:vMerge w:val="restart"/>
            <w:shd w:val="clear" w:color="auto" w:fill="auto"/>
            <w:vAlign w:val="center"/>
          </w:tcPr>
          <w:p w14:paraId="1870E78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违反条款：第五十七条第二款；处罚条款：第一百一十一条第一款第（五）项、第二款 责令改正，没收违法所得</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单位有前款第二项、第三项、第四项、第五项、第六项行为之一，处十万元以上一百万元以下的罚款；个人有前款第一项、第五项、第七项行为之一，处一百元以上五百元以下的罚款。</w:t>
            </w:r>
          </w:p>
        </w:tc>
        <w:tc>
          <w:tcPr>
            <w:tcW w:w="851" w:type="dxa"/>
            <w:shd w:val="clear" w:color="auto" w:fill="auto"/>
            <w:vAlign w:val="center"/>
          </w:tcPr>
          <w:p w14:paraId="126BE67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100000（单位）</w:t>
            </w:r>
          </w:p>
        </w:tc>
        <w:tc>
          <w:tcPr>
            <w:tcW w:w="840" w:type="dxa"/>
            <w:shd w:val="clear" w:color="auto" w:fill="auto"/>
            <w:vAlign w:val="center"/>
          </w:tcPr>
          <w:p w14:paraId="7F26E5B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26E0A4A1">
            <w:pPr>
              <w:spacing w:line="232"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.将厨余垃圾随意倾倒、丢弃、堆放城市道路、绿地、林地、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 xml:space="preserve"> 1-2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ascii="宋体" w:hAnsi="宋体" w:cs="宋体"/>
                <w:color w:val="auto"/>
                <w:kern w:val="0"/>
                <w:sz w:val="15"/>
                <w:szCs w:val="15"/>
                <w:highlight w:val="none"/>
                <w:lang w:val="en-US" w:eastAsia="zh-CN"/>
              </w:rPr>
              <w:t>5-6</w:t>
            </w:r>
            <w:r>
              <w:rPr>
                <w:rFonts w:hint="eastAsia" w:cs="宋体" w:asciiTheme="minorEastAsia" w:hAnsiTheme="minorEastAsia" w:eastAsiaTheme="minorEastAsia"/>
                <w:color w:val="auto"/>
                <w:spacing w:val="-4"/>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14:paraId="68DB4AA9">
            <w:pPr>
              <w:spacing w:line="232" w:lineRule="exact"/>
              <w:rPr>
                <w:rFonts w:hint="eastAsia" w:cs="宋体" w:asciiTheme="minorEastAsia" w:hAnsiTheme="minorEastAsia" w:eastAsiaTheme="minorEastAsia"/>
                <w:color w:val="auto"/>
                <w:kern w:val="0"/>
                <w:sz w:val="15"/>
                <w:szCs w:val="15"/>
                <w:highlight w:val="none"/>
                <w:lang w:val="en-US" w:eastAsia="zh-CN"/>
              </w:rPr>
            </w:pPr>
          </w:p>
        </w:tc>
        <w:tc>
          <w:tcPr>
            <w:tcW w:w="1875" w:type="dxa"/>
            <w:gridSpan w:val="2"/>
            <w:shd w:val="clear" w:color="auto" w:fill="auto"/>
            <w:vAlign w:val="center"/>
          </w:tcPr>
          <w:p w14:paraId="508F3FD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8BB5961">
            <w:pPr>
              <w:spacing w:line="232" w:lineRule="exact"/>
              <w:rPr>
                <w:rFonts w:asciiTheme="minorEastAsia" w:hAnsiTheme="minorEastAsia" w:eastAsiaTheme="minorEastAsia"/>
                <w:color w:val="auto"/>
                <w:sz w:val="15"/>
                <w:szCs w:val="15"/>
                <w:highlight w:val="none"/>
              </w:rPr>
            </w:pPr>
          </w:p>
        </w:tc>
      </w:tr>
      <w:tr w14:paraId="43C4C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14:paraId="3AD17F40">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14:paraId="517BE690">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20B499FA">
            <w:pPr>
              <w:spacing w:line="232" w:lineRule="exact"/>
              <w:jc w:val="left"/>
              <w:rPr>
                <w:rFonts w:asciiTheme="minorEastAsia" w:hAnsiTheme="minorEastAsia" w:eastAsiaTheme="minorEastAsia"/>
                <w:color w:val="auto"/>
                <w:sz w:val="15"/>
                <w:szCs w:val="15"/>
                <w:highlight w:val="none"/>
              </w:rPr>
            </w:pPr>
          </w:p>
        </w:tc>
        <w:tc>
          <w:tcPr>
            <w:tcW w:w="851" w:type="dxa"/>
            <w:shd w:val="clear" w:color="auto" w:fill="auto"/>
            <w:vAlign w:val="center"/>
          </w:tcPr>
          <w:p w14:paraId="3CA9092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p w14:paraId="6467380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05A7F69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0E03EE0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cs="宋体" w:asciiTheme="minorEastAsia" w:hAnsiTheme="minorEastAsia" w:eastAsiaTheme="minorEastAsia"/>
                <w:color w:val="auto"/>
                <w:spacing w:val="-4"/>
                <w:kern w:val="0"/>
                <w:sz w:val="15"/>
                <w:szCs w:val="15"/>
                <w:highlight w:val="none"/>
                <w:lang w:val="en-US" w:eastAsia="zh-CN"/>
              </w:rPr>
              <w:t>2-4</w:t>
            </w:r>
            <w:r>
              <w:rPr>
                <w:rFonts w:hint="eastAsia"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4。4</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r>
              <w:rPr>
                <w:rFonts w:hint="eastAsia" w:cs="宋体" w:asciiTheme="minorEastAsia" w:hAnsiTheme="minorEastAsia" w:eastAsiaTheme="minorEastAsia"/>
                <w:color w:val="auto"/>
                <w:kern w:val="0"/>
                <w:sz w:val="15"/>
                <w:szCs w:val="15"/>
                <w:highlight w:val="none"/>
                <w:lang w:val="en-US" w:eastAsia="zh-CN"/>
              </w:rPr>
              <w:t>（基准2.1.3.5不适用）。</w:t>
            </w:r>
          </w:p>
        </w:tc>
        <w:tc>
          <w:tcPr>
            <w:tcW w:w="1875" w:type="dxa"/>
            <w:gridSpan w:val="2"/>
            <w:shd w:val="clear" w:color="auto" w:fill="auto"/>
            <w:vAlign w:val="center"/>
          </w:tcPr>
          <w:p w14:paraId="2E5C634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385AF939">
            <w:pPr>
              <w:spacing w:line="232" w:lineRule="exact"/>
              <w:rPr>
                <w:rFonts w:hint="eastAsia" w:asciiTheme="minorEastAsia" w:hAnsiTheme="minorEastAsia" w:eastAsiaTheme="minorEastAsia"/>
                <w:color w:val="auto"/>
                <w:sz w:val="15"/>
                <w:szCs w:val="15"/>
                <w:highlight w:val="none"/>
                <w:lang w:eastAsia="zh-CN"/>
              </w:rPr>
            </w:pPr>
          </w:p>
        </w:tc>
      </w:tr>
      <w:tr w14:paraId="506C4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14:paraId="7475763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830" w:type="dxa"/>
            <w:gridSpan w:val="3"/>
            <w:vMerge w:val="restart"/>
            <w:shd w:val="clear" w:color="auto" w:fill="auto"/>
            <w:vAlign w:val="center"/>
          </w:tcPr>
          <w:p w14:paraId="5790A79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运输过程中沿途丢弃、遗撒生活垃圾</w:t>
            </w:r>
          </w:p>
        </w:tc>
        <w:tc>
          <w:tcPr>
            <w:tcW w:w="2789" w:type="dxa"/>
            <w:gridSpan w:val="2"/>
            <w:vMerge w:val="restart"/>
            <w:shd w:val="clear" w:color="auto" w:fill="auto"/>
            <w:vAlign w:val="center"/>
          </w:tcPr>
          <w:p w14:paraId="69DC2FE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违反条款：第二十条第一款；处罚条款：第一百一十一条第一款第（七）项、第二款，责令改正</w:t>
            </w:r>
            <w:r>
              <w:rPr>
                <w:rFonts w:asciiTheme="minorEastAsia" w:hAnsiTheme="minorEastAsia" w:eastAsiaTheme="minorEastAsia"/>
                <w:color w:val="auto"/>
                <w:sz w:val="15"/>
                <w:szCs w:val="15"/>
                <w:highlight w:val="none"/>
              </w:rPr>
              <w:t>，没收违法所得</w:t>
            </w:r>
            <w:r>
              <w:rPr>
                <w:rFonts w:hint="eastAsia" w:asciiTheme="minorEastAsia" w:hAnsiTheme="minorEastAsia" w:eastAsiaTheme="minorEastAsia"/>
                <w:color w:val="auto"/>
                <w:sz w:val="15"/>
                <w:szCs w:val="15"/>
                <w:highlight w:val="none"/>
              </w:rPr>
              <w:t>，对单位五万元以上五十万元以下的罚款；对个人处一百元以上五百元以下的罚款。</w:t>
            </w:r>
          </w:p>
        </w:tc>
        <w:tc>
          <w:tcPr>
            <w:tcW w:w="851" w:type="dxa"/>
            <w:shd w:val="clear" w:color="auto" w:fill="auto"/>
            <w:vAlign w:val="center"/>
          </w:tcPr>
          <w:p w14:paraId="76F5C4F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14:paraId="3241D5C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45BC090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082D6CA5">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污染道路长21－30米的，系数1；31－40米的，系数2；41-50米的，系数3；51-60米的，系数4；61-70米的，系数5；以此类推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w:t>
            </w:r>
            <w:r>
              <w:rPr>
                <w:rFonts w:hint="eastAsia" w:asciiTheme="minorEastAsia" w:hAnsiTheme="minorEastAsia" w:eastAsiaTheme="minorEastAsia"/>
                <w:color w:val="auto"/>
                <w:sz w:val="15"/>
                <w:szCs w:val="15"/>
                <w:highlight w:val="none"/>
              </w:rPr>
              <w:t>系数4-</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4.对环境造成较严重影响的，系数</w:t>
            </w:r>
            <w:r>
              <w:rPr>
                <w:rFonts w:hint="default" w:asciiTheme="minorEastAsia" w:hAnsiTheme="minorEastAsia" w:eastAsiaTheme="minorEastAsia"/>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5E50B48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1B99C099">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区域台账与《基准表》情节系数中丢弃、遗撒点位重叠时，不适用区域台账。</w:t>
            </w:r>
          </w:p>
        </w:tc>
      </w:tr>
      <w:tr w14:paraId="6DF61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09" w:hRule="atLeast"/>
          <w:jc w:val="center"/>
        </w:trPr>
        <w:tc>
          <w:tcPr>
            <w:tcW w:w="610" w:type="dxa"/>
            <w:vMerge w:val="continue"/>
            <w:shd w:val="clear" w:color="auto" w:fill="auto"/>
            <w:vAlign w:val="center"/>
          </w:tcPr>
          <w:p w14:paraId="5B565047">
            <w:pPr>
              <w:spacing w:line="232" w:lineRule="exact"/>
              <w:jc w:val="center"/>
              <w:rPr>
                <w:rFonts w:cs="宋体"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14:paraId="25E543CB">
            <w:pPr>
              <w:spacing w:line="23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62F18AD0">
            <w:pPr>
              <w:spacing w:line="232" w:lineRule="exact"/>
              <w:jc w:val="center"/>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33218BB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14:paraId="63CED1A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6D0F85D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21CCA6C8">
            <w:pPr>
              <w:numPr>
                <w:ilvl w:val="0"/>
                <w:numId w:val="0"/>
              </w:num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污染道路长21－30米的，系数1；31－40米的，系数2；41-50米的，系数3；51</w:t>
            </w:r>
            <w:r>
              <w:rPr>
                <w:rFonts w:hint="eastAsia" w:asciiTheme="minorEastAsia" w:hAnsiTheme="minorEastAsia" w:eastAsiaTheme="minorEastAsia"/>
                <w:color w:val="auto"/>
                <w:sz w:val="15"/>
                <w:szCs w:val="15"/>
                <w:highlight w:val="none"/>
                <w:lang w:eastAsia="zh-CN"/>
              </w:rPr>
              <w:t>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10吨及以上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4.对环境造成较严重影响的，系数</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48D584E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564EE7DF">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区域台账与《基准表》情节系数中丢弃、遗撒点位重叠时，不适用区域台账。</w:t>
            </w:r>
          </w:p>
        </w:tc>
      </w:tr>
      <w:tr w14:paraId="3FFC7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15" w:hRule="atLeast"/>
          <w:jc w:val="center"/>
        </w:trPr>
        <w:tc>
          <w:tcPr>
            <w:tcW w:w="14203" w:type="dxa"/>
            <w:gridSpan w:val="13"/>
            <w:shd w:val="clear" w:color="auto" w:fill="auto"/>
            <w:vAlign w:val="center"/>
          </w:tcPr>
          <w:p w14:paraId="0823B862">
            <w:pPr>
              <w:pStyle w:val="3"/>
              <w:widowControl w:val="0"/>
              <w:spacing w:line="232" w:lineRule="exact"/>
              <w:jc w:val="center"/>
              <w:rPr>
                <w:rFonts w:asciiTheme="minorEastAsia" w:hAnsiTheme="minorEastAsia" w:eastAsiaTheme="minorEastAsia"/>
                <w:color w:val="auto"/>
                <w:sz w:val="15"/>
                <w:szCs w:val="15"/>
                <w:highlight w:val="none"/>
              </w:rPr>
            </w:pPr>
            <w:bookmarkStart w:id="19" w:name="_Toc1983411474"/>
            <w:bookmarkStart w:id="20" w:name="_Toc1567388814"/>
            <w:bookmarkStart w:id="21" w:name="_Toc110851442"/>
            <w:r>
              <w:rPr>
                <w:rFonts w:hint="eastAsia" w:asciiTheme="minorEastAsia" w:hAnsiTheme="minorEastAsia" w:eastAsiaTheme="minorEastAsia"/>
                <w:color w:val="auto"/>
                <w:sz w:val="21"/>
                <w:szCs w:val="21"/>
                <w:highlight w:val="none"/>
              </w:rPr>
              <w:t>《北京市人民政府关于扫雪铲冰管理的规定》案由1项</w:t>
            </w:r>
            <w:bookmarkEnd w:id="19"/>
            <w:bookmarkEnd w:id="20"/>
            <w:bookmarkEnd w:id="21"/>
          </w:p>
        </w:tc>
      </w:tr>
      <w:tr w14:paraId="09D3A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60" w:hRule="atLeast"/>
          <w:jc w:val="center"/>
        </w:trPr>
        <w:tc>
          <w:tcPr>
            <w:tcW w:w="610" w:type="dxa"/>
            <w:shd w:val="clear" w:color="auto" w:fill="auto"/>
            <w:vAlign w:val="center"/>
          </w:tcPr>
          <w:p w14:paraId="267A997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577B7FF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未按规定扫雪铲冰</w:t>
            </w:r>
          </w:p>
        </w:tc>
        <w:tc>
          <w:tcPr>
            <w:tcW w:w="2789" w:type="dxa"/>
            <w:gridSpan w:val="2"/>
            <w:shd w:val="clear" w:color="auto" w:fill="auto"/>
            <w:vAlign w:val="center"/>
          </w:tcPr>
          <w:p w14:paraId="07CB08A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违反条款：第三条第一款、第二款；处罚条款：第六条，责令改正，并处200元以上1000元以下罚款。</w:t>
            </w:r>
          </w:p>
        </w:tc>
        <w:tc>
          <w:tcPr>
            <w:tcW w:w="851" w:type="dxa"/>
            <w:shd w:val="clear" w:color="auto" w:fill="auto"/>
            <w:vAlign w:val="center"/>
          </w:tcPr>
          <w:p w14:paraId="50F4814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tc>
        <w:tc>
          <w:tcPr>
            <w:tcW w:w="840" w:type="dxa"/>
            <w:shd w:val="clear" w:color="auto" w:fill="auto"/>
            <w:vAlign w:val="center"/>
          </w:tcPr>
          <w:p w14:paraId="11382ED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2112D7D8">
            <w:pPr>
              <w:spacing w:line="232" w:lineRule="exact"/>
              <w:rPr>
                <w:rFonts w:asciiTheme="minorEastAsia" w:hAnsiTheme="minorEastAsia" w:eastAsiaTheme="minorEastAsia"/>
                <w:color w:val="auto"/>
                <w:sz w:val="15"/>
                <w:szCs w:val="15"/>
                <w:highlight w:val="none"/>
              </w:rPr>
            </w:pP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144E3D4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0D5C4CF1">
            <w:pPr>
              <w:spacing w:line="232" w:lineRule="exact"/>
              <w:rPr>
                <w:rFonts w:asciiTheme="minorEastAsia" w:hAnsiTheme="minorEastAsia" w:eastAsiaTheme="minorEastAsia"/>
                <w:color w:val="auto"/>
                <w:sz w:val="15"/>
                <w:szCs w:val="15"/>
                <w:highlight w:val="none"/>
              </w:rPr>
            </w:pPr>
          </w:p>
        </w:tc>
      </w:tr>
      <w:tr w14:paraId="00B5F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79" w:hRule="atLeast"/>
          <w:jc w:val="center"/>
        </w:trPr>
        <w:tc>
          <w:tcPr>
            <w:tcW w:w="14203" w:type="dxa"/>
            <w:gridSpan w:val="13"/>
            <w:shd w:val="clear" w:color="auto" w:fill="auto"/>
            <w:vAlign w:val="center"/>
          </w:tcPr>
          <w:p w14:paraId="4557B1A1">
            <w:pPr>
              <w:pStyle w:val="3"/>
              <w:widowControl w:val="0"/>
              <w:spacing w:line="232" w:lineRule="exact"/>
              <w:jc w:val="center"/>
              <w:rPr>
                <w:rFonts w:asciiTheme="minorEastAsia" w:hAnsiTheme="minorEastAsia" w:eastAsiaTheme="minorEastAsia"/>
                <w:color w:val="auto"/>
                <w:sz w:val="15"/>
                <w:szCs w:val="15"/>
                <w:highlight w:val="none"/>
              </w:rPr>
            </w:pPr>
            <w:bookmarkStart w:id="22" w:name="_Toc1850212723"/>
            <w:bookmarkStart w:id="23" w:name="_Toc110851443"/>
            <w:bookmarkStart w:id="24" w:name="_Toc764526123"/>
            <w:r>
              <w:rPr>
                <w:rFonts w:hint="eastAsia" w:asciiTheme="minorEastAsia" w:hAnsiTheme="minorEastAsia" w:eastAsiaTheme="minorEastAsia"/>
                <w:color w:val="auto"/>
                <w:sz w:val="21"/>
                <w:szCs w:val="21"/>
                <w:highlight w:val="none"/>
              </w:rPr>
              <w:t>《北京市户外广告设施、牌匾标识和标语宣传品设置管理条例》案由14项</w:t>
            </w:r>
            <w:bookmarkEnd w:id="22"/>
            <w:bookmarkEnd w:id="23"/>
            <w:bookmarkEnd w:id="24"/>
          </w:p>
        </w:tc>
      </w:tr>
      <w:tr w14:paraId="4759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311" w:hRule="atLeast"/>
          <w:jc w:val="center"/>
        </w:trPr>
        <w:tc>
          <w:tcPr>
            <w:tcW w:w="610" w:type="dxa"/>
            <w:shd w:val="clear" w:color="auto" w:fill="auto"/>
            <w:vAlign w:val="center"/>
          </w:tcPr>
          <w:p w14:paraId="72D09E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3FAA6916">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napToGrid w:val="0"/>
                <w:color w:val="auto"/>
                <w:kern w:val="32"/>
                <w:sz w:val="15"/>
                <w:szCs w:val="15"/>
                <w:highlight w:val="none"/>
              </w:rPr>
              <w:t>违法设置户外广告设施</w:t>
            </w:r>
          </w:p>
        </w:tc>
        <w:tc>
          <w:tcPr>
            <w:tcW w:w="2789" w:type="dxa"/>
            <w:gridSpan w:val="2"/>
            <w:shd w:val="clear" w:color="auto" w:fill="auto"/>
            <w:vAlign w:val="center"/>
          </w:tcPr>
          <w:p w14:paraId="37D01018">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违反条款：第十五条；第十六条第一款；第十七条；第十八条第三款；第二十四条；第二十五条；</w:t>
            </w:r>
            <w:r>
              <w:rPr>
                <w:rFonts w:hint="eastAsia" w:asciiTheme="minorEastAsia" w:hAnsiTheme="minorEastAsia" w:eastAsiaTheme="minorEastAsia"/>
                <w:snapToGrid w:val="0"/>
                <w:color w:val="auto"/>
                <w:kern w:val="32"/>
                <w:sz w:val="15"/>
                <w:szCs w:val="15"/>
                <w:highlight w:val="none"/>
              </w:rPr>
              <w:t>（根据发生违法行为选择适用）</w:t>
            </w:r>
          </w:p>
          <w:p w14:paraId="633ADD2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shd w:val="clear" w:color="auto" w:fill="auto"/>
            <w:vAlign w:val="center"/>
          </w:tcPr>
          <w:p w14:paraId="29B2655B">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DF34950">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98A9E64">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2；2.违法设置距地十米以上户外广告设施的，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w:t>
            </w:r>
          </w:p>
          <w:p w14:paraId="1A5B7BA2">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7FB5695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　</w:t>
            </w:r>
          </w:p>
        </w:tc>
        <w:tc>
          <w:tcPr>
            <w:tcW w:w="1982" w:type="dxa"/>
            <w:gridSpan w:val="2"/>
            <w:shd w:val="clear" w:color="auto" w:fill="auto"/>
            <w:vAlign w:val="center"/>
          </w:tcPr>
          <w:p w14:paraId="00E769F1">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14:paraId="7FD267AD">
            <w:pPr>
              <w:spacing w:line="232" w:lineRule="exact"/>
              <w:rPr>
                <w:rFonts w:hint="eastAsia" w:asciiTheme="minorEastAsia" w:hAnsiTheme="minorEastAsia" w:eastAsiaTheme="minorEastAsia"/>
                <w:strike/>
                <w:dstrike w:val="0"/>
                <w:color w:val="auto"/>
                <w:sz w:val="15"/>
                <w:szCs w:val="15"/>
                <w:highlight w:val="none"/>
              </w:rPr>
            </w:pPr>
          </w:p>
        </w:tc>
      </w:tr>
      <w:tr w14:paraId="2B82C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8" w:hRule="atLeast"/>
          <w:jc w:val="center"/>
        </w:trPr>
        <w:tc>
          <w:tcPr>
            <w:tcW w:w="610" w:type="dxa"/>
            <w:shd w:val="clear" w:color="auto" w:fill="auto"/>
            <w:vAlign w:val="center"/>
          </w:tcPr>
          <w:p w14:paraId="2C7A5B6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2690D525">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为违法设置的户外广告设施提供载体</w:t>
            </w:r>
          </w:p>
        </w:tc>
        <w:tc>
          <w:tcPr>
            <w:tcW w:w="2789" w:type="dxa"/>
            <w:gridSpan w:val="2"/>
            <w:shd w:val="clear" w:color="auto" w:fill="auto"/>
            <w:vAlign w:val="center"/>
          </w:tcPr>
          <w:p w14:paraId="215B423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w:t>
            </w:r>
            <w:r>
              <w:rPr>
                <w:rFonts w:asciiTheme="minorEastAsia" w:hAnsiTheme="minorEastAsia" w:eastAsiaTheme="minorEastAsia"/>
                <w:color w:val="auto"/>
                <w:sz w:val="15"/>
                <w:szCs w:val="15"/>
                <w:highlight w:val="none"/>
              </w:rPr>
              <w:t>十八条第二款</w:t>
            </w:r>
            <w:r>
              <w:rPr>
                <w:rFonts w:hint="eastAsia" w:asciiTheme="minorEastAsia" w:hAnsiTheme="minorEastAsia" w:eastAsiaTheme="minorEastAsia"/>
                <w:color w:val="auto"/>
                <w:sz w:val="15"/>
                <w:szCs w:val="15"/>
                <w:highlight w:val="none"/>
              </w:rPr>
              <w:t>；</w:t>
            </w:r>
          </w:p>
          <w:p w14:paraId="54A1B4D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第四十九条第二款，</w:t>
            </w:r>
            <w:r>
              <w:rPr>
                <w:rFonts w:hint="eastAsia" w:asciiTheme="minorEastAsia" w:hAnsiTheme="minorEastAsia" w:eastAsiaTheme="minorEastAsia"/>
                <w:color w:val="auto"/>
                <w:sz w:val="15"/>
                <w:szCs w:val="15"/>
                <w:highlight w:val="none"/>
              </w:rPr>
              <w:t>责令限期改正；逾期不改正的，处一万元以上十万元以下罚款。</w:t>
            </w:r>
          </w:p>
        </w:tc>
        <w:tc>
          <w:tcPr>
            <w:tcW w:w="851" w:type="dxa"/>
            <w:shd w:val="clear" w:color="auto" w:fill="auto"/>
            <w:vAlign w:val="center"/>
          </w:tcPr>
          <w:p w14:paraId="736854D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84EE01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477DBB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1.违法设置大型户外广告设施的，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2；2.违法设置距地十米以上的户外广告设施的，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p>
          <w:p w14:paraId="7D069FFA">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3.为2处违法设置户外广告设施提供载体的，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6793AEC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45165739">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14:paraId="3DB69AB0">
            <w:pPr>
              <w:spacing w:line="232" w:lineRule="exact"/>
              <w:rPr>
                <w:rFonts w:asciiTheme="minorEastAsia" w:hAnsiTheme="minorEastAsia" w:eastAsiaTheme="minorEastAsia"/>
                <w:color w:val="auto"/>
                <w:sz w:val="15"/>
                <w:szCs w:val="15"/>
                <w:highlight w:val="none"/>
              </w:rPr>
            </w:pPr>
          </w:p>
        </w:tc>
      </w:tr>
      <w:tr w14:paraId="4C6D3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51" w:hRule="atLeast"/>
          <w:jc w:val="center"/>
        </w:trPr>
        <w:tc>
          <w:tcPr>
            <w:tcW w:w="610" w:type="dxa"/>
            <w:shd w:val="clear" w:color="auto" w:fill="auto"/>
            <w:vAlign w:val="center"/>
          </w:tcPr>
          <w:p w14:paraId="2E14634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5015A47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违法设置固定式牌匾标识</w:t>
            </w:r>
          </w:p>
          <w:p w14:paraId="068E8117">
            <w:pPr>
              <w:spacing w:line="232" w:lineRule="exact"/>
              <w:rPr>
                <w:rFonts w:cs="宋体" w:asciiTheme="minorEastAsia" w:hAnsiTheme="minorEastAsia" w:eastAsiaTheme="minorEastAsia"/>
                <w:color w:val="auto"/>
                <w:kern w:val="0"/>
                <w:sz w:val="15"/>
                <w:szCs w:val="15"/>
                <w:highlight w:val="none"/>
              </w:rPr>
            </w:pPr>
          </w:p>
        </w:tc>
        <w:tc>
          <w:tcPr>
            <w:tcW w:w="2789" w:type="dxa"/>
            <w:gridSpan w:val="2"/>
            <w:shd w:val="clear" w:color="auto" w:fill="auto"/>
            <w:vAlign w:val="center"/>
          </w:tcPr>
          <w:p w14:paraId="7E6A2D83">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违反条款：第三十条；第三十一条；第三十五条第二款；</w:t>
            </w:r>
            <w:r>
              <w:rPr>
                <w:rFonts w:hint="eastAsia" w:asciiTheme="minorEastAsia" w:hAnsiTheme="minorEastAsia" w:eastAsiaTheme="minorEastAsia"/>
                <w:snapToGrid w:val="0"/>
                <w:color w:val="auto"/>
                <w:kern w:val="32"/>
                <w:sz w:val="15"/>
                <w:szCs w:val="15"/>
                <w:highlight w:val="none"/>
              </w:rPr>
              <w:t>（根据发生违法行为选择适用）</w:t>
            </w:r>
          </w:p>
          <w:p w14:paraId="4D83809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shd w:val="clear" w:color="auto" w:fill="auto"/>
            <w:vAlign w:val="center"/>
          </w:tcPr>
          <w:p w14:paraId="2F300E7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38D2C6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2A656C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1.违法设置大型固定式牌匾标识的，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2；2.违法设置距地十米以上的固定式牌匾标识的，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2；3.违法设置2处牌匾标识的，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1D68E0C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222B2337">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cs="Times New Roman" w:asciiTheme="minorEastAsia" w:hAnsiTheme="minorEastAsia" w:eastAsiaTheme="minorEastAsia"/>
                <w:color w:val="auto"/>
                <w:kern w:val="2"/>
                <w:sz w:val="15"/>
                <w:szCs w:val="15"/>
                <w:highlight w:val="none"/>
                <w:lang w:val="en-US" w:eastAsia="zh-CN" w:bidi="ar-SA"/>
              </w:rPr>
              <w:t>大型固定式牌匾标识，是指任意边长大于等于四米，或者面积大于等于十平方米的牌匾标识。</w:t>
            </w:r>
          </w:p>
          <w:p w14:paraId="242E859B">
            <w:pPr>
              <w:spacing w:line="232" w:lineRule="exact"/>
              <w:rPr>
                <w:rFonts w:asciiTheme="minorEastAsia" w:hAnsiTheme="minorEastAsia" w:eastAsiaTheme="minorEastAsia"/>
                <w:color w:val="auto"/>
                <w:sz w:val="15"/>
                <w:szCs w:val="15"/>
                <w:highlight w:val="none"/>
              </w:rPr>
            </w:pPr>
          </w:p>
        </w:tc>
      </w:tr>
      <w:tr w14:paraId="2CBF0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6B650BF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53A0C967">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电子显示装置不符合设置规范（或者运行时间要求）</w:t>
            </w:r>
          </w:p>
        </w:tc>
        <w:tc>
          <w:tcPr>
            <w:tcW w:w="2789" w:type="dxa"/>
            <w:gridSpan w:val="2"/>
            <w:shd w:val="clear" w:color="auto" w:fill="auto"/>
            <w:vAlign w:val="center"/>
          </w:tcPr>
          <w:p w14:paraId="28F6753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14:paraId="440CF1F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处罚条款：第五十条，责令限期改正；逾期不改正的，处一千元以上一万元以下罚款。</w:t>
            </w:r>
          </w:p>
        </w:tc>
        <w:tc>
          <w:tcPr>
            <w:tcW w:w="851" w:type="dxa"/>
            <w:shd w:val="clear" w:color="auto" w:fill="auto"/>
            <w:vAlign w:val="center"/>
          </w:tcPr>
          <w:p w14:paraId="30AEA5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084F0B7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7A210D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1.大型电子显示装置，</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w:t>
            </w:r>
          </w:p>
          <w:p w14:paraId="4131749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2.距地十米以上的电子显示装置，</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lang w:val="en-US" w:eastAsia="zh-CN"/>
              </w:rPr>
              <w:t>；3.</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5C6B2AE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259DE714">
            <w:pPr>
              <w:spacing w:line="232" w:lineRule="exact"/>
              <w:rPr>
                <w:rFonts w:hint="eastAsia" w:asciiTheme="minorEastAsia" w:hAnsiTheme="minorEastAsia" w:eastAsiaTheme="minorEastAsia"/>
                <w:color w:val="auto"/>
                <w:sz w:val="15"/>
                <w:szCs w:val="15"/>
                <w:highlight w:val="none"/>
                <w:lang w:eastAsia="zh-CN"/>
              </w:rPr>
            </w:pPr>
          </w:p>
        </w:tc>
      </w:tr>
      <w:tr w14:paraId="0325C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8" w:hRule="atLeast"/>
          <w:jc w:val="center"/>
        </w:trPr>
        <w:tc>
          <w:tcPr>
            <w:tcW w:w="610" w:type="dxa"/>
            <w:shd w:val="clear" w:color="auto" w:fill="auto"/>
            <w:vAlign w:val="center"/>
          </w:tcPr>
          <w:p w14:paraId="387E073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382B7235">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未按照公共汽电车车身户外广告设置方案设置户外广告</w:t>
            </w:r>
          </w:p>
        </w:tc>
        <w:tc>
          <w:tcPr>
            <w:tcW w:w="2789" w:type="dxa"/>
            <w:gridSpan w:val="2"/>
            <w:shd w:val="clear" w:color="auto" w:fill="auto"/>
            <w:vAlign w:val="center"/>
          </w:tcPr>
          <w:p w14:paraId="5E81E66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14:paraId="69EF009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处罚条款：第五十一条，责令限期改正；逾期不改正的，按照每辆车五千元处以罚款。</w:t>
            </w:r>
          </w:p>
        </w:tc>
        <w:tc>
          <w:tcPr>
            <w:tcW w:w="851" w:type="dxa"/>
            <w:shd w:val="clear" w:color="auto" w:fill="auto"/>
            <w:vAlign w:val="center"/>
          </w:tcPr>
          <w:p w14:paraId="4D9514F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5AD421B8">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703B8BBB">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1AA32A24">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1982" w:type="dxa"/>
            <w:gridSpan w:val="2"/>
            <w:shd w:val="clear" w:color="auto" w:fill="auto"/>
            <w:vAlign w:val="center"/>
          </w:tcPr>
          <w:p w14:paraId="3C1D6D85">
            <w:pPr>
              <w:spacing w:line="232" w:lineRule="exact"/>
              <w:rPr>
                <w:rFonts w:cs="宋体" w:asciiTheme="minorEastAsia" w:hAnsiTheme="minorEastAsia" w:eastAsiaTheme="minorEastAsia"/>
                <w:color w:val="auto"/>
                <w:kern w:val="0"/>
                <w:sz w:val="15"/>
                <w:szCs w:val="15"/>
                <w:highlight w:val="none"/>
              </w:rPr>
            </w:pPr>
          </w:p>
        </w:tc>
      </w:tr>
      <w:tr w14:paraId="17815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80" w:hRule="atLeast"/>
          <w:jc w:val="center"/>
        </w:trPr>
        <w:tc>
          <w:tcPr>
            <w:tcW w:w="610" w:type="dxa"/>
            <w:shd w:val="clear" w:color="auto" w:fill="auto"/>
            <w:vAlign w:val="center"/>
          </w:tcPr>
          <w:p w14:paraId="6DC4B26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44367368">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在非公共汽电车车身上设置广告</w:t>
            </w:r>
          </w:p>
        </w:tc>
        <w:tc>
          <w:tcPr>
            <w:tcW w:w="2789" w:type="dxa"/>
            <w:gridSpan w:val="2"/>
            <w:shd w:val="clear" w:color="auto" w:fill="auto"/>
            <w:vAlign w:val="center"/>
          </w:tcPr>
          <w:p w14:paraId="02EBF99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w:t>
            </w:r>
          </w:p>
          <w:p w14:paraId="0FFBDD4B">
            <w:pPr>
              <w:spacing w:line="232" w:lineRule="exact"/>
              <w:rPr>
                <w:rFonts w:asciiTheme="minorEastAsia" w:hAnsiTheme="minorEastAsia" w:eastAsiaTheme="minorEastAsia"/>
                <w:color w:val="auto"/>
                <w:spacing w:val="-6"/>
                <w:sz w:val="15"/>
                <w:szCs w:val="15"/>
                <w:highlight w:val="none"/>
              </w:rPr>
            </w:pPr>
            <w:r>
              <w:rPr>
                <w:rFonts w:hint="eastAsia" w:asciiTheme="minorEastAsia" w:hAnsiTheme="minorEastAsia" w:eastAsiaTheme="minorEastAsia"/>
                <w:color w:val="auto"/>
                <w:spacing w:val="-6"/>
                <w:sz w:val="15"/>
                <w:szCs w:val="15"/>
                <w:highlight w:val="none"/>
              </w:rPr>
              <w:t>处罚条款：第五十一条，责令限期改正；逾期不改正的，按照每辆车五千元处以罚款。</w:t>
            </w:r>
          </w:p>
        </w:tc>
        <w:tc>
          <w:tcPr>
            <w:tcW w:w="851" w:type="dxa"/>
            <w:shd w:val="clear" w:color="auto" w:fill="auto"/>
            <w:vAlign w:val="center"/>
          </w:tcPr>
          <w:p w14:paraId="440F305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57C61DA0">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4D5EB2EB">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21AEBF2B">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1982" w:type="dxa"/>
            <w:gridSpan w:val="2"/>
            <w:shd w:val="clear" w:color="auto" w:fill="auto"/>
            <w:vAlign w:val="center"/>
          </w:tcPr>
          <w:p w14:paraId="66381662">
            <w:pPr>
              <w:spacing w:line="232" w:lineRule="exact"/>
              <w:rPr>
                <w:rFonts w:cs="宋体" w:asciiTheme="minorEastAsia" w:hAnsiTheme="minorEastAsia" w:eastAsiaTheme="minorEastAsia"/>
                <w:color w:val="auto"/>
                <w:kern w:val="0"/>
                <w:sz w:val="15"/>
                <w:szCs w:val="15"/>
                <w:highlight w:val="none"/>
              </w:rPr>
            </w:pPr>
          </w:p>
        </w:tc>
      </w:tr>
      <w:tr w14:paraId="465EA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11" w:hRule="atLeast"/>
          <w:jc w:val="center"/>
        </w:trPr>
        <w:tc>
          <w:tcPr>
            <w:tcW w:w="610" w:type="dxa"/>
            <w:shd w:val="clear" w:color="auto" w:fill="auto"/>
            <w:vAlign w:val="center"/>
          </w:tcPr>
          <w:p w14:paraId="1880027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14:paraId="2D3F23F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公交候车亭户外广告设施不符合设置方案</w:t>
            </w:r>
          </w:p>
          <w:p w14:paraId="6EEC1942">
            <w:pPr>
              <w:spacing w:line="232" w:lineRule="exact"/>
              <w:rPr>
                <w:rFonts w:cs="宋体" w:asciiTheme="minorEastAsia" w:hAnsiTheme="minorEastAsia" w:eastAsiaTheme="minorEastAsia"/>
                <w:color w:val="auto"/>
                <w:kern w:val="0"/>
                <w:sz w:val="15"/>
                <w:szCs w:val="15"/>
                <w:highlight w:val="none"/>
              </w:rPr>
            </w:pPr>
          </w:p>
        </w:tc>
        <w:tc>
          <w:tcPr>
            <w:tcW w:w="2789" w:type="dxa"/>
            <w:gridSpan w:val="2"/>
            <w:shd w:val="clear" w:color="auto" w:fill="auto"/>
            <w:vAlign w:val="center"/>
          </w:tcPr>
          <w:p w14:paraId="78174CD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违反条款：第二十七条第二款。</w:t>
            </w:r>
          </w:p>
          <w:p w14:paraId="1C34CFC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处罚条款：第五十二条，责令限期改正；逾期不改正的，按照每个公交候车亭五千元处以罚款。</w:t>
            </w:r>
          </w:p>
        </w:tc>
        <w:tc>
          <w:tcPr>
            <w:tcW w:w="851" w:type="dxa"/>
            <w:shd w:val="clear" w:color="auto" w:fill="auto"/>
            <w:vAlign w:val="center"/>
          </w:tcPr>
          <w:p w14:paraId="7ECBAA6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416ABBE8">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1DB62ADA">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3E4F05B7">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罚款数额＝5000×N（N为公交候车亭数）</w:t>
            </w:r>
          </w:p>
        </w:tc>
        <w:tc>
          <w:tcPr>
            <w:tcW w:w="1982" w:type="dxa"/>
            <w:gridSpan w:val="2"/>
            <w:shd w:val="clear" w:color="auto" w:fill="auto"/>
            <w:vAlign w:val="center"/>
          </w:tcPr>
          <w:p w14:paraId="11E4F97A">
            <w:pPr>
              <w:spacing w:line="232" w:lineRule="exact"/>
              <w:rPr>
                <w:rFonts w:cs="宋体" w:asciiTheme="minorEastAsia" w:hAnsiTheme="minorEastAsia" w:eastAsiaTheme="minorEastAsia"/>
                <w:color w:val="auto"/>
                <w:kern w:val="0"/>
                <w:sz w:val="15"/>
                <w:szCs w:val="15"/>
                <w:highlight w:val="none"/>
              </w:rPr>
            </w:pPr>
          </w:p>
        </w:tc>
      </w:tr>
      <w:tr w14:paraId="63AA2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15" w:hRule="atLeast"/>
          <w:jc w:val="center"/>
        </w:trPr>
        <w:tc>
          <w:tcPr>
            <w:tcW w:w="610" w:type="dxa"/>
            <w:shd w:val="clear" w:color="auto" w:fill="auto"/>
            <w:vAlign w:val="center"/>
          </w:tcPr>
          <w:p w14:paraId="02BECC5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14:paraId="38A2A6F3">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设置的车身标识不符合要求</w:t>
            </w:r>
          </w:p>
        </w:tc>
        <w:tc>
          <w:tcPr>
            <w:tcW w:w="2789" w:type="dxa"/>
            <w:gridSpan w:val="2"/>
            <w:shd w:val="clear" w:color="auto" w:fill="auto"/>
            <w:vAlign w:val="center"/>
          </w:tcPr>
          <w:p w14:paraId="7E3D453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w:t>
            </w:r>
          </w:p>
          <w:p w14:paraId="53BE5E3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处罚条款：第五十三条，责令限期改正；逾期不改正的，按照每辆车二千元处以罚款。</w:t>
            </w:r>
          </w:p>
        </w:tc>
        <w:tc>
          <w:tcPr>
            <w:tcW w:w="851" w:type="dxa"/>
            <w:shd w:val="clear" w:color="auto" w:fill="auto"/>
            <w:vAlign w:val="center"/>
          </w:tcPr>
          <w:p w14:paraId="381F9F5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EF202DB">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59B97DBF">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13E1920C">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罚款数额＝2000×N（N为车辆数）</w:t>
            </w:r>
          </w:p>
        </w:tc>
        <w:tc>
          <w:tcPr>
            <w:tcW w:w="1982" w:type="dxa"/>
            <w:gridSpan w:val="2"/>
            <w:shd w:val="clear" w:color="auto" w:fill="auto"/>
            <w:vAlign w:val="center"/>
          </w:tcPr>
          <w:p w14:paraId="55C1D253">
            <w:pPr>
              <w:spacing w:line="232" w:lineRule="exact"/>
              <w:rPr>
                <w:rFonts w:cs="宋体" w:asciiTheme="minorEastAsia" w:hAnsiTheme="minorEastAsia" w:eastAsiaTheme="minorEastAsia"/>
                <w:color w:val="auto"/>
                <w:kern w:val="0"/>
                <w:sz w:val="15"/>
                <w:szCs w:val="15"/>
                <w:highlight w:val="none"/>
              </w:rPr>
            </w:pPr>
          </w:p>
        </w:tc>
      </w:tr>
      <w:tr w14:paraId="280F9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28" w:hRule="atLeast"/>
          <w:jc w:val="center"/>
        </w:trPr>
        <w:tc>
          <w:tcPr>
            <w:tcW w:w="610" w:type="dxa"/>
            <w:shd w:val="clear" w:color="auto" w:fill="auto"/>
            <w:vAlign w:val="center"/>
          </w:tcPr>
          <w:p w14:paraId="03DE9D8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14:paraId="2EC5FF00">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未经许可设置标语宣传品</w:t>
            </w:r>
          </w:p>
        </w:tc>
        <w:tc>
          <w:tcPr>
            <w:tcW w:w="2789" w:type="dxa"/>
            <w:gridSpan w:val="2"/>
            <w:shd w:val="clear" w:color="auto" w:fill="auto"/>
            <w:vAlign w:val="center"/>
          </w:tcPr>
          <w:p w14:paraId="6C30353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w:t>
            </w:r>
          </w:p>
          <w:p w14:paraId="6C753B7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14:paraId="0764646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3DFC8FF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592097C">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1.利用交通、照明、电力、通信、邮政、环境卫生等公共设施设置的，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2；2.影响设施载体正常使用的，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2；3.未经许可设置标语宣传品引发有关事故的，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4AEE087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04628B0D">
            <w:pPr>
              <w:spacing w:line="232" w:lineRule="exact"/>
              <w:rPr>
                <w:rFonts w:asciiTheme="minorEastAsia" w:hAnsiTheme="minorEastAsia" w:eastAsiaTheme="minorEastAsia"/>
                <w:color w:val="auto"/>
                <w:sz w:val="15"/>
                <w:szCs w:val="15"/>
                <w:highlight w:val="none"/>
              </w:rPr>
            </w:pPr>
          </w:p>
        </w:tc>
      </w:tr>
      <w:tr w14:paraId="50EAB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0" w:hRule="atLeast"/>
          <w:jc w:val="center"/>
        </w:trPr>
        <w:tc>
          <w:tcPr>
            <w:tcW w:w="610" w:type="dxa"/>
            <w:shd w:val="clear" w:color="auto" w:fill="auto"/>
            <w:vAlign w:val="center"/>
          </w:tcPr>
          <w:p w14:paraId="67FC4FF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14:paraId="14D1B706">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设置标语宣传品不符合相关要求</w:t>
            </w:r>
          </w:p>
        </w:tc>
        <w:tc>
          <w:tcPr>
            <w:tcW w:w="2789" w:type="dxa"/>
            <w:gridSpan w:val="2"/>
            <w:shd w:val="clear" w:color="auto" w:fill="auto"/>
            <w:vAlign w:val="center"/>
          </w:tcPr>
          <w:p w14:paraId="1E87358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违反条款：第三十七条、第三十八条、第三十九条；（根据不同情形选择适用）</w:t>
            </w:r>
          </w:p>
          <w:p w14:paraId="43B8431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14:paraId="64B744F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212F801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D2CDA4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1.设置2个不符合要求标语宣传品的，</w:t>
            </w:r>
            <w:r>
              <w:rPr>
                <w:rFonts w:hint="eastAsia" w:asciiTheme="minorEastAsia" w:hAnsiTheme="minorEastAsia" w:eastAsiaTheme="minorEastAsia"/>
                <w:strike w:val="0"/>
                <w:dstrike w:val="0"/>
                <w:color w:val="auto"/>
                <w:sz w:val="15"/>
                <w:szCs w:val="15"/>
                <w:highlight w:val="none"/>
                <w:lang w:eastAsia="zh-CN"/>
              </w:rPr>
              <w:t>系数</w:t>
            </w:r>
            <w:r>
              <w:rPr>
                <w:rFonts w:hint="eastAsia" w:asciiTheme="minorEastAsia" w:hAnsiTheme="minorEastAsia" w:eastAsiaTheme="minorEastAsia"/>
                <w:strike w:val="0"/>
                <w:dstrike w:val="0"/>
                <w:color w:val="auto"/>
                <w:sz w:val="15"/>
                <w:szCs w:val="15"/>
                <w:highlight w:val="none"/>
              </w:rPr>
              <w:t>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2.影响设施载体正常使用的，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2；3.设置标语宣传品不符合要求引发有关事故的，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55C4A7C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363CB0D9">
            <w:pPr>
              <w:spacing w:line="232" w:lineRule="exact"/>
              <w:rPr>
                <w:rFonts w:asciiTheme="minorEastAsia" w:hAnsiTheme="minorEastAsia" w:eastAsiaTheme="minorEastAsia"/>
                <w:color w:val="auto"/>
                <w:sz w:val="15"/>
                <w:szCs w:val="15"/>
                <w:highlight w:val="none"/>
              </w:rPr>
            </w:pPr>
          </w:p>
        </w:tc>
      </w:tr>
      <w:tr w14:paraId="2E99C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293" w:hRule="atLeast"/>
          <w:jc w:val="center"/>
        </w:trPr>
        <w:tc>
          <w:tcPr>
            <w:tcW w:w="610" w:type="dxa"/>
            <w:shd w:val="clear" w:color="auto" w:fill="auto"/>
            <w:vAlign w:val="center"/>
          </w:tcPr>
          <w:p w14:paraId="3A4D74E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14:paraId="2788E3E3">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所有人未履行安全管理责任</w:t>
            </w:r>
          </w:p>
        </w:tc>
        <w:tc>
          <w:tcPr>
            <w:tcW w:w="2789" w:type="dxa"/>
            <w:gridSpan w:val="2"/>
            <w:shd w:val="clear" w:color="auto" w:fill="auto"/>
            <w:vAlign w:val="center"/>
          </w:tcPr>
          <w:p w14:paraId="5391FF31">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违反条款：第四十条第一款第(一)项、第(三)项、第(四)项、第(五)项；（根据不同情形选择适用）</w:t>
            </w:r>
          </w:p>
          <w:p w14:paraId="510B8C37">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14:paraId="53559057">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26741529">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5D3AC09">
            <w:pPr>
              <w:spacing w:line="232" w:lineRule="exact"/>
              <w:rPr>
                <w:rFonts w:hint="default" w:eastAsiaTheme="minorEastAsia"/>
                <w:color w:val="auto"/>
                <w:highlight w:val="none"/>
                <w:lang w:val="en-US"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2；3.距地十米以上的户外广告设施、牌匾标识，</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4.其他存在严重安全隐患或者造成安全事故的，系数9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5A1BD73D">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1BC135E7">
            <w:pPr>
              <w:spacing w:line="204"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tc>
      </w:tr>
      <w:tr w14:paraId="09115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93" w:hRule="atLeast"/>
          <w:jc w:val="center"/>
        </w:trPr>
        <w:tc>
          <w:tcPr>
            <w:tcW w:w="610" w:type="dxa"/>
            <w:shd w:val="clear" w:color="auto" w:fill="auto"/>
            <w:vAlign w:val="center"/>
          </w:tcPr>
          <w:p w14:paraId="21476BE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14:paraId="2A743B9B">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未定期对大型（或者距地十米以上的）户外广告设施进行安全鉴定</w:t>
            </w:r>
          </w:p>
        </w:tc>
        <w:tc>
          <w:tcPr>
            <w:tcW w:w="2789" w:type="dxa"/>
            <w:gridSpan w:val="2"/>
            <w:shd w:val="clear" w:color="auto" w:fill="auto"/>
            <w:vAlign w:val="center"/>
          </w:tcPr>
          <w:p w14:paraId="06DE98E6">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14:paraId="10AC8D9D">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处罚条款：第五十五条第二款，责令限期改正；逾期不改正的，按照违法设置户外广告设施的行为处理，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《北京市市容环境卫生条例》第三十八条第二款，责令限期拆除，逾期未拆除的，强制拆除，并可处1万元以上10万元以下罚款。</w:t>
            </w:r>
          </w:p>
        </w:tc>
        <w:tc>
          <w:tcPr>
            <w:tcW w:w="851" w:type="dxa"/>
            <w:shd w:val="clear" w:color="auto" w:fill="auto"/>
            <w:vAlign w:val="center"/>
          </w:tcPr>
          <w:p w14:paraId="600F6CE3">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060C3F3">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718A924">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2；2.因未安全鉴定引发户外广告设施掉落等行为影响公共安全的，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1EF65379">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750A2D8B">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14:paraId="6C7A89C9">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14:paraId="59F428F7">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实施处罚援引法律依据时，应当同时援引《条例》第五十五条第二款，以及《北京市市容环境卫生条例》第三十八条第二款规定</w:t>
            </w:r>
            <w:r>
              <w:rPr>
                <w:rFonts w:hint="eastAsia" w:asciiTheme="minorEastAsia" w:hAnsiTheme="minorEastAsia" w:eastAsiaTheme="minorEastAsia"/>
                <w:color w:val="auto"/>
                <w:sz w:val="15"/>
                <w:szCs w:val="15"/>
                <w:highlight w:val="none"/>
                <w:lang w:eastAsia="zh-CN"/>
              </w:rPr>
              <w:t>。</w:t>
            </w:r>
          </w:p>
        </w:tc>
      </w:tr>
      <w:tr w14:paraId="0A9D3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58" w:hRule="atLeast"/>
          <w:jc w:val="center"/>
        </w:trPr>
        <w:tc>
          <w:tcPr>
            <w:tcW w:w="610" w:type="dxa"/>
            <w:shd w:val="clear" w:color="auto" w:fill="auto"/>
            <w:vAlign w:val="center"/>
          </w:tcPr>
          <w:p w14:paraId="4DAD533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29B99B36">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未定期对大型（或者距地十米以上的）固定式牌匾标识进行安全鉴定</w:t>
            </w:r>
          </w:p>
        </w:tc>
        <w:tc>
          <w:tcPr>
            <w:tcW w:w="2789" w:type="dxa"/>
            <w:gridSpan w:val="2"/>
            <w:shd w:val="clear" w:color="auto" w:fill="auto"/>
            <w:vAlign w:val="center"/>
          </w:tcPr>
          <w:p w14:paraId="46481F65">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14:paraId="4870440D">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处罚条款：第五十五条第二款，责令限期改正；逾期不改正的，按照违法设置固定式牌匾标识的行为处理，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《北京市市容环境卫生条例》第三十九条第一款，责令限期改正，逾期不改正的，予以强制拆除，并可处500元以上5000元以下罚款。</w:t>
            </w:r>
          </w:p>
        </w:tc>
        <w:tc>
          <w:tcPr>
            <w:tcW w:w="851" w:type="dxa"/>
            <w:shd w:val="clear" w:color="auto" w:fill="auto"/>
            <w:vAlign w:val="center"/>
          </w:tcPr>
          <w:p w14:paraId="25E59E7F">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2F4BB6A1">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D0C7D4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1.设置在车站、机场、居民小区、医院、学校、体育场馆、影剧院、繁华商业街区、旅游景区等人口集中地区的，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2；2.因未安全鉴定引发牌匾标识掉落等行为影响公共安全的，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767E1B21">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6143EBBD">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14:paraId="2FF19027">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实施处罚援引法律依据时，应当同时援引《条例》第五十五条第二款，以及《北京市市容环境卫生条例》第三十九条第一款规定</w:t>
            </w:r>
            <w:r>
              <w:rPr>
                <w:rFonts w:hint="eastAsia" w:asciiTheme="minorEastAsia" w:hAnsiTheme="minorEastAsia" w:eastAsiaTheme="minorEastAsia"/>
                <w:color w:val="auto"/>
                <w:sz w:val="15"/>
                <w:szCs w:val="15"/>
                <w:highlight w:val="none"/>
                <w:lang w:eastAsia="zh-CN"/>
              </w:rPr>
              <w:t>。</w:t>
            </w:r>
          </w:p>
        </w:tc>
      </w:tr>
      <w:tr w14:paraId="159AA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231" w:hRule="atLeast"/>
          <w:jc w:val="center"/>
        </w:trPr>
        <w:tc>
          <w:tcPr>
            <w:tcW w:w="610" w:type="dxa"/>
            <w:shd w:val="clear" w:color="auto" w:fill="auto"/>
            <w:vAlign w:val="center"/>
          </w:tcPr>
          <w:p w14:paraId="46D8212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1BA653F1">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所有人未履行日常维护责任</w:t>
            </w:r>
          </w:p>
        </w:tc>
        <w:tc>
          <w:tcPr>
            <w:tcW w:w="2789" w:type="dxa"/>
            <w:gridSpan w:val="2"/>
            <w:shd w:val="clear" w:color="auto" w:fill="auto"/>
            <w:vAlign w:val="center"/>
          </w:tcPr>
          <w:p w14:paraId="121BDAAB">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违反条款：第四十一条第(一)项、第（二）项、第(三)项、第(四)项；（根据不同情形选择适用）</w:t>
            </w:r>
          </w:p>
          <w:p w14:paraId="0587FBF5">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14:paraId="7654DB03">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47AC98D4">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2EEB54D">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2；3.距地十米以上的户外广告设施、牌匾标识，</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775625C7">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7C163E23">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14:paraId="69888DFD">
            <w:pPr>
              <w:spacing w:line="232" w:lineRule="exact"/>
              <w:rPr>
                <w:rFonts w:asciiTheme="minorEastAsia" w:hAnsiTheme="minorEastAsia" w:eastAsiaTheme="minorEastAsia"/>
                <w:color w:val="auto"/>
                <w:sz w:val="15"/>
                <w:szCs w:val="15"/>
                <w:highlight w:val="none"/>
              </w:rPr>
            </w:pPr>
          </w:p>
        </w:tc>
      </w:tr>
      <w:tr w14:paraId="256EB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72" w:hRule="atLeast"/>
          <w:jc w:val="center"/>
        </w:trPr>
        <w:tc>
          <w:tcPr>
            <w:tcW w:w="14203" w:type="dxa"/>
            <w:gridSpan w:val="13"/>
            <w:shd w:val="clear" w:color="auto" w:fill="auto"/>
            <w:vAlign w:val="center"/>
          </w:tcPr>
          <w:p w14:paraId="24F18943">
            <w:pPr>
              <w:pStyle w:val="3"/>
              <w:widowControl w:val="0"/>
              <w:spacing w:line="232" w:lineRule="exact"/>
              <w:jc w:val="center"/>
              <w:rPr>
                <w:rFonts w:asciiTheme="minorEastAsia" w:hAnsiTheme="minorEastAsia" w:eastAsiaTheme="minorEastAsia"/>
                <w:color w:val="auto"/>
                <w:sz w:val="15"/>
                <w:szCs w:val="15"/>
                <w:highlight w:val="none"/>
              </w:rPr>
            </w:pPr>
            <w:bookmarkStart w:id="25" w:name="_Toc295250662"/>
            <w:bookmarkStart w:id="26" w:name="_Toc1250529057"/>
            <w:bookmarkStart w:id="27" w:name="_Toc110851445"/>
            <w:r>
              <w:rPr>
                <w:rFonts w:hint="eastAsia" w:asciiTheme="minorEastAsia" w:hAnsiTheme="minorEastAsia" w:eastAsiaTheme="minorEastAsia"/>
                <w:color w:val="auto"/>
                <w:sz w:val="21"/>
                <w:szCs w:val="21"/>
                <w:highlight w:val="none"/>
              </w:rPr>
              <w:t>《北京市标语宣传品设置管理规定》案由6项</w:t>
            </w:r>
            <w:bookmarkEnd w:id="25"/>
            <w:bookmarkEnd w:id="26"/>
            <w:bookmarkEnd w:id="27"/>
          </w:p>
        </w:tc>
      </w:tr>
      <w:tr w14:paraId="00EBF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4" w:hRule="atLeast"/>
          <w:jc w:val="center"/>
        </w:trPr>
        <w:tc>
          <w:tcPr>
            <w:tcW w:w="610" w:type="dxa"/>
            <w:shd w:val="clear" w:color="auto" w:fill="auto"/>
            <w:vAlign w:val="center"/>
          </w:tcPr>
          <w:p w14:paraId="39CFADA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2E8651E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标语宣传品含有商业广告内容</w:t>
            </w:r>
          </w:p>
        </w:tc>
        <w:tc>
          <w:tcPr>
            <w:tcW w:w="2789" w:type="dxa"/>
            <w:gridSpan w:val="2"/>
            <w:shd w:val="clear" w:color="auto" w:fill="auto"/>
            <w:vAlign w:val="center"/>
          </w:tcPr>
          <w:p w14:paraId="31F6E59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14:paraId="6A20A9B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14:paraId="3FBD46D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3150F86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6F321CC">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72D3B76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C6B9A9E">
            <w:pPr>
              <w:spacing w:line="232" w:lineRule="exact"/>
              <w:rPr>
                <w:rFonts w:cs="宋体" w:asciiTheme="minorEastAsia" w:hAnsiTheme="minorEastAsia" w:eastAsiaTheme="minorEastAsia"/>
                <w:color w:val="auto"/>
                <w:kern w:val="0"/>
                <w:sz w:val="15"/>
                <w:szCs w:val="15"/>
                <w:highlight w:val="none"/>
              </w:rPr>
            </w:pPr>
          </w:p>
        </w:tc>
      </w:tr>
      <w:tr w14:paraId="4B1D4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92" w:hRule="atLeast"/>
          <w:jc w:val="center"/>
        </w:trPr>
        <w:tc>
          <w:tcPr>
            <w:tcW w:w="610" w:type="dxa"/>
            <w:shd w:val="clear" w:color="auto" w:fill="auto"/>
            <w:vAlign w:val="center"/>
          </w:tcPr>
          <w:p w14:paraId="5B02227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3BA97D0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改变固定宣传设施的使用性质用于商业广告</w:t>
            </w:r>
          </w:p>
        </w:tc>
        <w:tc>
          <w:tcPr>
            <w:tcW w:w="2789" w:type="dxa"/>
            <w:gridSpan w:val="2"/>
            <w:shd w:val="clear" w:color="auto" w:fill="auto"/>
            <w:vAlign w:val="center"/>
          </w:tcPr>
          <w:p w14:paraId="49175E1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14:paraId="17A310C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14:paraId="3D592EF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2FC777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193B0D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21E756E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444348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处罚额度决定的，说明理由</w:t>
            </w:r>
            <w:r>
              <w:rPr>
                <w:rFonts w:hint="eastAsia" w:cs="宋体" w:asciiTheme="minorEastAsia" w:hAnsiTheme="minorEastAsia" w:eastAsiaTheme="minorEastAsia"/>
                <w:color w:val="auto"/>
                <w:kern w:val="0"/>
                <w:sz w:val="15"/>
                <w:szCs w:val="15"/>
                <w:highlight w:val="none"/>
                <w:lang w:eastAsia="zh-CN"/>
              </w:rPr>
              <w:t>并</w:t>
            </w:r>
            <w:r>
              <w:rPr>
                <w:rFonts w:hint="eastAsia" w:cs="宋体" w:asciiTheme="minorEastAsia" w:hAnsiTheme="minorEastAsia" w:eastAsiaTheme="minorEastAsia"/>
                <w:color w:val="auto"/>
                <w:kern w:val="0"/>
                <w:sz w:val="15"/>
                <w:szCs w:val="15"/>
                <w:highlight w:val="none"/>
              </w:rPr>
              <w:t>报案审会决定</w:t>
            </w:r>
            <w:r>
              <w:rPr>
                <w:rFonts w:cs="宋体" w:asciiTheme="minorEastAsia" w:hAnsiTheme="minorEastAsia" w:eastAsiaTheme="minorEastAsia"/>
                <w:color w:val="auto"/>
                <w:kern w:val="0"/>
                <w:sz w:val="15"/>
                <w:szCs w:val="15"/>
                <w:highlight w:val="none"/>
              </w:rPr>
              <w:t>。</w:t>
            </w:r>
          </w:p>
        </w:tc>
      </w:tr>
      <w:tr w14:paraId="4C9DD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78" w:hRule="atLeast"/>
          <w:jc w:val="center"/>
        </w:trPr>
        <w:tc>
          <w:tcPr>
            <w:tcW w:w="610" w:type="dxa"/>
            <w:shd w:val="clear" w:color="auto" w:fill="auto"/>
            <w:vAlign w:val="center"/>
          </w:tcPr>
          <w:p w14:paraId="4DFF22C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203F406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未经批准设置标语宣传品</w:t>
            </w:r>
          </w:p>
        </w:tc>
        <w:tc>
          <w:tcPr>
            <w:tcW w:w="2789" w:type="dxa"/>
            <w:gridSpan w:val="2"/>
            <w:shd w:val="clear" w:color="auto" w:fill="auto"/>
            <w:vAlign w:val="center"/>
          </w:tcPr>
          <w:p w14:paraId="3367C20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w:t>
            </w:r>
          </w:p>
          <w:p w14:paraId="7950D00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14:paraId="2FB3599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2293EC5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89DE4A7">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1.利用交通、照明、电力、通信、邮政、环境卫生等公共设施设置的，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2；2.影响设施载体正常使用的，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2；3.未经许可设置标语宣传品引发有关事故的，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75D740A2">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17706379">
            <w:pPr>
              <w:spacing w:line="232" w:lineRule="exact"/>
              <w:rPr>
                <w:rFonts w:cs="宋体" w:asciiTheme="minorEastAsia" w:hAnsiTheme="minorEastAsia" w:eastAsiaTheme="minorEastAsia"/>
                <w:color w:val="auto"/>
                <w:kern w:val="0"/>
                <w:sz w:val="15"/>
                <w:szCs w:val="15"/>
                <w:highlight w:val="none"/>
              </w:rPr>
            </w:pPr>
          </w:p>
        </w:tc>
      </w:tr>
      <w:tr w14:paraId="66314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50" w:hRule="atLeast"/>
          <w:jc w:val="center"/>
        </w:trPr>
        <w:tc>
          <w:tcPr>
            <w:tcW w:w="610" w:type="dxa"/>
            <w:shd w:val="clear" w:color="auto" w:fill="auto"/>
            <w:vAlign w:val="center"/>
          </w:tcPr>
          <w:p w14:paraId="3FAF9A3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48C3E98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未按批准要求设置标语宣传品</w:t>
            </w:r>
          </w:p>
        </w:tc>
        <w:tc>
          <w:tcPr>
            <w:tcW w:w="2789" w:type="dxa"/>
            <w:gridSpan w:val="2"/>
            <w:shd w:val="clear" w:color="auto" w:fill="auto"/>
            <w:vAlign w:val="center"/>
          </w:tcPr>
          <w:p w14:paraId="6433EFF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违反条款：第十四条；</w:t>
            </w:r>
          </w:p>
          <w:p w14:paraId="5B9B9AF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14:paraId="1439BBF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78F0DDD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FFA10BF">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1.设置2个不符合要求标语宣传品的，系数2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3个的，系数3；4个的，系数4；5个的，系数5；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color w:val="auto"/>
                <w:sz w:val="15"/>
                <w:szCs w:val="15"/>
                <w:highlight w:val="none"/>
              </w:rPr>
              <w:t>；2.影响设施载体正常使用的，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2；3.设置标语宣传品不符合要求引发有关事故的，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44FDF9C7">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010C222B">
            <w:pPr>
              <w:spacing w:line="232" w:lineRule="exact"/>
              <w:rPr>
                <w:rFonts w:cs="宋体" w:asciiTheme="minorEastAsia" w:hAnsiTheme="minorEastAsia" w:eastAsiaTheme="minorEastAsia"/>
                <w:color w:val="auto"/>
                <w:kern w:val="0"/>
                <w:sz w:val="15"/>
                <w:szCs w:val="15"/>
                <w:highlight w:val="none"/>
              </w:rPr>
            </w:pPr>
          </w:p>
        </w:tc>
      </w:tr>
      <w:tr w14:paraId="49EF2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25" w:hRule="atLeast"/>
          <w:jc w:val="center"/>
        </w:trPr>
        <w:tc>
          <w:tcPr>
            <w:tcW w:w="610" w:type="dxa"/>
            <w:shd w:val="clear" w:color="auto" w:fill="auto"/>
            <w:vAlign w:val="center"/>
          </w:tcPr>
          <w:p w14:paraId="2B675F0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013ABCB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未按规定管护宣传设施或者标语宣传品</w:t>
            </w:r>
          </w:p>
        </w:tc>
        <w:tc>
          <w:tcPr>
            <w:tcW w:w="2789" w:type="dxa"/>
            <w:gridSpan w:val="2"/>
            <w:shd w:val="clear" w:color="auto" w:fill="auto"/>
            <w:vAlign w:val="center"/>
          </w:tcPr>
          <w:p w14:paraId="251E511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14:paraId="69EEB1C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14:paraId="430FC2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29E39F5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C0944F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车站、机场、居民小区、医院、学校、体育场馆、影剧院、繁华商业街区、旅游景区等人口集中地区的固定宣传设施不安全不牢固的，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5；上述区域污损、残缺的，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11B4A37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5231F3E">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14:paraId="43F88AE4">
            <w:pPr>
              <w:spacing w:line="232" w:lineRule="exact"/>
              <w:rPr>
                <w:rFonts w:cs="宋体" w:asciiTheme="minorEastAsia" w:hAnsiTheme="minorEastAsia" w:eastAsiaTheme="minorEastAsia"/>
                <w:color w:val="auto"/>
                <w:kern w:val="0"/>
                <w:sz w:val="15"/>
                <w:szCs w:val="15"/>
                <w:highlight w:val="none"/>
              </w:rPr>
            </w:pPr>
          </w:p>
        </w:tc>
      </w:tr>
      <w:tr w14:paraId="6759E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92" w:hRule="atLeast"/>
          <w:jc w:val="center"/>
        </w:trPr>
        <w:tc>
          <w:tcPr>
            <w:tcW w:w="610" w:type="dxa"/>
            <w:shd w:val="clear" w:color="auto" w:fill="auto"/>
            <w:vAlign w:val="center"/>
          </w:tcPr>
          <w:p w14:paraId="1172557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548B9A7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未及时撤除标语宣传品</w:t>
            </w:r>
          </w:p>
        </w:tc>
        <w:tc>
          <w:tcPr>
            <w:tcW w:w="2789" w:type="dxa"/>
            <w:gridSpan w:val="2"/>
            <w:shd w:val="clear" w:color="auto" w:fill="auto"/>
            <w:vAlign w:val="center"/>
          </w:tcPr>
          <w:p w14:paraId="6D6986F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14:paraId="7EE0476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14:paraId="60BBD43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10B774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499B2DA">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42BDFBF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237B7A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处罚额度决定的，说明理由</w:t>
            </w:r>
            <w:r>
              <w:rPr>
                <w:rFonts w:hint="eastAsia" w:cs="宋体" w:asciiTheme="minorEastAsia" w:hAnsiTheme="minorEastAsia" w:eastAsiaTheme="minorEastAsia"/>
                <w:color w:val="auto"/>
                <w:kern w:val="0"/>
                <w:sz w:val="15"/>
                <w:szCs w:val="15"/>
                <w:highlight w:val="none"/>
                <w:lang w:eastAsia="zh-CN"/>
              </w:rPr>
              <w:t>并</w:t>
            </w:r>
            <w:r>
              <w:rPr>
                <w:rFonts w:hint="eastAsia" w:cs="宋体" w:asciiTheme="minorEastAsia" w:hAnsiTheme="minorEastAsia" w:eastAsiaTheme="minorEastAsia"/>
                <w:color w:val="auto"/>
                <w:kern w:val="0"/>
                <w:sz w:val="15"/>
                <w:szCs w:val="15"/>
                <w:highlight w:val="none"/>
              </w:rPr>
              <w:t>报案审会决定</w:t>
            </w:r>
            <w:r>
              <w:rPr>
                <w:rFonts w:cs="宋体" w:asciiTheme="minorEastAsia" w:hAnsiTheme="minorEastAsia" w:eastAsiaTheme="minorEastAsia"/>
                <w:color w:val="auto"/>
                <w:kern w:val="0"/>
                <w:sz w:val="15"/>
                <w:szCs w:val="15"/>
                <w:highlight w:val="none"/>
              </w:rPr>
              <w:t>。</w:t>
            </w:r>
          </w:p>
        </w:tc>
      </w:tr>
      <w:tr w14:paraId="18FE9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27" w:hRule="atLeast"/>
          <w:jc w:val="center"/>
        </w:trPr>
        <w:tc>
          <w:tcPr>
            <w:tcW w:w="14203" w:type="dxa"/>
            <w:gridSpan w:val="13"/>
            <w:shd w:val="clear" w:color="auto" w:fill="auto"/>
            <w:vAlign w:val="center"/>
          </w:tcPr>
          <w:p w14:paraId="338EEB36">
            <w:pPr>
              <w:pStyle w:val="3"/>
              <w:widowControl w:val="0"/>
              <w:spacing w:line="232" w:lineRule="exact"/>
              <w:jc w:val="center"/>
              <w:rPr>
                <w:rFonts w:asciiTheme="minorEastAsia" w:hAnsiTheme="minorEastAsia" w:eastAsiaTheme="minorEastAsia"/>
                <w:color w:val="auto"/>
                <w:sz w:val="15"/>
                <w:szCs w:val="15"/>
                <w:highlight w:val="none"/>
              </w:rPr>
            </w:pPr>
            <w:bookmarkStart w:id="28" w:name="_Toc110851446"/>
            <w:bookmarkStart w:id="29" w:name="_Toc2072230684"/>
            <w:bookmarkStart w:id="30" w:name="_Toc1032338365"/>
            <w:r>
              <w:rPr>
                <w:rFonts w:hint="eastAsia" w:asciiTheme="minorEastAsia" w:hAnsiTheme="minorEastAsia" w:eastAsiaTheme="minorEastAsia"/>
                <w:color w:val="auto"/>
                <w:sz w:val="21"/>
                <w:szCs w:val="21"/>
                <w:highlight w:val="none"/>
              </w:rPr>
              <w:t>《北京市城市道路和公共场所环境卫生管理若干规定》案由7项</w:t>
            </w:r>
            <w:bookmarkEnd w:id="28"/>
            <w:bookmarkEnd w:id="29"/>
            <w:bookmarkEnd w:id="30"/>
          </w:p>
        </w:tc>
      </w:tr>
      <w:tr w14:paraId="5CD16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86" w:hRule="atLeast"/>
          <w:jc w:val="center"/>
        </w:trPr>
        <w:tc>
          <w:tcPr>
            <w:tcW w:w="610" w:type="dxa"/>
            <w:shd w:val="clear" w:color="auto" w:fill="auto"/>
            <w:vAlign w:val="center"/>
          </w:tcPr>
          <w:p w14:paraId="6182767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57548FC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未按规定清扫保洁</w:t>
            </w:r>
          </w:p>
        </w:tc>
        <w:tc>
          <w:tcPr>
            <w:tcW w:w="2789" w:type="dxa"/>
            <w:gridSpan w:val="2"/>
            <w:shd w:val="clear" w:color="auto" w:fill="auto"/>
            <w:vAlign w:val="center"/>
          </w:tcPr>
          <w:p w14:paraId="5B6505A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shd w:val="clear" w:color="auto" w:fill="auto"/>
            <w:vAlign w:val="center"/>
          </w:tcPr>
          <w:p w14:paraId="4114764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059086B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D92179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1.存在较大隐患或者造成较大社会影响的，系数5-9；2.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07ADC2C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E36DED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根据实际情况，选择对应款项。</w:t>
            </w:r>
          </w:p>
        </w:tc>
      </w:tr>
      <w:tr w14:paraId="6C211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21" w:hRule="atLeast"/>
          <w:jc w:val="center"/>
        </w:trPr>
        <w:tc>
          <w:tcPr>
            <w:tcW w:w="610" w:type="dxa"/>
            <w:shd w:val="clear" w:color="auto" w:fill="auto"/>
            <w:vAlign w:val="center"/>
          </w:tcPr>
          <w:p w14:paraId="317C815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5F3CA0A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不及时清理果皮箱、垃圾箱</w:t>
            </w:r>
          </w:p>
        </w:tc>
        <w:tc>
          <w:tcPr>
            <w:tcW w:w="2789" w:type="dxa"/>
            <w:gridSpan w:val="2"/>
            <w:shd w:val="clear" w:color="auto" w:fill="auto"/>
            <w:vAlign w:val="center"/>
          </w:tcPr>
          <w:p w14:paraId="051901E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14:paraId="3649BB3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76D0097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075A13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1.造成较大社会影响的，系数5-9；2.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7D794CB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DA3257B">
            <w:pPr>
              <w:spacing w:line="232" w:lineRule="exact"/>
              <w:rPr>
                <w:rFonts w:cs="宋体" w:asciiTheme="minorEastAsia" w:hAnsiTheme="minorEastAsia" w:eastAsiaTheme="minorEastAsia"/>
                <w:color w:val="auto"/>
                <w:kern w:val="0"/>
                <w:sz w:val="15"/>
                <w:szCs w:val="15"/>
                <w:highlight w:val="none"/>
              </w:rPr>
            </w:pPr>
          </w:p>
        </w:tc>
      </w:tr>
      <w:tr w14:paraId="1B359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55" w:hRule="atLeast"/>
          <w:jc w:val="center"/>
        </w:trPr>
        <w:tc>
          <w:tcPr>
            <w:tcW w:w="610" w:type="dxa"/>
            <w:shd w:val="clear" w:color="auto" w:fill="auto"/>
            <w:vAlign w:val="center"/>
          </w:tcPr>
          <w:p w14:paraId="256C5D2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230FCF0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未保持果皮箱、垃圾箱箱体整洁</w:t>
            </w:r>
          </w:p>
        </w:tc>
        <w:tc>
          <w:tcPr>
            <w:tcW w:w="2789" w:type="dxa"/>
            <w:gridSpan w:val="2"/>
            <w:shd w:val="clear" w:color="auto" w:fill="auto"/>
            <w:vAlign w:val="center"/>
          </w:tcPr>
          <w:p w14:paraId="66FB479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14:paraId="528122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404636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1BE8CC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1.造成较大社会影响的，系数5-9；2.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35E3EC7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930F172">
            <w:pPr>
              <w:spacing w:line="232" w:lineRule="exact"/>
              <w:rPr>
                <w:rFonts w:cs="宋体" w:asciiTheme="minorEastAsia" w:hAnsiTheme="minorEastAsia" w:eastAsiaTheme="minorEastAsia"/>
                <w:color w:val="auto"/>
                <w:kern w:val="0"/>
                <w:sz w:val="15"/>
                <w:szCs w:val="15"/>
                <w:highlight w:val="none"/>
              </w:rPr>
            </w:pPr>
          </w:p>
        </w:tc>
      </w:tr>
      <w:tr w14:paraId="53B2D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98" w:hRule="atLeast"/>
          <w:jc w:val="center"/>
        </w:trPr>
        <w:tc>
          <w:tcPr>
            <w:tcW w:w="610" w:type="dxa"/>
            <w:shd w:val="clear" w:color="auto" w:fill="auto"/>
            <w:vAlign w:val="center"/>
          </w:tcPr>
          <w:p w14:paraId="058ABE0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5BBDCF1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果皮箱、垃圾箱周围严重脏乱</w:t>
            </w:r>
          </w:p>
        </w:tc>
        <w:tc>
          <w:tcPr>
            <w:tcW w:w="2789" w:type="dxa"/>
            <w:gridSpan w:val="2"/>
            <w:shd w:val="clear" w:color="auto" w:fill="auto"/>
            <w:vAlign w:val="center"/>
          </w:tcPr>
          <w:p w14:paraId="5AC04A0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14:paraId="6AD9D27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0ABB88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46B4DA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1.造成较大社会影响的，系数5-9；2.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638F963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7DFC0D7">
            <w:pPr>
              <w:spacing w:line="232" w:lineRule="exact"/>
              <w:rPr>
                <w:rFonts w:cs="宋体" w:asciiTheme="minorEastAsia" w:hAnsiTheme="minorEastAsia" w:eastAsiaTheme="minorEastAsia"/>
                <w:color w:val="auto"/>
                <w:kern w:val="0"/>
                <w:sz w:val="15"/>
                <w:szCs w:val="15"/>
                <w:highlight w:val="none"/>
              </w:rPr>
            </w:pPr>
          </w:p>
        </w:tc>
      </w:tr>
      <w:tr w14:paraId="680CB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96" w:hRule="atLeast"/>
          <w:jc w:val="center"/>
        </w:trPr>
        <w:tc>
          <w:tcPr>
            <w:tcW w:w="610" w:type="dxa"/>
            <w:shd w:val="clear" w:color="auto" w:fill="auto"/>
            <w:vAlign w:val="center"/>
          </w:tcPr>
          <w:p w14:paraId="73EDBE0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5234401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公共设施管护作业（绿化作业）未按规定清除废弃物</w:t>
            </w:r>
          </w:p>
        </w:tc>
        <w:tc>
          <w:tcPr>
            <w:tcW w:w="2789" w:type="dxa"/>
            <w:gridSpan w:val="2"/>
            <w:shd w:val="clear" w:color="auto" w:fill="auto"/>
            <w:vAlign w:val="center"/>
          </w:tcPr>
          <w:p w14:paraId="5A41116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违反条款：第七条第二款；处罚条款：第十条第（三）项，责令限期清理，并可处500元以上5000元以下罚款。</w:t>
            </w:r>
          </w:p>
        </w:tc>
        <w:tc>
          <w:tcPr>
            <w:tcW w:w="851" w:type="dxa"/>
            <w:shd w:val="clear" w:color="auto" w:fill="auto"/>
            <w:vAlign w:val="center"/>
          </w:tcPr>
          <w:p w14:paraId="2A9F81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7F58B1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648B9C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1.严重影响市容环境卫生或者造成较大社会影响的，系数5-9；2.</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4F56E02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373348F5">
            <w:pPr>
              <w:spacing w:line="232" w:lineRule="exact"/>
              <w:rPr>
                <w:rFonts w:cs="宋体" w:asciiTheme="minorEastAsia" w:hAnsiTheme="minorEastAsia" w:eastAsiaTheme="minorEastAsia"/>
                <w:color w:val="auto"/>
                <w:kern w:val="0"/>
                <w:sz w:val="15"/>
                <w:szCs w:val="15"/>
                <w:highlight w:val="none"/>
              </w:rPr>
            </w:pPr>
          </w:p>
        </w:tc>
      </w:tr>
      <w:tr w14:paraId="3060D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64" w:hRule="atLeast"/>
          <w:jc w:val="center"/>
        </w:trPr>
        <w:tc>
          <w:tcPr>
            <w:tcW w:w="610" w:type="dxa"/>
            <w:shd w:val="clear" w:color="auto" w:fill="auto"/>
            <w:vAlign w:val="center"/>
          </w:tcPr>
          <w:p w14:paraId="440C103A">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7256CB49">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未做好施工期间压尘和清扫保洁</w:t>
            </w:r>
          </w:p>
        </w:tc>
        <w:tc>
          <w:tcPr>
            <w:tcW w:w="2789" w:type="dxa"/>
            <w:gridSpan w:val="2"/>
            <w:shd w:val="clear" w:color="auto" w:fill="auto"/>
            <w:vAlign w:val="center"/>
          </w:tcPr>
          <w:p w14:paraId="600F32C3">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14:paraId="05A6A68D">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1DBBC971">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F859C3F">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eastAsia="zh-CN"/>
              </w:rPr>
              <w:t>；41-55㎡的，系数3；56-70㎡的，系数4；71-85㎡的，系数5；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5CA82E63">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808C52D">
            <w:pPr>
              <w:spacing w:line="180" w:lineRule="exact"/>
              <w:rPr>
                <w:rFonts w:cs="宋体" w:asciiTheme="minorEastAsia" w:hAnsiTheme="minorEastAsia" w:eastAsiaTheme="minorEastAsia"/>
                <w:color w:val="auto"/>
                <w:kern w:val="0"/>
                <w:sz w:val="15"/>
                <w:szCs w:val="15"/>
                <w:highlight w:val="none"/>
              </w:rPr>
            </w:pPr>
          </w:p>
        </w:tc>
      </w:tr>
      <w:tr w14:paraId="30306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460" w:hRule="atLeast"/>
          <w:jc w:val="center"/>
        </w:trPr>
        <w:tc>
          <w:tcPr>
            <w:tcW w:w="610" w:type="dxa"/>
            <w:shd w:val="clear" w:color="auto" w:fill="auto"/>
            <w:vAlign w:val="center"/>
          </w:tcPr>
          <w:p w14:paraId="254DD1C9">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14:paraId="21E3648E">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建设工程竣工后未及时清除弃物弃料、围挡</w:t>
            </w:r>
          </w:p>
        </w:tc>
        <w:tc>
          <w:tcPr>
            <w:tcW w:w="2789" w:type="dxa"/>
            <w:gridSpan w:val="2"/>
            <w:shd w:val="clear" w:color="auto" w:fill="auto"/>
            <w:vAlign w:val="center"/>
          </w:tcPr>
          <w:p w14:paraId="05C2678F">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14:paraId="2F95E402">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380279D0">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97C5429">
            <w:pPr>
              <w:keepNext w:val="0"/>
              <w:keepLines w:val="0"/>
              <w:pageBreakBefore w:val="0"/>
              <w:widowControl w:val="0"/>
              <w:kinsoku/>
              <w:wordWrap/>
              <w:overflowPunct/>
              <w:topLinePunct w:val="0"/>
              <w:autoSpaceDE/>
              <w:autoSpaceDN/>
              <w:bidi w:val="0"/>
              <w:adjustRightInd/>
              <w:snapToGrid/>
              <w:spacing w:line="232" w:lineRule="exact"/>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w:t>
            </w:r>
            <w:r>
              <w:rPr>
                <w:rFonts w:hint="eastAsia" w:cs="宋体" w:asciiTheme="minorEastAsia" w:hAnsiTheme="minorEastAsia" w:eastAsiaTheme="minorEastAsia"/>
                <w:color w:val="auto"/>
                <w:kern w:val="0"/>
                <w:sz w:val="15"/>
                <w:szCs w:val="15"/>
                <w:highlight w:val="none"/>
                <w:lang w:eastAsia="zh-CN"/>
              </w:rPr>
              <w:t>围挡</w:t>
            </w:r>
            <w:r>
              <w:rPr>
                <w:rFonts w:hint="eastAsia" w:cs="宋体" w:asciiTheme="minorEastAsia" w:hAnsiTheme="minorEastAsia" w:eastAsiaTheme="minorEastAsia"/>
                <w:color w:val="auto"/>
                <w:kern w:val="0"/>
                <w:sz w:val="15"/>
                <w:szCs w:val="15"/>
                <w:highlight w:val="none"/>
              </w:rPr>
              <w:t>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系数１</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w:t>
            </w:r>
            <w:r>
              <w:rPr>
                <w:rFonts w:hint="eastAsia" w:asciiTheme="minorEastAsia" w:hAnsiTheme="minorEastAsia" w:eastAsiaTheme="minorEastAsia"/>
                <w:color w:val="auto"/>
                <w:sz w:val="15"/>
                <w:szCs w:val="15"/>
                <w:highlight w:val="none"/>
                <w:lang w:eastAsia="zh-CN"/>
              </w:rPr>
              <w:t>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0B56673F">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3D462B01">
            <w:pPr>
              <w:spacing w:line="180" w:lineRule="exact"/>
              <w:rPr>
                <w:rFonts w:cs="宋体" w:asciiTheme="minorEastAsia" w:hAnsiTheme="minorEastAsia" w:eastAsiaTheme="minorEastAsia"/>
                <w:color w:val="auto"/>
                <w:kern w:val="0"/>
                <w:sz w:val="15"/>
                <w:szCs w:val="15"/>
                <w:highlight w:val="none"/>
              </w:rPr>
            </w:pPr>
          </w:p>
        </w:tc>
      </w:tr>
      <w:tr w14:paraId="5189C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05" w:hRule="atLeast"/>
          <w:jc w:val="center"/>
        </w:trPr>
        <w:tc>
          <w:tcPr>
            <w:tcW w:w="14203" w:type="dxa"/>
            <w:gridSpan w:val="13"/>
            <w:shd w:val="clear" w:color="auto" w:fill="auto"/>
            <w:vAlign w:val="center"/>
          </w:tcPr>
          <w:p w14:paraId="5FDE9F12">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2"/>
                <w:rFonts w:asciiTheme="minorEastAsia" w:hAnsiTheme="minorEastAsia" w:eastAsiaTheme="minorEastAsia"/>
                <w:color w:val="auto"/>
                <w:sz w:val="15"/>
                <w:szCs w:val="15"/>
                <w:highlight w:val="none"/>
              </w:rPr>
            </w:pPr>
            <w:bookmarkStart w:id="31" w:name="_Toc110851447"/>
            <w:bookmarkStart w:id="32" w:name="_Toc239881210"/>
            <w:bookmarkStart w:id="33" w:name="_Toc660874911"/>
            <w:r>
              <w:rPr>
                <w:rStyle w:val="32"/>
                <w:rFonts w:hint="eastAsia" w:asciiTheme="minorEastAsia" w:hAnsiTheme="minorEastAsia" w:eastAsiaTheme="minorEastAsia"/>
                <w:color w:val="auto"/>
                <w:sz w:val="21"/>
                <w:szCs w:val="21"/>
                <w:highlight w:val="none"/>
              </w:rPr>
              <w:t>《北京市建筑</w:t>
            </w:r>
            <w:r>
              <w:rPr>
                <w:rStyle w:val="32"/>
                <w:rFonts w:asciiTheme="minorEastAsia" w:hAnsiTheme="minorEastAsia" w:eastAsiaTheme="minorEastAsia"/>
                <w:color w:val="auto"/>
                <w:sz w:val="21"/>
                <w:szCs w:val="21"/>
                <w:highlight w:val="none"/>
              </w:rPr>
              <w:t>垃圾处置管理规定</w:t>
            </w:r>
            <w:r>
              <w:rPr>
                <w:rStyle w:val="32"/>
                <w:rFonts w:hint="eastAsia" w:asciiTheme="minorEastAsia" w:hAnsiTheme="minorEastAsia" w:eastAsiaTheme="minorEastAsia"/>
                <w:color w:val="auto"/>
                <w:sz w:val="21"/>
                <w:szCs w:val="21"/>
                <w:highlight w:val="none"/>
              </w:rPr>
              <w:t>》案由</w:t>
            </w:r>
            <w:r>
              <w:rPr>
                <w:rStyle w:val="32"/>
                <w:rFonts w:asciiTheme="minorEastAsia" w:hAnsiTheme="minorEastAsia" w:eastAsiaTheme="minorEastAsia"/>
                <w:color w:val="auto"/>
                <w:sz w:val="21"/>
                <w:szCs w:val="21"/>
                <w:highlight w:val="none"/>
              </w:rPr>
              <w:t>24</w:t>
            </w:r>
            <w:r>
              <w:rPr>
                <w:rStyle w:val="32"/>
                <w:rFonts w:hint="eastAsia" w:asciiTheme="minorEastAsia" w:hAnsiTheme="minorEastAsia" w:eastAsiaTheme="minorEastAsia"/>
                <w:color w:val="auto"/>
                <w:sz w:val="21"/>
                <w:szCs w:val="21"/>
                <w:highlight w:val="none"/>
              </w:rPr>
              <w:t>项</w:t>
            </w:r>
            <w:bookmarkEnd w:id="31"/>
          </w:p>
          <w:bookmarkEnd w:id="32"/>
          <w:bookmarkEnd w:id="33"/>
        </w:tc>
      </w:tr>
      <w:tr w14:paraId="3CF3D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vMerge w:val="restart"/>
            <w:shd w:val="clear" w:color="auto" w:fill="auto"/>
            <w:vAlign w:val="center"/>
          </w:tcPr>
          <w:p w14:paraId="4A68CEE3">
            <w:pPr>
              <w:spacing w:line="180" w:lineRule="exact"/>
              <w:jc w:val="center"/>
              <w:rPr>
                <w:rFonts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1</w:t>
            </w:r>
          </w:p>
        </w:tc>
        <w:tc>
          <w:tcPr>
            <w:tcW w:w="1830" w:type="dxa"/>
            <w:gridSpan w:val="3"/>
            <w:vMerge w:val="restart"/>
            <w:shd w:val="clear" w:color="auto" w:fill="auto"/>
            <w:vAlign w:val="center"/>
          </w:tcPr>
          <w:p w14:paraId="57B552C9">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随意倾倒、抛撒或者堆放建筑垃圾</w:t>
            </w:r>
          </w:p>
        </w:tc>
        <w:tc>
          <w:tcPr>
            <w:tcW w:w="2789" w:type="dxa"/>
            <w:gridSpan w:val="2"/>
            <w:vMerge w:val="restart"/>
            <w:shd w:val="clear" w:color="auto" w:fill="auto"/>
            <w:vAlign w:val="center"/>
          </w:tcPr>
          <w:p w14:paraId="00FB1B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违反条款：第六条第二款；</w:t>
            </w:r>
          </w:p>
          <w:p w14:paraId="369F48B4">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处罚条款：第三十四条第一款 责令限期改正，对施工单位依法处10万元以上100万元以下罚款，没收违法所得；对运输服务单位依法处5万元以上50万元以下罚款，没收违法所得，情节严重的，由城市管理综合执法部门吊销生活垃圾运输经营许可；对产生建筑垃圾的个人处200元以下罚款。</w:t>
            </w:r>
          </w:p>
        </w:tc>
        <w:tc>
          <w:tcPr>
            <w:tcW w:w="851" w:type="dxa"/>
            <w:shd w:val="clear" w:color="auto" w:fill="auto"/>
            <w:vAlign w:val="center"/>
          </w:tcPr>
          <w:p w14:paraId="752617E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100000</w:t>
            </w:r>
          </w:p>
          <w:p w14:paraId="4FA6997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eastAsia="zh-CN"/>
              </w:rPr>
              <w:t>施工</w:t>
            </w:r>
            <w:r>
              <w:rPr>
                <w:rFonts w:hint="eastAsia" w:ascii="宋体" w:hAnsi="宋体" w:eastAsia="宋体" w:cs="宋体"/>
                <w:color w:val="auto"/>
                <w:sz w:val="15"/>
                <w:szCs w:val="15"/>
                <w:highlight w:val="none"/>
              </w:rPr>
              <w:t>单位）</w:t>
            </w:r>
          </w:p>
        </w:tc>
        <w:tc>
          <w:tcPr>
            <w:tcW w:w="840" w:type="dxa"/>
            <w:shd w:val="clear" w:color="auto" w:fill="auto"/>
            <w:vAlign w:val="center"/>
          </w:tcPr>
          <w:p w14:paraId="3C2AEA2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color w:val="auto"/>
                <w:kern w:val="0"/>
                <w:sz w:val="15"/>
                <w:szCs w:val="15"/>
                <w:highlight w:val="none"/>
              </w:rPr>
            </w:pPr>
            <w:r>
              <w:rPr>
                <w:rFonts w:hint="eastAsia" w:ascii="宋体" w:hAnsi="宋体" w:eastAsia="宋体" w:cs="宋体"/>
                <w:color w:val="auto"/>
                <w:sz w:val="15"/>
                <w:szCs w:val="15"/>
                <w:highlight w:val="none"/>
              </w:rPr>
              <w:t>1</w:t>
            </w:r>
          </w:p>
        </w:tc>
        <w:tc>
          <w:tcPr>
            <w:tcW w:w="3426" w:type="dxa"/>
            <w:shd w:val="clear" w:color="auto" w:fill="auto"/>
            <w:vAlign w:val="center"/>
          </w:tcPr>
          <w:p w14:paraId="0831AD1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1</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sz w:val="15"/>
                <w:szCs w:val="15"/>
                <w:highlight w:val="none"/>
              </w:rPr>
              <w:t>建筑垃圾占地面积11</w:t>
            </w:r>
            <w:r>
              <w:rPr>
                <w:rFonts w:hint="eastAsia" w:ascii="宋体" w:hAnsi="宋体" w:cs="宋体"/>
                <w:b w:val="0"/>
                <w:bCs w:val="0"/>
                <w:color w:val="auto"/>
                <w:sz w:val="15"/>
                <w:szCs w:val="15"/>
                <w:highlight w:val="none"/>
                <w:lang w:val="en-US" w:eastAsia="zh-CN"/>
              </w:rPr>
              <w:t>-</w:t>
            </w:r>
            <w:r>
              <w:rPr>
                <w:rFonts w:hint="eastAsia" w:ascii="宋体" w:hAnsi="宋体" w:eastAsia="宋体" w:cs="宋体"/>
                <w:b w:val="0"/>
                <w:bCs w:val="0"/>
                <w:color w:val="auto"/>
                <w:sz w:val="15"/>
                <w:szCs w:val="15"/>
                <w:highlight w:val="none"/>
              </w:rPr>
              <w:t>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21-25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3；26-30</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4；31-35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61-70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），系数</w:t>
            </w:r>
            <w:r>
              <w:rPr>
                <w:rFonts w:hint="eastAsia" w:ascii="宋体" w:hAnsi="宋体"/>
                <w:color w:val="auto"/>
                <w:sz w:val="15"/>
                <w:szCs w:val="15"/>
                <w:highlight w:val="none"/>
                <w:lang w:val="en-US" w:eastAsia="zh-CN"/>
              </w:rPr>
              <w:t>5-6</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49D3268C">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罚款数额＝100000×（1＋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14:paraId="490A2E43">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区域</w:t>
            </w:r>
            <w:r>
              <w:rPr>
                <w:rFonts w:hint="eastAsia" w:ascii="宋体" w:hAnsi="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lang w:eastAsia="zh-CN"/>
              </w:rPr>
              <w:t>与倾倒、抛撒、堆放点位重叠时，</w:t>
            </w:r>
            <w:r>
              <w:rPr>
                <w:rFonts w:hint="eastAsia" w:cs="宋体" w:asciiTheme="minorEastAsia" w:hAnsiTheme="minorEastAsia" w:eastAsiaTheme="minorEastAsia"/>
                <w:color w:val="auto"/>
                <w:kern w:val="0"/>
                <w:sz w:val="15"/>
                <w:szCs w:val="15"/>
                <w:highlight w:val="none"/>
                <w:lang w:eastAsia="zh-CN"/>
              </w:rPr>
              <w:t>不适用区域台账。</w:t>
            </w:r>
          </w:p>
          <w:p w14:paraId="3EC37432">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14:paraId="6283D368">
            <w:pPr>
              <w:pStyle w:val="8"/>
              <w:keepNext w:val="0"/>
              <w:keepLines w:val="0"/>
              <w:pageBreakBefore w:val="0"/>
              <w:kinsoku/>
              <w:wordWrap/>
              <w:overflowPunct/>
              <w:topLinePunct w:val="0"/>
              <w:autoSpaceDE/>
              <w:autoSpaceDN/>
              <w:bidi w:val="0"/>
              <w:adjustRightInd/>
              <w:snapToGrid/>
              <w:spacing w:line="240" w:lineRule="auto"/>
              <w:rPr>
                <w:color w:val="auto"/>
                <w:highlight w:val="none"/>
              </w:rPr>
            </w:pPr>
            <w:r>
              <w:rPr>
                <w:rFonts w:hint="eastAsia" w:ascii="宋体" w:hAnsi="宋体" w:eastAsia="宋体" w:cs="宋体"/>
                <w:color w:val="auto"/>
                <w:sz w:val="15"/>
                <w:szCs w:val="15"/>
                <w:highlight w:val="none"/>
                <w:lang w:val="en-US" w:eastAsia="zh-CN"/>
              </w:rPr>
              <w:t>3.</w:t>
            </w:r>
            <w:r>
              <w:rPr>
                <w:rFonts w:hint="eastAsia" w:ascii="宋体" w:hAnsi="宋体" w:eastAsia="宋体" w:cs="宋体"/>
                <w:color w:val="auto"/>
                <w:sz w:val="15"/>
                <w:szCs w:val="15"/>
                <w:highlight w:val="none"/>
              </w:rPr>
              <w:t>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r>
      <w:tr w14:paraId="5F2FC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98" w:hRule="atLeast"/>
          <w:jc w:val="center"/>
        </w:trPr>
        <w:tc>
          <w:tcPr>
            <w:tcW w:w="610" w:type="dxa"/>
            <w:vMerge w:val="continue"/>
            <w:shd w:val="clear" w:color="auto" w:fill="auto"/>
            <w:vAlign w:val="center"/>
          </w:tcPr>
          <w:p w14:paraId="0F61C3C3">
            <w:pPr>
              <w:spacing w:line="180"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4CA69B3A">
            <w:pPr>
              <w:keepNext w:val="0"/>
              <w:keepLines w:val="0"/>
              <w:pageBreakBefore w:val="0"/>
              <w:widowControl w:val="0"/>
              <w:kinsoku/>
              <w:wordWrap/>
              <w:overflowPunct/>
              <w:topLinePunct w:val="0"/>
              <w:autoSpaceDE/>
              <w:autoSpaceDN/>
              <w:bidi w:val="0"/>
              <w:adjustRightInd/>
              <w:snapToGrid/>
              <w:spacing w:line="240" w:lineRule="auto"/>
              <w:textAlignment w:val="auto"/>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240EE205">
            <w:pPr>
              <w:keepNext w:val="0"/>
              <w:keepLines w:val="0"/>
              <w:pageBreakBefore w:val="0"/>
              <w:widowControl w:val="0"/>
              <w:kinsoku/>
              <w:wordWrap/>
              <w:overflowPunct/>
              <w:topLinePunct w:val="0"/>
              <w:autoSpaceDE/>
              <w:autoSpaceDN/>
              <w:bidi w:val="0"/>
              <w:adjustRightInd/>
              <w:snapToGrid/>
              <w:spacing w:line="240" w:lineRule="auto"/>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B8E4D6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val="en-US" w:eastAsia="zh-CN"/>
              </w:rPr>
              <w:t>50000（</w:t>
            </w:r>
            <w:r>
              <w:rPr>
                <w:rFonts w:hint="eastAsia" w:ascii="宋体" w:hAnsi="宋体" w:eastAsia="宋体" w:cs="宋体"/>
                <w:color w:val="auto"/>
                <w:sz w:val="15"/>
                <w:szCs w:val="15"/>
                <w:highlight w:val="none"/>
              </w:rPr>
              <w:t>运输服务单位</w:t>
            </w:r>
            <w:r>
              <w:rPr>
                <w:rFonts w:hint="eastAsia" w:ascii="宋体" w:hAnsi="宋体" w:eastAsia="宋体" w:cs="宋体"/>
                <w:color w:val="auto"/>
                <w:sz w:val="15"/>
                <w:szCs w:val="15"/>
                <w:highlight w:val="none"/>
                <w:lang w:val="en-US" w:eastAsia="zh-CN"/>
              </w:rPr>
              <w:t>）</w:t>
            </w:r>
          </w:p>
        </w:tc>
        <w:tc>
          <w:tcPr>
            <w:tcW w:w="840" w:type="dxa"/>
            <w:shd w:val="clear" w:color="auto" w:fill="auto"/>
            <w:vAlign w:val="center"/>
          </w:tcPr>
          <w:p w14:paraId="4C203BC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BB6A02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rPr>
              <w:t>1</w:t>
            </w:r>
            <w:r>
              <w:rPr>
                <w:rFonts w:hint="eastAsia" w:ascii="宋体" w:hAnsi="宋体" w:eastAsia="宋体" w:cs="宋体"/>
                <w:color w:val="auto"/>
                <w:kern w:val="0"/>
                <w:sz w:val="15"/>
                <w:szCs w:val="15"/>
                <w:highlight w:val="none"/>
              </w:rPr>
              <w:t>.</w:t>
            </w:r>
            <w:r>
              <w:rPr>
                <w:rFonts w:hint="eastAsia" w:ascii="宋体" w:hAnsi="宋体" w:eastAsia="宋体" w:cs="宋体"/>
                <w:b w:val="0"/>
                <w:bCs w:val="0"/>
                <w:color w:val="auto"/>
                <w:sz w:val="15"/>
                <w:szCs w:val="15"/>
                <w:highlight w:val="none"/>
              </w:rPr>
              <w:t>建筑垃圾占地面积11—15㎡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cs="宋体"/>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21-25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3；26-30</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4；31-35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61-70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.将垃圾随意倾倒、</w:t>
            </w:r>
            <w:r>
              <w:rPr>
                <w:rFonts w:hint="eastAsia" w:ascii="宋体" w:hAnsi="宋体" w:eastAsia="宋体" w:cs="宋体"/>
                <w:color w:val="auto"/>
                <w:kern w:val="0"/>
                <w:sz w:val="15"/>
                <w:szCs w:val="15"/>
                <w:highlight w:val="none"/>
                <w:lang w:eastAsia="zh-CN"/>
              </w:rPr>
              <w:t>抛撒</w:t>
            </w:r>
            <w:r>
              <w:rPr>
                <w:rFonts w:hint="eastAsia" w:ascii="宋体" w:hAnsi="宋体" w:eastAsia="宋体" w:cs="宋体"/>
                <w:color w:val="auto"/>
                <w:kern w:val="0"/>
                <w:sz w:val="15"/>
                <w:szCs w:val="15"/>
                <w:highlight w:val="none"/>
              </w:rPr>
              <w:t>、堆放至城市道路、绿地、林地、</w:t>
            </w:r>
            <w:r>
              <w:rPr>
                <w:rFonts w:hint="eastAsia" w:ascii="宋体" w:hAnsi="宋体" w:eastAsia="宋体" w:cs="宋体"/>
                <w:color w:val="auto"/>
                <w:kern w:val="0"/>
                <w:sz w:val="15"/>
                <w:szCs w:val="15"/>
                <w:highlight w:val="none"/>
                <w:lang w:eastAsia="zh-CN"/>
              </w:rPr>
              <w:t>耕地、</w:t>
            </w:r>
            <w:r>
              <w:rPr>
                <w:rFonts w:hint="eastAsia" w:ascii="宋体" w:hAnsi="宋体" w:eastAsia="宋体" w:cs="宋体"/>
                <w:color w:val="auto"/>
                <w:kern w:val="0"/>
                <w:sz w:val="15"/>
                <w:szCs w:val="15"/>
                <w:highlight w:val="none"/>
              </w:rPr>
              <w:t>河道、铁路、轨道交通、公厕、桥下空间等公共场所及周边，</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rPr>
              <w:t>燃气、供暖、石油长输管道、供水、排水、电力、通信等公用管道和设施保护（管理）范围的，系数3</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color w:val="auto"/>
                <w:sz w:val="15"/>
                <w:szCs w:val="15"/>
                <w:highlight w:val="none"/>
                <w:lang w:eastAsia="zh-CN"/>
              </w:rPr>
              <w:t>建筑</w:t>
            </w:r>
            <w:r>
              <w:rPr>
                <w:rFonts w:hint="eastAsia" w:ascii="宋体" w:hAnsi="宋体" w:eastAsia="宋体" w:cs="宋体"/>
                <w:color w:val="auto"/>
                <w:kern w:val="0"/>
                <w:sz w:val="15"/>
                <w:szCs w:val="15"/>
                <w:highlight w:val="none"/>
              </w:rPr>
              <w:t>垃圾</w:t>
            </w:r>
            <w:r>
              <w:rPr>
                <w:rFonts w:hint="eastAsia" w:ascii="宋体" w:hAnsi="宋体" w:eastAsia="宋体"/>
                <w:color w:val="auto"/>
                <w:sz w:val="15"/>
                <w:szCs w:val="15"/>
                <w:highlight w:val="none"/>
              </w:rPr>
              <w:t>总量较大</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15吨及以上</w:t>
            </w:r>
            <w:r>
              <w:rPr>
                <w:rFonts w:hint="eastAsia" w:ascii="宋体" w:hAnsi="宋体"/>
                <w:color w:val="auto"/>
                <w:sz w:val="15"/>
                <w:szCs w:val="15"/>
                <w:highlight w:val="none"/>
                <w:lang w:eastAsia="zh-CN"/>
              </w:rPr>
              <w:t>）或</w:t>
            </w:r>
            <w:r>
              <w:rPr>
                <w:rFonts w:hint="eastAsia" w:ascii="宋体" w:hAnsi="宋体" w:eastAsia="宋体"/>
                <w:color w:val="auto"/>
                <w:sz w:val="15"/>
                <w:szCs w:val="15"/>
                <w:highlight w:val="none"/>
              </w:rPr>
              <w:t>违法行为持续时间较长</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5天及以上</w:t>
            </w:r>
            <w:r>
              <w:rPr>
                <w:rFonts w:hint="eastAsia" w:ascii="宋体" w:hAnsi="宋体"/>
                <w:color w:val="auto"/>
                <w:sz w:val="15"/>
                <w:szCs w:val="15"/>
                <w:highlight w:val="none"/>
                <w:lang w:eastAsia="zh-CN"/>
              </w:rPr>
              <w:t>），系数</w:t>
            </w:r>
            <w:r>
              <w:rPr>
                <w:rFonts w:hint="eastAsia" w:ascii="宋体" w:hAnsi="宋体"/>
                <w:color w:val="auto"/>
                <w:sz w:val="15"/>
                <w:szCs w:val="15"/>
                <w:highlight w:val="none"/>
                <w:lang w:val="en-US" w:eastAsia="zh-CN"/>
              </w:rPr>
              <w:t xml:space="preserve">5-6 </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3EE5337D">
            <w:pPr>
              <w:keepNext w:val="0"/>
              <w:keepLines w:val="0"/>
              <w:pageBreakBefore w:val="0"/>
              <w:widowControl w:val="0"/>
              <w:kinsoku/>
              <w:wordWrap/>
              <w:overflowPunct/>
              <w:topLinePunct w:val="0"/>
              <w:autoSpaceDE/>
              <w:autoSpaceDN/>
              <w:bidi w:val="0"/>
              <w:adjustRightInd/>
              <w:snapToGrid/>
              <w:spacing w:line="240" w:lineRule="auto"/>
              <w:textAlignment w:val="auto"/>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14:paraId="56773996">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lang w:eastAsia="zh-CN"/>
              </w:rPr>
              <w:t>区域</w:t>
            </w:r>
            <w:r>
              <w:rPr>
                <w:rFonts w:hint="eastAsia" w:ascii="宋体" w:hAnsi="宋体" w:cs="宋体"/>
                <w:color w:val="auto"/>
                <w:kern w:val="0"/>
                <w:sz w:val="15"/>
                <w:szCs w:val="15"/>
                <w:highlight w:val="none"/>
                <w:lang w:eastAsia="zh-CN"/>
              </w:rPr>
              <w:t>台账</w:t>
            </w:r>
            <w:r>
              <w:rPr>
                <w:rFonts w:hint="eastAsia" w:ascii="宋体" w:hAnsi="宋体" w:eastAsia="宋体" w:cs="宋体"/>
                <w:color w:val="auto"/>
                <w:kern w:val="0"/>
                <w:sz w:val="15"/>
                <w:szCs w:val="15"/>
                <w:highlight w:val="none"/>
                <w:lang w:eastAsia="zh-CN"/>
              </w:rPr>
              <w:t>与倾倒、抛撒、堆放点位重叠时，</w:t>
            </w:r>
            <w:r>
              <w:rPr>
                <w:rFonts w:hint="eastAsia" w:cs="宋体" w:asciiTheme="minorEastAsia" w:hAnsiTheme="minorEastAsia" w:eastAsiaTheme="minorEastAsia"/>
                <w:color w:val="auto"/>
                <w:kern w:val="0"/>
                <w:sz w:val="15"/>
                <w:szCs w:val="15"/>
                <w:highlight w:val="none"/>
                <w:lang w:eastAsia="zh-CN"/>
              </w:rPr>
              <w:t>不适用区域台账。</w:t>
            </w:r>
          </w:p>
          <w:p w14:paraId="2F03A763">
            <w:pPr>
              <w:keepNext w:val="0"/>
              <w:keepLines w:val="0"/>
              <w:pageBreakBefore w:val="0"/>
              <w:numPr>
                <w:ilvl w:val="0"/>
                <w:numId w:val="0"/>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14:paraId="73CE1F8D">
            <w:pPr>
              <w:pStyle w:val="8"/>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val="en-US" w:eastAsia="zh-CN"/>
              </w:rPr>
              <w:t>3.</w:t>
            </w:r>
            <w:r>
              <w:rPr>
                <w:rFonts w:hint="eastAsia" w:ascii="宋体" w:hAnsi="宋体" w:eastAsia="宋体" w:cs="宋体"/>
                <w:color w:val="auto"/>
                <w:sz w:val="15"/>
                <w:szCs w:val="15"/>
                <w:highlight w:val="none"/>
              </w:rPr>
              <w:t>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r>
      <w:tr w14:paraId="2A6A2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45" w:hRule="atLeast"/>
          <w:jc w:val="center"/>
        </w:trPr>
        <w:tc>
          <w:tcPr>
            <w:tcW w:w="610" w:type="dxa"/>
            <w:vMerge w:val="continue"/>
            <w:shd w:val="clear" w:color="auto" w:fill="auto"/>
            <w:vAlign w:val="center"/>
          </w:tcPr>
          <w:p w14:paraId="5BE37175">
            <w:pPr>
              <w:spacing w:line="204"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27286192">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12FFEEB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54121BF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rPr>
              <w:t>个人</w:t>
            </w:r>
          </w:p>
        </w:tc>
        <w:tc>
          <w:tcPr>
            <w:tcW w:w="840" w:type="dxa"/>
            <w:shd w:val="clear" w:color="auto" w:fill="auto"/>
            <w:vAlign w:val="center"/>
          </w:tcPr>
          <w:p w14:paraId="30B116B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21BA57A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350C122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14B45DB7">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rPr>
              <w:t>参照基准规定，并根据实际情况处罚。</w:t>
            </w:r>
          </w:p>
        </w:tc>
      </w:tr>
      <w:tr w14:paraId="31927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14:paraId="270A06F2">
            <w:pPr>
              <w:spacing w:line="204"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vMerge w:val="restart"/>
            <w:shd w:val="clear" w:color="auto" w:fill="auto"/>
            <w:vAlign w:val="center"/>
          </w:tcPr>
          <w:p w14:paraId="0126BFB6">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建筑垃圾与其他</w:t>
            </w:r>
            <w:r>
              <w:rPr>
                <w:rFonts w:asciiTheme="minorEastAsia" w:hAnsiTheme="minorEastAsia" w:eastAsiaTheme="minorEastAsia"/>
                <w:color w:val="auto"/>
                <w:sz w:val="15"/>
                <w:szCs w:val="15"/>
                <w:highlight w:val="none"/>
              </w:rPr>
              <w:t>生活垃圾</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危险</w:t>
            </w:r>
            <w:r>
              <w:rPr>
                <w:rFonts w:hint="eastAsia" w:asciiTheme="minorEastAsia" w:hAnsiTheme="minorEastAsia" w:eastAsiaTheme="minorEastAsia"/>
                <w:color w:val="auto"/>
                <w:sz w:val="15"/>
                <w:szCs w:val="15"/>
                <w:highlight w:val="none"/>
              </w:rPr>
              <w:t>废物</w:t>
            </w:r>
            <w:r>
              <w:rPr>
                <w:rFonts w:asciiTheme="minorEastAsia" w:hAnsiTheme="minorEastAsia" w:eastAsiaTheme="minorEastAsia"/>
                <w:color w:val="auto"/>
                <w:sz w:val="15"/>
                <w:szCs w:val="15"/>
                <w:highlight w:val="none"/>
              </w:rPr>
              <w:t>混合</w:t>
            </w:r>
          </w:p>
        </w:tc>
        <w:tc>
          <w:tcPr>
            <w:tcW w:w="2789" w:type="dxa"/>
            <w:gridSpan w:val="2"/>
            <w:vMerge w:val="restart"/>
            <w:shd w:val="clear" w:color="auto" w:fill="auto"/>
            <w:vAlign w:val="center"/>
          </w:tcPr>
          <w:p w14:paraId="565AFF07">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第六条第二款；</w:t>
            </w:r>
            <w:r>
              <w:rPr>
                <w:rFonts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w:t>
            </w:r>
            <w:r>
              <w:rPr>
                <w:rFonts w:asciiTheme="minorEastAsia" w:hAnsiTheme="minorEastAsia" w:eastAsiaTheme="minorEastAsia"/>
                <w:color w:val="auto"/>
                <w:sz w:val="15"/>
                <w:szCs w:val="15"/>
                <w:highlight w:val="none"/>
              </w:rPr>
              <w:t>四条第三款</w:t>
            </w:r>
            <w:r>
              <w:rPr>
                <w:rFonts w:hint="eastAsia" w:asciiTheme="minorEastAsia" w:hAnsiTheme="minorEastAsia" w:eastAsiaTheme="minorEastAsia"/>
                <w:color w:val="auto"/>
                <w:sz w:val="15"/>
                <w:szCs w:val="15"/>
                <w:highlight w:val="none"/>
              </w:rPr>
              <w:t xml:space="preserve"> 责令立即改正，处1000元罚款；再次违反规定的，处1万元以上5万元以下罚款。</w:t>
            </w:r>
          </w:p>
        </w:tc>
        <w:tc>
          <w:tcPr>
            <w:tcW w:w="851" w:type="dxa"/>
            <w:shd w:val="clear" w:color="auto" w:fill="auto"/>
            <w:vAlign w:val="center"/>
          </w:tcPr>
          <w:p w14:paraId="341F3E2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p w14:paraId="6A5EA5E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（单位初次</w:t>
            </w:r>
            <w:r>
              <w:rPr>
                <w:rFonts w:asciiTheme="minorEastAsia" w:hAnsiTheme="minorEastAsia" w:eastAsiaTheme="minorEastAsia"/>
                <w:color w:val="auto"/>
                <w:sz w:val="15"/>
                <w:szCs w:val="15"/>
                <w:highlight w:val="none"/>
              </w:rPr>
              <w:t>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14:paraId="36F0BC8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1BC978B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875" w:type="dxa"/>
            <w:gridSpan w:val="2"/>
            <w:shd w:val="clear" w:color="auto" w:fill="auto"/>
            <w:vAlign w:val="center"/>
          </w:tcPr>
          <w:p w14:paraId="12EF2DD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982" w:type="dxa"/>
            <w:gridSpan w:val="2"/>
            <w:shd w:val="clear" w:color="auto" w:fill="auto"/>
            <w:vAlign w:val="center"/>
          </w:tcPr>
          <w:p w14:paraId="760C35A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w:t>
            </w:r>
            <w:r>
              <w:rPr>
                <w:rFonts w:asciiTheme="minorEastAsia" w:hAnsiTheme="minorEastAsia" w:eastAsiaTheme="minorEastAsia"/>
                <w:color w:val="auto"/>
                <w:sz w:val="15"/>
                <w:szCs w:val="15"/>
                <w:highlight w:val="none"/>
              </w:rPr>
              <w:t>规定执行</w:t>
            </w:r>
            <w:r>
              <w:rPr>
                <w:rFonts w:hint="eastAsia" w:asciiTheme="minorEastAsia" w:hAnsiTheme="minorEastAsia" w:eastAsiaTheme="minorEastAsia"/>
                <w:color w:val="auto"/>
                <w:sz w:val="15"/>
                <w:szCs w:val="15"/>
                <w:highlight w:val="none"/>
                <w:lang w:eastAsia="zh-CN"/>
              </w:rPr>
              <w:t>。</w:t>
            </w:r>
          </w:p>
        </w:tc>
      </w:tr>
      <w:tr w14:paraId="6682D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73" w:hRule="atLeast"/>
          <w:jc w:val="center"/>
        </w:trPr>
        <w:tc>
          <w:tcPr>
            <w:tcW w:w="610" w:type="dxa"/>
            <w:vMerge w:val="continue"/>
            <w:shd w:val="clear" w:color="auto" w:fill="auto"/>
            <w:vAlign w:val="center"/>
          </w:tcPr>
          <w:p w14:paraId="17777AC4">
            <w:pPr>
              <w:spacing w:line="204"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0979B20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3378BA9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B97F0F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14:paraId="00F2F01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（单位</w:t>
            </w:r>
            <w:r>
              <w:rPr>
                <w:rFonts w:asciiTheme="minorEastAsia" w:hAnsiTheme="minorEastAsia" w:eastAsiaTheme="minorEastAsia"/>
                <w:color w:val="auto"/>
                <w:sz w:val="15"/>
                <w:szCs w:val="15"/>
                <w:highlight w:val="none"/>
              </w:rPr>
              <w:t>再次违反）</w:t>
            </w:r>
          </w:p>
        </w:tc>
        <w:tc>
          <w:tcPr>
            <w:tcW w:w="840" w:type="dxa"/>
            <w:shd w:val="clear" w:color="auto" w:fill="auto"/>
            <w:vAlign w:val="center"/>
          </w:tcPr>
          <w:p w14:paraId="06C73F5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6D80420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.建筑垃圾混合危险废物的，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.建筑垃圾同时混合生活垃圾、危险废物，</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违法事件持续较长，建筑垃圾与其他生活垃圾、危险废物混合产生量较大，造成环境秩序较严重影响的，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646F9CB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73213B4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曾因此违法行为受到过行政处罚，再次违反的适用此情形。</w:t>
            </w:r>
          </w:p>
        </w:tc>
      </w:tr>
      <w:tr w14:paraId="71543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1" w:hRule="atLeast"/>
          <w:jc w:val="center"/>
        </w:trPr>
        <w:tc>
          <w:tcPr>
            <w:tcW w:w="610" w:type="dxa"/>
            <w:vMerge w:val="continue"/>
            <w:shd w:val="clear" w:color="auto" w:fill="auto"/>
            <w:vAlign w:val="center"/>
          </w:tcPr>
          <w:p w14:paraId="00115D5C">
            <w:pPr>
              <w:spacing w:line="204"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1E496AD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gridSpan w:val="2"/>
            <w:vMerge w:val="restart"/>
            <w:shd w:val="clear" w:color="auto" w:fill="auto"/>
            <w:vAlign w:val="center"/>
          </w:tcPr>
          <w:p w14:paraId="3B46EA06">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14:paraId="7A2951C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处罚条款：第三十四条第四款 给予书面警告，再次违反规定的，处50元以上200元以下罚款。</w:t>
            </w:r>
          </w:p>
        </w:tc>
        <w:tc>
          <w:tcPr>
            <w:tcW w:w="851" w:type="dxa"/>
            <w:shd w:val="clear" w:color="auto" w:fill="auto"/>
            <w:vAlign w:val="center"/>
          </w:tcPr>
          <w:p w14:paraId="71A0B7B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警告</w:t>
            </w:r>
          </w:p>
          <w:p w14:paraId="2706F32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个人初次</w:t>
            </w:r>
            <w:r>
              <w:rPr>
                <w:rFonts w:asciiTheme="minorEastAsia" w:hAnsiTheme="minorEastAsia" w:eastAsiaTheme="minorEastAsia"/>
                <w:color w:val="auto"/>
                <w:sz w:val="15"/>
                <w:szCs w:val="15"/>
                <w:highlight w:val="none"/>
              </w:rPr>
              <w:t>违反）</w:t>
            </w:r>
          </w:p>
        </w:tc>
        <w:tc>
          <w:tcPr>
            <w:tcW w:w="840" w:type="dxa"/>
            <w:shd w:val="clear" w:color="auto" w:fill="auto"/>
            <w:vAlign w:val="center"/>
          </w:tcPr>
          <w:p w14:paraId="48346B1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660131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1503940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6A8BC804">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个人拒不听从生活垃圾分类管理责任人劝阻，且拒不改正的，适用此情形。初次违反的，书面警告。</w:t>
            </w:r>
          </w:p>
        </w:tc>
      </w:tr>
      <w:tr w14:paraId="48819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14:paraId="33BE426A">
            <w:pPr>
              <w:spacing w:line="204"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684BAC8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5852DE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2950AA9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w:t>
            </w:r>
          </w:p>
          <w:p w14:paraId="5B82AE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r>
              <w:rPr>
                <w:rFonts w:asciiTheme="minorEastAsia" w:hAnsiTheme="minorEastAsia" w:eastAsiaTheme="minorEastAsia"/>
                <w:color w:val="auto"/>
                <w:sz w:val="15"/>
                <w:szCs w:val="15"/>
                <w:highlight w:val="none"/>
              </w:rPr>
              <w:t>再次违反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14:paraId="34D46FB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6981CFE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2FD356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345F9FAF">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个人拒不听从生活垃圾分类管理责任人劝阻，且拒不改正的，适用此情形。</w:t>
            </w:r>
          </w:p>
          <w:p w14:paraId="7189EC99">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2.曾因此违法行为受到过行政处罚，再次违反的适用此情形。</w:t>
            </w:r>
          </w:p>
        </w:tc>
      </w:tr>
      <w:tr w14:paraId="68E01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3D607095">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830" w:type="dxa"/>
            <w:gridSpan w:val="3"/>
            <w:shd w:val="clear" w:color="auto" w:fill="auto"/>
            <w:vAlign w:val="center"/>
          </w:tcPr>
          <w:p w14:paraId="5607369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生活垃</w:t>
            </w:r>
            <w:r>
              <w:rPr>
                <w:rFonts w:hint="eastAsia" w:asciiTheme="minorEastAsia" w:hAnsiTheme="minorEastAsia" w:eastAsiaTheme="minorEastAsia"/>
                <w:color w:val="auto"/>
                <w:sz w:val="15"/>
                <w:szCs w:val="15"/>
                <w:highlight w:val="none"/>
                <w:shd w:val="clear"/>
              </w:rPr>
              <w:t>圾</w:t>
            </w:r>
            <w:r>
              <w:rPr>
                <w:rFonts w:asciiTheme="minorEastAsia" w:hAnsiTheme="minorEastAsia" w:eastAsiaTheme="minorEastAsia"/>
                <w:color w:val="auto"/>
                <w:sz w:val="15"/>
                <w:szCs w:val="15"/>
                <w:highlight w:val="none"/>
                <w:shd w:val="clear"/>
              </w:rPr>
              <w:t>分类管理</w:t>
            </w:r>
            <w:r>
              <w:rPr>
                <w:rFonts w:hint="eastAsia" w:asciiTheme="minorEastAsia" w:hAnsiTheme="minorEastAsia" w:eastAsiaTheme="minorEastAsia"/>
                <w:color w:val="auto"/>
                <w:sz w:val="15"/>
                <w:szCs w:val="15"/>
                <w:highlight w:val="none"/>
                <w:shd w:val="clear"/>
                <w:lang w:eastAsia="zh-CN"/>
              </w:rPr>
              <w:t>责任</w:t>
            </w:r>
            <w:r>
              <w:rPr>
                <w:rFonts w:asciiTheme="minorEastAsia" w:hAnsiTheme="minorEastAsia" w:eastAsiaTheme="minorEastAsia"/>
                <w:color w:val="auto"/>
                <w:sz w:val="15"/>
                <w:szCs w:val="15"/>
                <w:highlight w:val="none"/>
                <w:shd w:val="clear"/>
              </w:rPr>
              <w:t>人</w:t>
            </w:r>
            <w:r>
              <w:rPr>
                <w:rFonts w:hint="eastAsia" w:asciiTheme="minorEastAsia" w:hAnsiTheme="minorEastAsia" w:eastAsiaTheme="minorEastAsia"/>
                <w:color w:val="auto"/>
                <w:sz w:val="15"/>
                <w:szCs w:val="15"/>
                <w:highlight w:val="none"/>
                <w:shd w:val="clear"/>
              </w:rPr>
              <w:t>对居民装</w:t>
            </w:r>
            <w:r>
              <w:rPr>
                <w:rFonts w:hint="eastAsia" w:asciiTheme="minorEastAsia" w:hAnsiTheme="minorEastAsia" w:eastAsiaTheme="minorEastAsia"/>
                <w:color w:val="auto"/>
                <w:sz w:val="15"/>
                <w:szCs w:val="15"/>
                <w:highlight w:val="none"/>
              </w:rPr>
              <w:t>饰装修产生的建筑垃圾未制定治理方案</w:t>
            </w:r>
          </w:p>
        </w:tc>
        <w:tc>
          <w:tcPr>
            <w:tcW w:w="2789" w:type="dxa"/>
            <w:gridSpan w:val="2"/>
            <w:shd w:val="clear" w:color="auto" w:fill="auto"/>
            <w:vAlign w:val="center"/>
          </w:tcPr>
          <w:p w14:paraId="2449B7D8">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第十条第二款规定</w:t>
            </w:r>
          </w:p>
          <w:p w14:paraId="2AF4A98F">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第三十五条 责令立即改正，处3000元以上3万元以下罚款。</w:t>
            </w:r>
          </w:p>
        </w:tc>
        <w:tc>
          <w:tcPr>
            <w:tcW w:w="851" w:type="dxa"/>
            <w:shd w:val="clear" w:color="auto" w:fill="auto"/>
            <w:vAlign w:val="center"/>
          </w:tcPr>
          <w:p w14:paraId="4A16F1D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3000</w:t>
            </w:r>
          </w:p>
        </w:tc>
        <w:tc>
          <w:tcPr>
            <w:tcW w:w="840" w:type="dxa"/>
            <w:shd w:val="clear" w:color="auto" w:fill="auto"/>
            <w:vAlign w:val="center"/>
          </w:tcPr>
          <w:p w14:paraId="703536F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280D5D47">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heme="minorEastAsia" w:hAnsiTheme="minorEastAsia" w:eastAsiaTheme="minorEastAsia"/>
                <w:b w:val="0"/>
                <w:bCs w:val="0"/>
                <w:color w:val="auto"/>
                <w:sz w:val="15"/>
                <w:szCs w:val="15"/>
                <w:highlight w:val="none"/>
                <w:lang w:val="en-US"/>
              </w:rPr>
            </w:pPr>
            <w:r>
              <w:rPr>
                <w:rFonts w:hint="eastAsia" w:asciiTheme="minorEastAsia" w:hAnsiTheme="minorEastAsia" w:eastAsiaTheme="minorEastAsia"/>
                <w:b w:val="0"/>
                <w:bCs w:val="0"/>
                <w:color w:val="auto"/>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违规运输处置垃圾2车次及以上的，系数1；4车次及以上的，系数3；6车次及以上的，系数5；8车次及以上的，系数7；10车次及以上的，系数9</w:t>
            </w:r>
            <w:r>
              <w:rPr>
                <w:rFonts w:hint="eastAsia" w:ascii="宋体" w:hAnsi="宋体" w:cs="宋体"/>
                <w:b w:val="0"/>
                <w:bCs w:val="0"/>
                <w:color w:val="auto"/>
                <w:sz w:val="15"/>
                <w:szCs w:val="15"/>
                <w:highlight w:val="none"/>
                <w:lang w:val="en-US" w:eastAsia="zh-CN"/>
              </w:rPr>
              <w:t>。</w:t>
            </w:r>
            <w:r>
              <w:rPr>
                <w:rFonts w:hint="eastAsia" w:asciiTheme="minorEastAsia" w:hAnsiTheme="minorEastAsia" w:eastAsiaTheme="minorEastAsia"/>
                <w:b w:val="0"/>
                <w:bCs w:val="0"/>
                <w:color w:val="auto"/>
                <w:sz w:val="15"/>
                <w:szCs w:val="15"/>
                <w:highlight w:val="none"/>
                <w:lang w:val="en-US" w:eastAsia="zh-CN"/>
              </w:rPr>
              <w:t>2.</w:t>
            </w:r>
            <w:r>
              <w:rPr>
                <w:rFonts w:asciiTheme="minorEastAsia" w:hAnsiTheme="minorEastAsia" w:eastAsiaTheme="minorEastAsia"/>
                <w:b w:val="0"/>
                <w:bCs w:val="0"/>
                <w:color w:val="auto"/>
                <w:sz w:val="15"/>
                <w:szCs w:val="15"/>
                <w:highlight w:val="none"/>
              </w:rPr>
              <w:t>对环境造成影响的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6-9。</w:t>
            </w:r>
            <w:r>
              <w:rPr>
                <w:rFonts w:hint="eastAsia" w:ascii="宋体" w:hAnsi="宋体" w:cs="宋体"/>
                <w:b w:val="0"/>
                <w:bCs w:val="0"/>
                <w:color w:val="auto"/>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599F109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30</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604130C3">
            <w:pPr>
              <w:widowControl w:val="0"/>
              <w:numPr>
                <w:ilvl w:val="0"/>
                <w:numId w:val="0"/>
              </w:numPr>
              <w:jc w:val="both"/>
              <w:rPr>
                <w:rFonts w:asciiTheme="minorEastAsia" w:hAnsiTheme="minorEastAsia" w:eastAsiaTheme="minorEastAsia"/>
                <w:color w:val="auto"/>
                <w:sz w:val="15"/>
                <w:szCs w:val="15"/>
                <w:highlight w:val="none"/>
              </w:rPr>
            </w:pPr>
          </w:p>
        </w:tc>
      </w:tr>
      <w:tr w14:paraId="3F711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96" w:hRule="atLeast"/>
          <w:jc w:val="center"/>
        </w:trPr>
        <w:tc>
          <w:tcPr>
            <w:tcW w:w="610" w:type="dxa"/>
            <w:shd w:val="clear" w:color="auto" w:fill="auto"/>
            <w:vAlign w:val="center"/>
          </w:tcPr>
          <w:p w14:paraId="5E8EDE0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830" w:type="dxa"/>
            <w:gridSpan w:val="3"/>
            <w:shd w:val="clear" w:color="auto" w:fill="auto"/>
            <w:vAlign w:val="center"/>
          </w:tcPr>
          <w:p w14:paraId="580B49B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w:t>
            </w:r>
            <w:r>
              <w:rPr>
                <w:rFonts w:asciiTheme="minorEastAsia" w:hAnsiTheme="minorEastAsia" w:eastAsiaTheme="minorEastAsia"/>
                <w:color w:val="auto"/>
                <w:sz w:val="15"/>
                <w:szCs w:val="15"/>
                <w:highlight w:val="none"/>
              </w:rPr>
              <w:t>垃圾分类管理责任人</w:t>
            </w:r>
            <w:r>
              <w:rPr>
                <w:rFonts w:hint="eastAsia" w:asciiTheme="minorEastAsia" w:hAnsiTheme="minorEastAsia" w:eastAsiaTheme="minorEastAsia"/>
                <w:color w:val="auto"/>
                <w:sz w:val="15"/>
                <w:szCs w:val="15"/>
                <w:highlight w:val="none"/>
              </w:rPr>
              <w:t>未明确建筑垃圾投放规范、时间和地点、监督投诉方式等事项</w:t>
            </w:r>
          </w:p>
        </w:tc>
        <w:tc>
          <w:tcPr>
            <w:tcW w:w="2789" w:type="dxa"/>
            <w:gridSpan w:val="2"/>
            <w:shd w:val="clear" w:color="auto" w:fill="auto"/>
            <w:vAlign w:val="center"/>
          </w:tcPr>
          <w:p w14:paraId="060301AD">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违反条款：第十条第二款规定</w:t>
            </w:r>
          </w:p>
          <w:p w14:paraId="27FBC08B">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处罚条款：第三十五条 责令立即改正，处3000元以上3万元以下罚款。</w:t>
            </w:r>
          </w:p>
        </w:tc>
        <w:tc>
          <w:tcPr>
            <w:tcW w:w="851" w:type="dxa"/>
            <w:shd w:val="clear" w:color="auto" w:fill="auto"/>
            <w:vAlign w:val="center"/>
          </w:tcPr>
          <w:p w14:paraId="48DF4EB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tc>
        <w:tc>
          <w:tcPr>
            <w:tcW w:w="840" w:type="dxa"/>
            <w:shd w:val="clear" w:color="auto" w:fill="auto"/>
            <w:vAlign w:val="center"/>
          </w:tcPr>
          <w:p w14:paraId="6EA69AD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4A788F0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b w:val="0"/>
                <w:bCs w:val="0"/>
                <w:color w:val="auto"/>
                <w:sz w:val="15"/>
                <w:szCs w:val="15"/>
                <w:highlight w:val="none"/>
                <w:lang w:eastAsia="zh-CN"/>
              </w:rPr>
            </w:pPr>
            <w:r>
              <w:rPr>
                <w:rFonts w:hint="eastAsia" w:asciiTheme="minorEastAsia" w:hAnsiTheme="minorEastAsia" w:eastAsiaTheme="minorEastAsia"/>
                <w:b w:val="0"/>
                <w:bCs w:val="0"/>
                <w:color w:val="auto"/>
                <w:sz w:val="15"/>
                <w:szCs w:val="15"/>
                <w:highlight w:val="none"/>
              </w:rPr>
              <w:t>1.有</w:t>
            </w:r>
            <w:r>
              <w:rPr>
                <w:rFonts w:asciiTheme="minorEastAsia" w:hAnsiTheme="minorEastAsia" w:eastAsiaTheme="minorEastAsia"/>
                <w:b w:val="0"/>
                <w:bCs w:val="0"/>
                <w:color w:val="auto"/>
                <w:sz w:val="15"/>
                <w:szCs w:val="15"/>
                <w:highlight w:val="none"/>
              </w:rPr>
              <w:t>治理方案的</w:t>
            </w:r>
            <w:r>
              <w:rPr>
                <w:rFonts w:hint="eastAsia" w:asciiTheme="minorEastAsia" w:hAnsiTheme="minorEastAsia" w:eastAsiaTheme="minorEastAsia"/>
                <w:b w:val="0"/>
                <w:bCs w:val="0"/>
                <w:color w:val="auto"/>
                <w:sz w:val="15"/>
                <w:szCs w:val="15"/>
                <w:highlight w:val="none"/>
              </w:rPr>
              <w:t>，但明确</w:t>
            </w:r>
            <w:r>
              <w:rPr>
                <w:rFonts w:asciiTheme="minorEastAsia" w:hAnsiTheme="minorEastAsia" w:eastAsiaTheme="minorEastAsia"/>
                <w:b w:val="0"/>
                <w:bCs w:val="0"/>
                <w:color w:val="auto"/>
                <w:sz w:val="15"/>
                <w:szCs w:val="15"/>
                <w:highlight w:val="none"/>
              </w:rPr>
              <w:t>事项造成缺项，</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1</w:t>
            </w:r>
            <w:r>
              <w:rPr>
                <w:rFonts w:asciiTheme="minorEastAsia" w:hAnsiTheme="minorEastAsia" w:eastAsiaTheme="minorEastAsia"/>
                <w:b w:val="0"/>
                <w:bCs w:val="0"/>
                <w:color w:val="auto"/>
                <w:sz w:val="15"/>
                <w:szCs w:val="15"/>
                <w:highlight w:val="none"/>
              </w:rPr>
              <w:t>-2</w:t>
            </w:r>
            <w:r>
              <w:rPr>
                <w:rFonts w:hint="eastAsia" w:asciiTheme="minorEastAsia" w:hAnsiTheme="minorEastAsia" w:eastAsiaTheme="minorEastAsia"/>
                <w:b w:val="0"/>
                <w:bCs w:val="0"/>
                <w:color w:val="auto"/>
                <w:sz w:val="15"/>
                <w:szCs w:val="15"/>
                <w:highlight w:val="none"/>
              </w:rPr>
              <w:t>；2.有</w:t>
            </w:r>
            <w:r>
              <w:rPr>
                <w:rFonts w:asciiTheme="minorEastAsia" w:hAnsiTheme="minorEastAsia" w:eastAsiaTheme="minorEastAsia"/>
                <w:b w:val="0"/>
                <w:bCs w:val="0"/>
                <w:color w:val="auto"/>
                <w:sz w:val="15"/>
                <w:szCs w:val="15"/>
                <w:highlight w:val="none"/>
              </w:rPr>
              <w:t>治理方案的，</w:t>
            </w:r>
            <w:r>
              <w:rPr>
                <w:rFonts w:hint="eastAsia" w:asciiTheme="minorEastAsia" w:hAnsiTheme="minorEastAsia" w:eastAsiaTheme="minorEastAsia"/>
                <w:b w:val="0"/>
                <w:bCs w:val="0"/>
                <w:color w:val="auto"/>
                <w:sz w:val="15"/>
                <w:szCs w:val="15"/>
                <w:highlight w:val="none"/>
              </w:rPr>
              <w:t>明确</w:t>
            </w:r>
            <w:r>
              <w:rPr>
                <w:rFonts w:asciiTheme="minorEastAsia" w:hAnsiTheme="minorEastAsia" w:eastAsiaTheme="minorEastAsia"/>
                <w:b w:val="0"/>
                <w:bCs w:val="0"/>
                <w:color w:val="auto"/>
                <w:sz w:val="15"/>
                <w:szCs w:val="15"/>
                <w:highlight w:val="none"/>
              </w:rPr>
              <w:t>事项造成缺项，且对环境</w:t>
            </w:r>
            <w:r>
              <w:rPr>
                <w:rFonts w:hint="eastAsia" w:asciiTheme="minorEastAsia" w:hAnsiTheme="minorEastAsia" w:eastAsiaTheme="minorEastAsia"/>
                <w:b w:val="0"/>
                <w:bCs w:val="0"/>
                <w:color w:val="auto"/>
                <w:sz w:val="15"/>
                <w:szCs w:val="15"/>
                <w:highlight w:val="none"/>
              </w:rPr>
              <w:t>秩序</w:t>
            </w:r>
            <w:r>
              <w:rPr>
                <w:rFonts w:asciiTheme="minorEastAsia" w:hAnsiTheme="minorEastAsia" w:eastAsiaTheme="minorEastAsia"/>
                <w:b w:val="0"/>
                <w:bCs w:val="0"/>
                <w:color w:val="auto"/>
                <w:sz w:val="15"/>
                <w:szCs w:val="15"/>
                <w:highlight w:val="none"/>
              </w:rPr>
              <w:t>造成影响的，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3</w:t>
            </w:r>
            <w:r>
              <w:rPr>
                <w:rFonts w:asciiTheme="minorEastAsia" w:hAnsiTheme="minorEastAsia" w:eastAsiaTheme="minorEastAsia"/>
                <w:b w:val="0"/>
                <w:bCs w:val="0"/>
                <w:color w:val="auto"/>
                <w:sz w:val="15"/>
                <w:szCs w:val="15"/>
                <w:highlight w:val="none"/>
              </w:rPr>
              <w:t>-4</w:t>
            </w:r>
            <w:r>
              <w:rPr>
                <w:rFonts w:hint="eastAsia" w:asciiTheme="minorEastAsia" w:hAnsiTheme="minorEastAsia" w:eastAsiaTheme="minorEastAsia"/>
                <w:b w:val="0"/>
                <w:bCs w:val="0"/>
                <w:color w:val="auto"/>
                <w:sz w:val="15"/>
                <w:szCs w:val="15"/>
                <w:highlight w:val="none"/>
              </w:rPr>
              <w:t>；3.要素</w:t>
            </w:r>
            <w:r>
              <w:rPr>
                <w:rFonts w:asciiTheme="minorEastAsia" w:hAnsiTheme="minorEastAsia" w:eastAsiaTheme="minorEastAsia"/>
                <w:b w:val="0"/>
                <w:bCs w:val="0"/>
                <w:color w:val="auto"/>
                <w:sz w:val="15"/>
                <w:szCs w:val="15"/>
                <w:highlight w:val="none"/>
              </w:rPr>
              <w:t>全部缺失</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对环境造成</w:t>
            </w:r>
            <w:r>
              <w:rPr>
                <w:rFonts w:hint="eastAsia" w:asciiTheme="minorEastAsia" w:hAnsiTheme="minorEastAsia" w:eastAsiaTheme="minorEastAsia"/>
                <w:b w:val="0"/>
                <w:bCs w:val="0"/>
                <w:color w:val="auto"/>
                <w:sz w:val="15"/>
                <w:szCs w:val="15"/>
                <w:highlight w:val="none"/>
              </w:rPr>
              <w:t>较</w:t>
            </w:r>
            <w:r>
              <w:rPr>
                <w:rFonts w:asciiTheme="minorEastAsia" w:hAnsiTheme="minorEastAsia" w:eastAsiaTheme="minorEastAsia"/>
                <w:b w:val="0"/>
                <w:bCs w:val="0"/>
                <w:color w:val="auto"/>
                <w:sz w:val="15"/>
                <w:szCs w:val="15"/>
                <w:highlight w:val="none"/>
              </w:rPr>
              <w:t>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5</w:t>
            </w:r>
            <w:r>
              <w:rPr>
                <w:rFonts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9</w:t>
            </w:r>
            <w:r>
              <w:rPr>
                <w:rFonts w:hint="eastAsia" w:asciiTheme="minorEastAsia" w:hAnsiTheme="minorEastAsia" w:eastAsiaTheme="minorEastAsia"/>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0DDAF6A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罚款数额＝3000×（1＋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66EF26C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p>
        </w:tc>
      </w:tr>
      <w:tr w14:paraId="4E83C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71" w:hRule="atLeast"/>
          <w:jc w:val="center"/>
        </w:trPr>
        <w:tc>
          <w:tcPr>
            <w:tcW w:w="610" w:type="dxa"/>
            <w:shd w:val="clear" w:color="auto" w:fill="auto"/>
            <w:vAlign w:val="center"/>
          </w:tcPr>
          <w:p w14:paraId="392F09B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830" w:type="dxa"/>
            <w:gridSpan w:val="3"/>
            <w:shd w:val="clear" w:color="auto" w:fill="auto"/>
            <w:vAlign w:val="center"/>
          </w:tcPr>
          <w:p w14:paraId="2185C2D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建设单位（或生活垃圾分类管理责任人）委托他人</w:t>
            </w:r>
            <w:r>
              <w:rPr>
                <w:rFonts w:asciiTheme="minorEastAsia" w:hAnsiTheme="minorEastAsia" w:eastAsiaTheme="minorEastAsia"/>
                <w:color w:val="auto"/>
                <w:sz w:val="15"/>
                <w:szCs w:val="15"/>
                <w:highlight w:val="none"/>
              </w:rPr>
              <w:t>处置建筑垃圾未选择有资质的运输服务单位</w:t>
            </w:r>
          </w:p>
        </w:tc>
        <w:tc>
          <w:tcPr>
            <w:tcW w:w="2789" w:type="dxa"/>
            <w:gridSpan w:val="2"/>
            <w:shd w:val="clear" w:color="auto" w:fill="auto"/>
            <w:vAlign w:val="center"/>
          </w:tcPr>
          <w:p w14:paraId="214B5734">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第十三条第一款第(二)项</w:t>
            </w:r>
          </w:p>
          <w:p w14:paraId="3DB4B079">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第三十六条 责令立即改正，处以1万元以上10万元以下罚款。</w:t>
            </w:r>
          </w:p>
        </w:tc>
        <w:tc>
          <w:tcPr>
            <w:tcW w:w="851" w:type="dxa"/>
            <w:shd w:val="clear" w:color="auto" w:fill="auto"/>
            <w:vAlign w:val="center"/>
          </w:tcPr>
          <w:p w14:paraId="5A8EE67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5B77F6E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0D9BA92C">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宋体" w:hAnsi="宋体" w:cs="宋体"/>
                <w:b w:val="0"/>
                <w:bCs w:val="0"/>
                <w:color w:val="auto"/>
                <w:sz w:val="15"/>
                <w:szCs w:val="15"/>
                <w:highlight w:val="none"/>
                <w:lang w:val="en-US" w:eastAsia="zh-CN"/>
              </w:rPr>
              <w:t>运输垃圾2车次及以上的，系数1；4车次及以上的，系数3；6车次及以上的，系数5；8车次及以上的，系数7；10车次及以上的，系数9。</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.违法行为持续时间较长、建筑垃圾产生量较大、造成环境较严重影响的，系数</w:t>
            </w:r>
            <w:r>
              <w:rPr>
                <w:rFonts w:hint="eastAsia" w:asciiTheme="minorEastAsia" w:hAnsiTheme="minorEastAsia" w:eastAsiaTheme="minorEastAsia"/>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宋体" w:hAnsi="宋体" w:cs="宋体"/>
                <w:b w:val="0"/>
                <w:bCs w:val="0"/>
                <w:color w:val="auto"/>
                <w:sz w:val="15"/>
                <w:szCs w:val="15"/>
                <w:highlight w:val="none"/>
                <w:lang w:val="en-US" w:eastAsia="zh-CN"/>
              </w:rPr>
              <w:t>3</w:t>
            </w:r>
            <w:r>
              <w:rPr>
                <w:rFonts w:hint="eastAsia" w:ascii="宋体" w:hAnsi="宋体" w:cs="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449B1D9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35CF337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p>
        </w:tc>
      </w:tr>
      <w:tr w14:paraId="46258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52" w:hRule="atLeast"/>
          <w:jc w:val="center"/>
        </w:trPr>
        <w:tc>
          <w:tcPr>
            <w:tcW w:w="610" w:type="dxa"/>
            <w:vMerge w:val="restart"/>
            <w:shd w:val="clear" w:color="auto" w:fill="auto"/>
            <w:vAlign w:val="center"/>
          </w:tcPr>
          <w:p w14:paraId="2E734B5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830" w:type="dxa"/>
            <w:gridSpan w:val="3"/>
            <w:vMerge w:val="restart"/>
            <w:shd w:val="clear" w:color="auto" w:fill="auto"/>
            <w:vAlign w:val="center"/>
          </w:tcPr>
          <w:p w14:paraId="54E751B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未经许可擅自设置建筑垃圾消纳场所</w:t>
            </w:r>
          </w:p>
        </w:tc>
        <w:tc>
          <w:tcPr>
            <w:tcW w:w="2789" w:type="dxa"/>
            <w:gridSpan w:val="2"/>
            <w:vMerge w:val="restart"/>
            <w:shd w:val="clear" w:color="auto" w:fill="auto"/>
            <w:vAlign w:val="center"/>
          </w:tcPr>
          <w:p w14:paraId="245523DC">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w:t>
            </w:r>
          </w:p>
          <w:p w14:paraId="409517D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shd w:val="clear" w:color="auto" w:fill="auto"/>
            <w:vAlign w:val="center"/>
          </w:tcPr>
          <w:p w14:paraId="3CCC044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14:paraId="49DD895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1222377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6427F129">
            <w:pPr>
              <w:numPr>
                <w:ilvl w:val="0"/>
                <w:numId w:val="0"/>
              </w:numPr>
              <w:spacing w:line="232" w:lineRule="exact"/>
              <w:rPr>
                <w:rFonts w:hint="default" w:asciiTheme="minorEastAsia" w:hAnsiTheme="minorEastAsia" w:eastAsiaTheme="minorEastAsia"/>
                <w:color w:val="auto"/>
                <w:sz w:val="15"/>
                <w:szCs w:val="15"/>
                <w:highlight w:val="none"/>
                <w:lang w:val="en-US"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ascii="宋体" w:hAnsi="宋体"/>
                <w:b/>
                <w:bCs/>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095E040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6A3F3CD5">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heme="minorEastAsia" w:hAnsiTheme="minorEastAsia" w:eastAsiaTheme="minorEastAsia"/>
                <w:color w:val="auto"/>
                <w:sz w:val="15"/>
                <w:szCs w:val="15"/>
                <w:highlight w:val="none"/>
                <w:lang w:val="en-US" w:eastAsia="zh-CN"/>
              </w:rPr>
            </w:pPr>
          </w:p>
        </w:tc>
      </w:tr>
      <w:tr w14:paraId="2756A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32" w:hRule="atLeast"/>
          <w:jc w:val="center"/>
        </w:trPr>
        <w:tc>
          <w:tcPr>
            <w:tcW w:w="610" w:type="dxa"/>
            <w:vMerge w:val="continue"/>
            <w:shd w:val="clear" w:color="auto" w:fill="auto"/>
            <w:vAlign w:val="center"/>
          </w:tcPr>
          <w:p w14:paraId="2BB7DBA4">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6980A68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6745560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7900691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strike w:val="0"/>
                <w:dstrike w:val="0"/>
                <w:color w:val="auto"/>
                <w:sz w:val="15"/>
                <w:szCs w:val="15"/>
                <w:highlight w:val="none"/>
                <w:lang w:val="en-US" w:eastAsia="zh-CN"/>
              </w:rPr>
            </w:pPr>
            <w:r>
              <w:rPr>
                <w:rFonts w:hint="eastAsia" w:asciiTheme="minorEastAsia" w:hAnsiTheme="minorEastAsia" w:eastAsiaTheme="minorEastAsia"/>
                <w:strike w:val="0"/>
                <w:dstrike w:val="0"/>
                <w:color w:val="auto"/>
                <w:sz w:val="15"/>
                <w:szCs w:val="15"/>
                <w:highlight w:val="none"/>
                <w:lang w:val="en-US" w:eastAsia="zh-CN"/>
              </w:rPr>
              <w:t>1500</w:t>
            </w:r>
          </w:p>
          <w:p w14:paraId="3632807E">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2375D458">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60754116">
            <w:pPr>
              <w:numPr>
                <w:ilvl w:val="0"/>
                <w:numId w:val="0"/>
              </w:num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宋体" w:hAnsi="宋体" w:eastAsia="宋体"/>
                <w:b w:val="0"/>
                <w:bCs w:val="0"/>
                <w:color w:val="auto"/>
                <w:sz w:val="15"/>
                <w:szCs w:val="15"/>
                <w:highlight w:val="none"/>
                <w:lang w:val="en-US" w:eastAsia="zh-CN"/>
              </w:rPr>
              <w:t>1.</w:t>
            </w:r>
            <w:r>
              <w:rPr>
                <w:rFonts w:hint="eastAsia" w:ascii="宋体" w:hAnsi="宋体" w:eastAsia="宋体"/>
                <w:b w:val="0"/>
                <w:bCs w:val="0"/>
                <w:color w:val="auto"/>
                <w:sz w:val="15"/>
                <w:szCs w:val="15"/>
                <w:highlight w:val="none"/>
              </w:rPr>
              <w:t>违法行为持续时间</w:t>
            </w:r>
            <w:r>
              <w:rPr>
                <w:rFonts w:hint="eastAsia" w:ascii="宋体" w:hAnsi="宋体" w:eastAsia="宋体"/>
                <w:b w:val="0"/>
                <w:bCs w:val="0"/>
                <w:color w:val="auto"/>
                <w:sz w:val="15"/>
                <w:szCs w:val="15"/>
                <w:highlight w:val="none"/>
                <w:lang w:val="en-US" w:eastAsia="zh-CN"/>
              </w:rPr>
              <w:t>5天及以上的或者</w:t>
            </w:r>
            <w:r>
              <w:rPr>
                <w:rFonts w:hint="eastAsia" w:ascii="宋体" w:hAnsi="宋体"/>
                <w:b w:val="0"/>
                <w:bCs w:val="0"/>
                <w:color w:val="auto"/>
                <w:sz w:val="15"/>
                <w:szCs w:val="15"/>
                <w:highlight w:val="none"/>
                <w:lang w:eastAsia="zh-CN"/>
              </w:rPr>
              <w:t>垃圾占地面积</w:t>
            </w:r>
            <w:r>
              <w:rPr>
                <w:rFonts w:hint="eastAsia" w:ascii="宋体" w:hAnsi="宋体"/>
                <w:b w:val="0"/>
                <w:bCs w:val="0"/>
                <w:color w:val="auto"/>
                <w:sz w:val="15"/>
                <w:szCs w:val="15"/>
                <w:highlight w:val="none"/>
                <w:lang w:val="en-US" w:eastAsia="zh-CN"/>
              </w:rPr>
              <w:t>2亩及以上的</w:t>
            </w:r>
            <w:r>
              <w:rPr>
                <w:rFonts w:hint="eastAsia" w:ascii="宋体" w:hAnsi="宋体" w:eastAsia="宋体"/>
                <w:b w:val="0"/>
                <w:bCs w:val="0"/>
                <w:color w:val="auto"/>
                <w:sz w:val="15"/>
                <w:szCs w:val="15"/>
                <w:highlight w:val="none"/>
                <w:lang w:val="en-US" w:eastAsia="zh-CN"/>
              </w:rPr>
              <w:t>，系数0.5</w:t>
            </w:r>
            <w:r>
              <w:rPr>
                <w:rFonts w:hint="eastAsia" w:ascii="宋体" w:hAnsi="宋体"/>
                <w:b w:val="0"/>
                <w:bCs w:val="0"/>
                <w:color w:val="auto"/>
                <w:sz w:val="15"/>
                <w:szCs w:val="15"/>
                <w:highlight w:val="none"/>
                <w:lang w:val="en-US" w:eastAsia="zh-CN"/>
              </w:rPr>
              <w:t>。</w:t>
            </w:r>
            <w:r>
              <w:rPr>
                <w:rFonts w:hint="eastAsia" w:ascii="宋体" w:hAnsi="宋体" w:eastAsia="宋体"/>
                <w:b w:val="0"/>
                <w:bCs w:val="0"/>
                <w:color w:val="auto"/>
                <w:sz w:val="15"/>
                <w:szCs w:val="15"/>
                <w:highlight w:val="none"/>
                <w:lang w:val="en-US" w:eastAsia="zh-CN"/>
              </w:rPr>
              <w:t>2.持续时间10天及以上，或者</w:t>
            </w:r>
            <w:r>
              <w:rPr>
                <w:rFonts w:hint="eastAsia" w:ascii="宋体" w:hAnsi="宋体"/>
                <w:b w:val="0"/>
                <w:bCs w:val="0"/>
                <w:color w:val="auto"/>
                <w:sz w:val="15"/>
                <w:szCs w:val="15"/>
                <w:highlight w:val="none"/>
                <w:lang w:val="en-US" w:eastAsia="zh-CN"/>
              </w:rPr>
              <w:t>垃圾占地面积4亩及以上或者</w:t>
            </w:r>
            <w:r>
              <w:rPr>
                <w:rFonts w:hint="eastAsia" w:ascii="宋体" w:hAnsi="宋体" w:eastAsia="宋体"/>
                <w:b w:val="0"/>
                <w:bCs w:val="0"/>
                <w:color w:val="auto"/>
                <w:sz w:val="15"/>
                <w:szCs w:val="15"/>
                <w:highlight w:val="none"/>
              </w:rPr>
              <w:t>造成较严重影响的，系数1。</w:t>
            </w:r>
            <w:r>
              <w:rPr>
                <w:rFonts w:hint="eastAsia" w:ascii="宋体" w:hAnsi="宋体"/>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473B93CE">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15</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4BB7C7EE">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lang w:eastAsia="zh-CN"/>
              </w:rPr>
              <w:t>拟作出</w:t>
            </w:r>
            <w:r>
              <w:rPr>
                <w:rFonts w:hint="eastAsia" w:asciiTheme="minorEastAsia" w:hAnsiTheme="minorEastAsia" w:eastAsiaTheme="minorEastAsia"/>
                <w:color w:val="auto"/>
                <w:sz w:val="15"/>
                <w:szCs w:val="15"/>
                <w:highlight w:val="none"/>
                <w:lang w:val="en-US" w:eastAsia="zh-CN"/>
              </w:rPr>
              <w:t>1500元以下罚款的，说明理由并报案审会决定。</w:t>
            </w:r>
          </w:p>
        </w:tc>
      </w:tr>
      <w:tr w14:paraId="5F6EA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75" w:hRule="atLeast"/>
          <w:jc w:val="center"/>
        </w:trPr>
        <w:tc>
          <w:tcPr>
            <w:tcW w:w="610" w:type="dxa"/>
            <w:vMerge w:val="continue"/>
            <w:shd w:val="clear" w:color="auto" w:fill="auto"/>
            <w:vAlign w:val="center"/>
          </w:tcPr>
          <w:p w14:paraId="4E8AD41C">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652839CD">
            <w:pPr>
              <w:spacing w:line="232" w:lineRule="exact"/>
              <w:jc w:val="lef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6A88B946">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A56936E">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14:paraId="3D068370">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3426" w:type="dxa"/>
            <w:shd w:val="clear" w:color="auto" w:fill="auto"/>
            <w:vAlign w:val="center"/>
          </w:tcPr>
          <w:p w14:paraId="17DB94CB">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w:t>
            </w:r>
            <w:r>
              <w:rPr>
                <w:rFonts w:hint="eastAsia" w:asciiTheme="minorEastAsia" w:hAnsiTheme="minorEastAsia" w:eastAsiaTheme="minorEastAsia" w:cstheme="minorEastAsia"/>
                <w:b w:val="0"/>
                <w:bCs w:val="0"/>
                <w:color w:val="auto"/>
                <w:sz w:val="15"/>
                <w:szCs w:val="15"/>
                <w:highlight w:val="none"/>
                <w:lang w:val="en-US" w:eastAsia="zh-CN"/>
              </w:rPr>
              <w:t>地核心保护区等依法确定的重点保护区域面积达到2亩的，系数1；3亩的，系数2；4亩的，系数3；5亩的，系数4；6亩的，系数5；以此类推。面积10亩及以上的，系数9；2.占用公共用地面积3-6亩（含3亩）的，系数1，6-9亩（含6亩），系数2；9-12亩（含9亩）的，系数3；12-15亩（含15亩）的，系数4；15-18亩（含15亩）的，系数5；以此类推，面积27亩及以上的，系数9；3.存在其他严重污染环境、破坏生态情形的，系数5- 6；</w:t>
            </w:r>
            <w:r>
              <w:rPr>
                <w:rFonts w:hint="eastAsia"/>
                <w:b w:val="0"/>
                <w:bCs w:val="0"/>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14:paraId="39D6808D">
            <w:pPr>
              <w:pStyle w:val="8"/>
              <w:rPr>
                <w:rFonts w:hint="default"/>
                <w:color w:val="auto"/>
                <w:highlight w:val="none"/>
                <w:lang w:val="en-US" w:eastAsia="zh-CN"/>
              </w:rPr>
            </w:pPr>
          </w:p>
        </w:tc>
        <w:tc>
          <w:tcPr>
            <w:tcW w:w="1875" w:type="dxa"/>
            <w:gridSpan w:val="2"/>
            <w:shd w:val="clear" w:color="auto" w:fill="auto"/>
            <w:vAlign w:val="center"/>
          </w:tcPr>
          <w:p w14:paraId="59D8FDB4">
            <w:pPr>
              <w:spacing w:line="232" w:lineRule="exact"/>
              <w:jc w:val="lef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2DE6711C">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r>
      <w:tr w14:paraId="1AC7C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020" w:hRule="atLeast"/>
          <w:jc w:val="center"/>
        </w:trPr>
        <w:tc>
          <w:tcPr>
            <w:tcW w:w="610" w:type="dxa"/>
            <w:shd w:val="clear" w:color="auto" w:fill="auto"/>
            <w:vAlign w:val="center"/>
          </w:tcPr>
          <w:p w14:paraId="1C717F7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830" w:type="dxa"/>
            <w:gridSpan w:val="3"/>
            <w:shd w:val="clear" w:color="auto" w:fill="auto"/>
            <w:vAlign w:val="center"/>
          </w:tcPr>
          <w:p w14:paraId="3B93B86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或</w:t>
            </w:r>
            <w:r>
              <w:rPr>
                <w:rFonts w:asciiTheme="minorEastAsia" w:hAnsiTheme="minorEastAsia" w:eastAsiaTheme="minorEastAsia"/>
                <w:color w:val="auto"/>
                <w:sz w:val="15"/>
                <w:szCs w:val="15"/>
                <w:highlight w:val="none"/>
              </w:rPr>
              <w:t>临时处置点经营单位）</w:t>
            </w:r>
            <w:r>
              <w:rPr>
                <w:rFonts w:hint="eastAsia" w:asciiTheme="minorEastAsia" w:hAnsiTheme="minorEastAsia" w:eastAsiaTheme="minorEastAsia"/>
                <w:color w:val="auto"/>
                <w:sz w:val="15"/>
                <w:szCs w:val="15"/>
                <w:highlight w:val="none"/>
              </w:rPr>
              <w:t>未按照消纳处置协议的约定接收符合分类标准的建筑垃圾</w:t>
            </w:r>
          </w:p>
        </w:tc>
        <w:tc>
          <w:tcPr>
            <w:tcW w:w="2789" w:type="dxa"/>
            <w:gridSpan w:val="2"/>
            <w:shd w:val="clear" w:color="auto" w:fill="auto"/>
            <w:vAlign w:val="center"/>
          </w:tcPr>
          <w:p w14:paraId="6FD4AD3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第十七条第一款第(一)项</w:t>
            </w:r>
          </w:p>
          <w:p w14:paraId="5CE64D6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第三十八条</w:t>
            </w:r>
            <w:r>
              <w:rPr>
                <w:rFonts w:asciiTheme="minorEastAsia" w:hAnsiTheme="minorEastAsia" w:eastAsiaTheme="minorEastAsia"/>
                <w:color w:val="auto"/>
                <w:sz w:val="15"/>
                <w:szCs w:val="15"/>
                <w:highlight w:val="none"/>
              </w:rPr>
              <w:t>第一款</w:t>
            </w:r>
            <w:r>
              <w:rPr>
                <w:rFonts w:hint="eastAsia" w:asciiTheme="minorEastAsia" w:hAnsiTheme="minorEastAsia" w:eastAsiaTheme="minorEastAsia"/>
                <w:color w:val="auto"/>
                <w:sz w:val="15"/>
                <w:szCs w:val="15"/>
                <w:highlight w:val="none"/>
              </w:rPr>
              <w:t xml:space="preserve"> 责令限期改正，处5万元以上10万元以下罚款，情节严重的，由城市管理综合执法部门吊销建筑垃圾消纳场所设置许可。</w:t>
            </w:r>
          </w:p>
        </w:tc>
        <w:tc>
          <w:tcPr>
            <w:tcW w:w="851" w:type="dxa"/>
            <w:shd w:val="clear" w:color="auto" w:fill="auto"/>
            <w:vAlign w:val="center"/>
          </w:tcPr>
          <w:p w14:paraId="0BA0B8D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14:paraId="245BC458">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25599FED">
            <w:pPr>
              <w:spacing w:line="232" w:lineRule="exact"/>
              <w:jc w:val="left"/>
              <w:rPr>
                <w:rFonts w:hint="default" w:cs="宋体" w:asciiTheme="minorEastAsia" w:hAnsiTheme="minorEastAsia" w:eastAsiaTheme="minorEastAsia"/>
                <w:b/>
                <w:bCs/>
                <w:color w:val="auto"/>
                <w:kern w:val="0"/>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lang w:eastAsia="zh-CN"/>
              </w:rPr>
              <w:t>造成</w:t>
            </w:r>
            <w:r>
              <w:rPr>
                <w:rFonts w:hint="eastAsia" w:asciiTheme="minorEastAsia" w:hAnsiTheme="minorEastAsia" w:eastAsiaTheme="minorEastAsia"/>
                <w:color w:val="auto"/>
                <w:sz w:val="15"/>
                <w:szCs w:val="15"/>
                <w:highlight w:val="none"/>
              </w:rPr>
              <w:t>较大环境污染或者社会影响的，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0.5-1；</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Batang" w:asciiTheme="minorEastAsia" w:hAnsiTheme="minorEastAsia" w:eastAsiaTheme="minorEastAsia"/>
                <w:color w:val="auto"/>
                <w:sz w:val="15"/>
                <w:szCs w:val="15"/>
                <w:highlight w:val="none"/>
                <w:lang w:val="en-US" w:eastAsia="zh-CN"/>
              </w:rPr>
              <w:t>存在基准2.1.3规定情形的，系数按照相关规定确定。</w:t>
            </w:r>
          </w:p>
        </w:tc>
        <w:tc>
          <w:tcPr>
            <w:tcW w:w="1875" w:type="dxa"/>
            <w:gridSpan w:val="2"/>
            <w:shd w:val="clear" w:color="auto" w:fill="auto"/>
            <w:vAlign w:val="center"/>
          </w:tcPr>
          <w:p w14:paraId="414A5457">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4EF42D0C">
            <w:pPr>
              <w:numPr>
                <w:ilvl w:val="0"/>
                <w:numId w:val="2"/>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可以认定为“情节严重”情形的；</w:t>
            </w:r>
          </w:p>
          <w:p w14:paraId="0EA63FA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r>
      <w:tr w14:paraId="3F235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97" w:hRule="atLeast"/>
          <w:jc w:val="center"/>
        </w:trPr>
        <w:tc>
          <w:tcPr>
            <w:tcW w:w="610" w:type="dxa"/>
            <w:shd w:val="clear" w:color="auto" w:fill="auto"/>
            <w:vAlign w:val="center"/>
          </w:tcPr>
          <w:p w14:paraId="31495D8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830" w:type="dxa"/>
            <w:gridSpan w:val="3"/>
            <w:shd w:val="clear" w:color="auto" w:fill="auto"/>
            <w:vAlign w:val="center"/>
          </w:tcPr>
          <w:p w14:paraId="1310F8A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建筑垃圾消纳场所（或临时处置点经营单位）未按照规定采取扬尘污染防治措施或者采取措施不当</w:t>
            </w:r>
          </w:p>
        </w:tc>
        <w:tc>
          <w:tcPr>
            <w:tcW w:w="2789" w:type="dxa"/>
            <w:gridSpan w:val="2"/>
            <w:shd w:val="clear" w:color="auto" w:fill="auto"/>
            <w:vAlign w:val="center"/>
          </w:tcPr>
          <w:p w14:paraId="4D958B6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第十七条第一款第(二)项</w:t>
            </w:r>
          </w:p>
          <w:p w14:paraId="5EECCC3E">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三十八条第二款</w:t>
            </w:r>
            <w:r>
              <w:rPr>
                <w:rFonts w:hint="eastAsia" w:asciiTheme="minorEastAsia" w:hAnsiTheme="minorEastAsia" w:eastAsiaTheme="minorEastAsia"/>
                <w:color w:val="auto"/>
                <w:sz w:val="15"/>
                <w:szCs w:val="15"/>
                <w:highlight w:val="none"/>
              </w:rPr>
              <w:t xml:space="preserve"> 责令限期改正，处1万元以上10万元以下罚款；逾期未改正的，责令停工整治或者停业整治。</w:t>
            </w:r>
          </w:p>
        </w:tc>
        <w:tc>
          <w:tcPr>
            <w:tcW w:w="851" w:type="dxa"/>
            <w:shd w:val="clear" w:color="auto" w:fill="auto"/>
            <w:vAlign w:val="center"/>
          </w:tcPr>
          <w:p w14:paraId="07F30D6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10DCD2B0">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6A020F4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宋体" w:hAnsi="宋体" w:eastAsia="宋体" w:cs="宋体"/>
                <w:b w:val="0"/>
                <w:bCs w:val="0"/>
                <w:color w:val="auto"/>
                <w:sz w:val="15"/>
                <w:szCs w:val="15"/>
                <w:highlight w:val="none"/>
                <w:lang w:eastAsia="zh-CN"/>
              </w:rPr>
              <w:t>未苫盖</w:t>
            </w:r>
            <w:r>
              <w:rPr>
                <w:rFonts w:hint="eastAsia" w:ascii="宋体" w:hAnsi="宋体" w:eastAsia="宋体" w:cs="宋体"/>
                <w:b w:val="0"/>
                <w:bCs w:val="0"/>
                <w:color w:val="auto"/>
                <w:sz w:val="15"/>
                <w:szCs w:val="15"/>
                <w:highlight w:val="none"/>
              </w:rPr>
              <w:t>面积10</w:t>
            </w:r>
            <w:r>
              <w:rPr>
                <w:rFonts w:hint="eastAsia" w:ascii="宋体" w:hAnsi="宋体" w:eastAsia="宋体" w:cs="宋体"/>
                <w:b w:val="0"/>
                <w:bCs w:val="0"/>
                <w:color w:val="auto"/>
                <w:sz w:val="15"/>
                <w:szCs w:val="15"/>
                <w:highlight w:val="none"/>
                <w:lang w:val="en-US" w:eastAsia="zh-CN"/>
              </w:rPr>
              <w:t>0</w:t>
            </w:r>
            <w:r>
              <w:rPr>
                <w:rFonts w:hint="eastAsia" w:ascii="宋体" w:hAnsi="宋体" w:eastAsia="宋体" w:cs="宋体"/>
                <w:b w:val="0"/>
                <w:bCs w:val="0"/>
                <w:color w:val="auto"/>
                <w:sz w:val="15"/>
                <w:szCs w:val="15"/>
                <w:highlight w:val="none"/>
              </w:rPr>
              <w:t>㎡以下的，系数0；1</w:t>
            </w:r>
            <w:r>
              <w:rPr>
                <w:rFonts w:hint="eastAsia" w:ascii="宋体" w:hAnsi="宋体" w:eastAsia="宋体" w:cs="宋体"/>
                <w:b w:val="0"/>
                <w:bCs w:val="0"/>
                <w:color w:val="auto"/>
                <w:sz w:val="15"/>
                <w:szCs w:val="15"/>
                <w:highlight w:val="none"/>
                <w:lang w:val="en-US" w:eastAsia="zh-CN"/>
              </w:rPr>
              <w:t>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300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eastAsia="宋体" w:cs="宋体"/>
                <w:b w:val="0"/>
                <w:bCs w:val="0"/>
                <w:color w:val="auto"/>
                <w:sz w:val="15"/>
                <w:szCs w:val="15"/>
                <w:highlight w:val="none"/>
                <w:lang w:val="en-US" w:eastAsia="zh-CN"/>
              </w:rPr>
              <w:t>300-400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3</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400-500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4；500-600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900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造成社会恶劣影响或者</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较严重后果的，</w:t>
            </w:r>
            <w:r>
              <w:rPr>
                <w:rFonts w:hint="eastAsia" w:asciiTheme="minorEastAsia" w:hAnsiTheme="minorEastAsia" w:eastAsiaTheme="minorEastAsia"/>
                <w:color w:val="auto"/>
                <w:sz w:val="15"/>
                <w:szCs w:val="15"/>
                <w:highlight w:val="none"/>
                <w:lang w:eastAsia="zh-CN"/>
              </w:rPr>
              <w:t>系数</w:t>
            </w:r>
            <w:r>
              <w:rPr>
                <w:rFonts w:hint="default" w:asciiTheme="minorEastAsia" w:hAnsiTheme="minorEastAsia" w:eastAsiaTheme="minorEastAsia"/>
                <w:color w:val="auto"/>
                <w:sz w:val="15"/>
                <w:szCs w:val="15"/>
                <w:highlight w:val="none"/>
                <w:lang w:val="en-US"/>
              </w:rPr>
              <w:t>5-6</w:t>
            </w:r>
            <w:r>
              <w:rPr>
                <w:rFonts w:hint="eastAsia" w:asciiTheme="minorEastAsia" w:hAnsiTheme="minorEastAsia" w:eastAsiaTheme="minorEastAsia"/>
                <w:color w:val="auto"/>
                <w:sz w:val="15"/>
                <w:szCs w:val="15"/>
                <w:highlight w:val="none"/>
                <w:lang w:eastAsia="zh-CN"/>
              </w:rPr>
              <w:t>。</w:t>
            </w:r>
            <w:r>
              <w:rPr>
                <w:rFonts w:hint="eastAsia"/>
                <w:b w:val="0"/>
                <w:bCs w:val="0"/>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17BCCC3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008363C7">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w:t>
            </w:r>
            <w:r>
              <w:rPr>
                <w:rFonts w:asciiTheme="minorEastAsia" w:hAnsiTheme="minorEastAsia" w:eastAsiaTheme="minorEastAsia"/>
                <w:color w:val="auto"/>
                <w:sz w:val="15"/>
                <w:szCs w:val="15"/>
                <w:highlight w:val="none"/>
              </w:rPr>
              <w:t>根据实际情况选择</w:t>
            </w:r>
            <w:r>
              <w:rPr>
                <w:rFonts w:hint="eastAsia" w:asciiTheme="minorEastAsia" w:hAnsiTheme="minorEastAsia" w:eastAsiaTheme="minorEastAsia"/>
                <w:color w:val="auto"/>
                <w:sz w:val="15"/>
                <w:szCs w:val="15"/>
                <w:highlight w:val="none"/>
                <w:lang w:eastAsia="zh-CN"/>
              </w:rPr>
              <w:t>。</w:t>
            </w:r>
          </w:p>
        </w:tc>
      </w:tr>
      <w:tr w14:paraId="2F8C6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38" w:hRule="atLeast"/>
          <w:jc w:val="center"/>
        </w:trPr>
        <w:tc>
          <w:tcPr>
            <w:tcW w:w="610" w:type="dxa"/>
            <w:shd w:val="clear" w:color="auto" w:fill="auto"/>
            <w:vAlign w:val="center"/>
          </w:tcPr>
          <w:p w14:paraId="6FD2AF3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830" w:type="dxa"/>
            <w:gridSpan w:val="3"/>
            <w:shd w:val="clear" w:color="auto" w:fill="auto"/>
            <w:vAlign w:val="center"/>
          </w:tcPr>
          <w:p w14:paraId="27A331C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w:t>
            </w:r>
            <w:r>
              <w:rPr>
                <w:rFonts w:asciiTheme="minorEastAsia" w:hAnsiTheme="minorEastAsia" w:eastAsiaTheme="minorEastAsia"/>
                <w:color w:val="auto"/>
                <w:sz w:val="15"/>
                <w:szCs w:val="15"/>
                <w:highlight w:val="none"/>
              </w:rPr>
              <w:t>规定设置双向称重系统</w:t>
            </w:r>
          </w:p>
        </w:tc>
        <w:tc>
          <w:tcPr>
            <w:tcW w:w="2789" w:type="dxa"/>
            <w:gridSpan w:val="2"/>
            <w:shd w:val="clear" w:color="auto" w:fill="auto"/>
            <w:vAlign w:val="center"/>
          </w:tcPr>
          <w:p w14:paraId="76686A0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第十七条第一款第(三)项</w:t>
            </w:r>
          </w:p>
          <w:p w14:paraId="1C67E843">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三十八条第三款</w:t>
            </w:r>
            <w:r>
              <w:rPr>
                <w:rFonts w:hint="eastAsia" w:asciiTheme="minorEastAsia" w:hAnsiTheme="minorEastAsia" w:eastAsiaTheme="minorEastAsia"/>
                <w:color w:val="auto"/>
                <w:sz w:val="15"/>
                <w:szCs w:val="15"/>
                <w:highlight w:val="none"/>
              </w:rPr>
              <w:t xml:space="preserve"> 责令限期改正，处1万元以上10万元以下罚款。</w:t>
            </w:r>
          </w:p>
        </w:tc>
        <w:tc>
          <w:tcPr>
            <w:tcW w:w="851" w:type="dxa"/>
            <w:shd w:val="clear" w:color="auto" w:fill="auto"/>
            <w:vAlign w:val="center"/>
          </w:tcPr>
          <w:p w14:paraId="2943EB8B">
            <w:pPr>
              <w:spacing w:line="232" w:lineRule="exact"/>
              <w:jc w:val="center"/>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1A582092">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7C214F41">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的，系数0；6-10天或者</w:t>
            </w:r>
            <w:r>
              <w:rPr>
                <w:rFonts w:hint="eastAsia"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lang w:val="en-US" w:eastAsia="zh-CN"/>
              </w:rPr>
              <w:t>30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的，系数1；11-15天或者</w:t>
            </w:r>
            <w:r>
              <w:rPr>
                <w:rFonts w:hint="eastAsia" w:asciiTheme="minorEastAsia" w:hAnsiTheme="minorEastAsia" w:eastAsiaTheme="minorEastAsia"/>
                <w:color w:val="auto"/>
                <w:sz w:val="15"/>
                <w:szCs w:val="15"/>
                <w:highlight w:val="none"/>
                <w:lang w:val="en-US" w:eastAsia="zh-CN"/>
              </w:rPr>
              <w:t>30-40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的，系数2；16-20天或者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的，系数3；21-25天或者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的，系数4；26-30天或者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的，系数5；以此类推，46天及以上或者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3FE0AB85">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2A8D0E89">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p w14:paraId="114F92E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作业场所面积：建筑垃圾消纳场所（临时处置点经营单位）的消纳、处置建筑垃圾的占地面积。可在“北京市建筑垃圾管理与服务平台”查询</w:t>
            </w:r>
            <w:r>
              <w:rPr>
                <w:rFonts w:asciiTheme="minorEastAsia" w:hAnsiTheme="minorEastAsia" w:eastAsiaTheme="minorEastAsia"/>
                <w:color w:val="auto"/>
                <w:sz w:val="15"/>
                <w:szCs w:val="15"/>
                <w:highlight w:val="none"/>
              </w:rPr>
              <w:t>。</w:t>
            </w:r>
          </w:p>
          <w:p w14:paraId="4FE6A1F9">
            <w:pPr>
              <w:spacing w:line="232" w:lineRule="exact"/>
              <w:rPr>
                <w:rFonts w:asciiTheme="minorEastAsia" w:hAnsiTheme="minorEastAsia" w:eastAsiaTheme="minorEastAsia"/>
                <w:color w:val="auto"/>
                <w:sz w:val="15"/>
                <w:szCs w:val="15"/>
                <w:highlight w:val="none"/>
              </w:rPr>
            </w:pPr>
          </w:p>
        </w:tc>
      </w:tr>
      <w:tr w14:paraId="7363C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38" w:hRule="atLeast"/>
          <w:jc w:val="center"/>
        </w:trPr>
        <w:tc>
          <w:tcPr>
            <w:tcW w:w="610" w:type="dxa"/>
            <w:shd w:val="clear" w:color="auto" w:fill="auto"/>
            <w:vAlign w:val="center"/>
          </w:tcPr>
          <w:p w14:paraId="25A8F50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830" w:type="dxa"/>
            <w:gridSpan w:val="3"/>
            <w:shd w:val="clear" w:color="auto" w:fill="auto"/>
            <w:vAlign w:val="center"/>
          </w:tcPr>
          <w:p w14:paraId="663CC0C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建筑垃圾消纳场所（或临时处置点经营单位）未保持双向称重系统正常运转</w:t>
            </w:r>
          </w:p>
        </w:tc>
        <w:tc>
          <w:tcPr>
            <w:tcW w:w="2789" w:type="dxa"/>
            <w:gridSpan w:val="2"/>
            <w:shd w:val="clear" w:color="auto" w:fill="auto"/>
            <w:vAlign w:val="center"/>
          </w:tcPr>
          <w:p w14:paraId="47B3901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14:paraId="05F9A14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14:paraId="065D239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0CF835C2">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0604F7E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的，系数0；6-10天或者</w:t>
            </w:r>
            <w:r>
              <w:rPr>
                <w:rFonts w:hint="eastAsia"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lang w:val="en-US" w:eastAsia="zh-CN"/>
              </w:rPr>
              <w:t>30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的，系数1；11-15天或者</w:t>
            </w:r>
            <w:r>
              <w:rPr>
                <w:rFonts w:hint="eastAsia" w:asciiTheme="minorEastAsia" w:hAnsiTheme="minorEastAsia" w:eastAsiaTheme="minorEastAsia"/>
                <w:color w:val="auto"/>
                <w:sz w:val="15"/>
                <w:szCs w:val="15"/>
                <w:highlight w:val="none"/>
                <w:lang w:val="en-US" w:eastAsia="zh-CN"/>
              </w:rPr>
              <w:t>30-40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的，系数2；16-20天或者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的，系数3；21-25天或者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的，系数4；26-30天或者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的，系数5；以此类推，46天及以上或者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449F9D5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09E59BC3">
            <w:pPr>
              <w:spacing w:line="232" w:lineRule="exact"/>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14:paraId="44D2D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10" w:hRule="atLeast"/>
          <w:jc w:val="center"/>
        </w:trPr>
        <w:tc>
          <w:tcPr>
            <w:tcW w:w="610" w:type="dxa"/>
            <w:shd w:val="clear" w:color="auto" w:fill="auto"/>
            <w:vAlign w:val="center"/>
          </w:tcPr>
          <w:p w14:paraId="49045E5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11</w:t>
            </w:r>
          </w:p>
        </w:tc>
        <w:tc>
          <w:tcPr>
            <w:tcW w:w="1830" w:type="dxa"/>
            <w:gridSpan w:val="3"/>
            <w:shd w:val="clear" w:color="auto" w:fill="auto"/>
            <w:vAlign w:val="center"/>
          </w:tcPr>
          <w:p w14:paraId="70A051A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建筑垃圾消纳场所（或临时处置点经营单位）未如实记录进出场的建筑垃圾运输车辆载重状况</w:t>
            </w:r>
          </w:p>
        </w:tc>
        <w:tc>
          <w:tcPr>
            <w:tcW w:w="2789" w:type="dxa"/>
            <w:gridSpan w:val="2"/>
            <w:shd w:val="clear" w:color="auto" w:fill="auto"/>
            <w:vAlign w:val="center"/>
          </w:tcPr>
          <w:p w14:paraId="45093E7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14:paraId="2F6DB4F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14:paraId="2F1BC2D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0B848277">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52A9DA9C">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1.未记录车辆进出场次数1-2次或者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，系数0；3-4次或者</w:t>
            </w:r>
            <w:r>
              <w:rPr>
                <w:rFonts w:hint="eastAsia" w:asciiTheme="minorEastAsia" w:hAnsiTheme="minorEastAsia" w:eastAsiaTheme="minorEastAsia"/>
                <w:color w:val="auto"/>
                <w:sz w:val="15"/>
                <w:szCs w:val="15"/>
                <w:highlight w:val="none"/>
              </w:rPr>
              <w:t>20-30亩</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系数1；5-6次或者</w:t>
            </w:r>
            <w:r>
              <w:rPr>
                <w:rFonts w:hint="eastAsia" w:asciiTheme="minorEastAsia" w:hAnsiTheme="minorEastAsia" w:eastAsiaTheme="minorEastAsia"/>
                <w:color w:val="auto"/>
                <w:sz w:val="15"/>
                <w:szCs w:val="15"/>
                <w:highlight w:val="none"/>
              </w:rPr>
              <w:t>30亩-40亩</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系数2；7-8次或者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的，系数3；9-10次或者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的，系数4；11-12次或者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的，系数5；以此类推，19次及以上或者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Theme="minorEastAsia" w:hAnsiTheme="minorEastAsia" w:eastAsiaTheme="minorEastAsia"/>
                <w:strike w:val="0"/>
                <w:dstrike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5FC1D8A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09F38FF0">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14:paraId="6133F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03" w:hRule="atLeast"/>
          <w:jc w:val="center"/>
        </w:trPr>
        <w:tc>
          <w:tcPr>
            <w:tcW w:w="610" w:type="dxa"/>
            <w:shd w:val="clear" w:color="auto" w:fill="auto"/>
            <w:vAlign w:val="center"/>
          </w:tcPr>
          <w:p w14:paraId="7C5B0D1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12</w:t>
            </w:r>
          </w:p>
        </w:tc>
        <w:tc>
          <w:tcPr>
            <w:tcW w:w="1830" w:type="dxa"/>
            <w:gridSpan w:val="3"/>
            <w:shd w:val="clear" w:color="auto" w:fill="auto"/>
            <w:vAlign w:val="center"/>
          </w:tcPr>
          <w:p w14:paraId="417C9BF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w:t>
            </w:r>
            <w:r>
              <w:rPr>
                <w:rFonts w:asciiTheme="minorEastAsia" w:hAnsiTheme="minorEastAsia" w:eastAsiaTheme="minorEastAsia"/>
                <w:color w:val="auto"/>
                <w:sz w:val="15"/>
                <w:szCs w:val="15"/>
                <w:highlight w:val="none"/>
              </w:rPr>
              <w:t>作业场所</w:t>
            </w:r>
            <w:r>
              <w:rPr>
                <w:rFonts w:hint="eastAsia" w:asciiTheme="minorEastAsia" w:hAnsiTheme="minorEastAsia" w:eastAsiaTheme="minorEastAsia"/>
                <w:color w:val="auto"/>
                <w:sz w:val="15"/>
                <w:szCs w:val="15"/>
                <w:highlight w:val="none"/>
              </w:rPr>
              <w:t>未安装运输车辆识别装置（或扬尘污染实时监控装置）</w:t>
            </w:r>
          </w:p>
        </w:tc>
        <w:tc>
          <w:tcPr>
            <w:tcW w:w="2789" w:type="dxa"/>
            <w:gridSpan w:val="2"/>
            <w:shd w:val="clear" w:color="auto" w:fill="auto"/>
            <w:vAlign w:val="center"/>
          </w:tcPr>
          <w:p w14:paraId="74D5C6D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十七条第一款第（</w:t>
            </w:r>
            <w:r>
              <w:rPr>
                <w:rFonts w:hint="eastAsia" w:asciiTheme="minorEastAsia" w:hAnsiTheme="minorEastAsia" w:eastAsiaTheme="minorEastAsia"/>
                <w:color w:val="auto"/>
                <w:sz w:val="15"/>
                <w:szCs w:val="15"/>
                <w:highlight w:val="none"/>
              </w:rPr>
              <w:t>四</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项</w:t>
            </w:r>
          </w:p>
          <w:p w14:paraId="4CCD374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条款：第三十八条第四款</w:t>
            </w:r>
            <w:r>
              <w:rPr>
                <w:rFonts w:hint="eastAsia" w:asciiTheme="minorEastAsia" w:hAnsiTheme="minorEastAsia" w:eastAsiaTheme="minorEastAsia"/>
                <w:color w:val="auto"/>
                <w:sz w:val="15"/>
                <w:szCs w:val="15"/>
                <w:highlight w:val="none"/>
              </w:rPr>
              <w:t xml:space="preserve"> 责令限期改正，处2000元以上2万元以下罚款。</w:t>
            </w:r>
          </w:p>
        </w:tc>
        <w:tc>
          <w:tcPr>
            <w:tcW w:w="851" w:type="dxa"/>
            <w:shd w:val="clear" w:color="auto" w:fill="auto"/>
            <w:vAlign w:val="center"/>
          </w:tcPr>
          <w:p w14:paraId="0D49B52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14:paraId="6BE779C6">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7FFB55D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的，系数0；6-10天或者</w:t>
            </w:r>
            <w:r>
              <w:rPr>
                <w:rFonts w:hint="eastAsia" w:asciiTheme="minorEastAsia" w:hAnsiTheme="minorEastAsia" w:eastAsiaTheme="minorEastAsia"/>
                <w:color w:val="auto"/>
                <w:sz w:val="15"/>
                <w:szCs w:val="15"/>
                <w:highlight w:val="none"/>
              </w:rPr>
              <w:t>20-30亩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的，系数1；11-15天或者</w:t>
            </w:r>
            <w:r>
              <w:rPr>
                <w:rFonts w:hint="eastAsia" w:asciiTheme="minorEastAsia" w:hAnsiTheme="minorEastAsia" w:eastAsiaTheme="minorEastAsia"/>
                <w:color w:val="auto"/>
                <w:sz w:val="15"/>
                <w:szCs w:val="15"/>
                <w:highlight w:val="none"/>
                <w:lang w:val="en-US" w:eastAsia="zh-CN"/>
              </w:rPr>
              <w:t>30-40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的，系数2；16-20天或者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的，系数3；21-25天或者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的，系数4；26-30天或者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的，系数5；以此类推，46天及以上或者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6EDE19BE">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eastAsia="zh-CN"/>
              </w:rPr>
              <w:t>）</w:t>
            </w:r>
          </w:p>
        </w:tc>
        <w:tc>
          <w:tcPr>
            <w:tcW w:w="1982" w:type="dxa"/>
            <w:gridSpan w:val="2"/>
            <w:shd w:val="clear" w:color="auto" w:fill="auto"/>
            <w:vAlign w:val="center"/>
          </w:tcPr>
          <w:p w14:paraId="1E2FE338">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14:paraId="7ABC4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72" w:hRule="atLeast"/>
          <w:jc w:val="center"/>
        </w:trPr>
        <w:tc>
          <w:tcPr>
            <w:tcW w:w="610" w:type="dxa"/>
            <w:shd w:val="clear" w:color="auto" w:fill="auto"/>
            <w:vAlign w:val="center"/>
          </w:tcPr>
          <w:p w14:paraId="617C85C8">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3</w:t>
            </w:r>
          </w:p>
        </w:tc>
        <w:tc>
          <w:tcPr>
            <w:tcW w:w="1830" w:type="dxa"/>
            <w:gridSpan w:val="3"/>
            <w:shd w:val="clear" w:color="auto" w:fill="auto"/>
            <w:vAlign w:val="center"/>
          </w:tcPr>
          <w:p w14:paraId="49CAEA4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建筑垃圾消纳场所（或临时处置点经营单位）在作业场所未</w:t>
            </w:r>
            <w:r>
              <w:rPr>
                <w:rFonts w:asciiTheme="minorEastAsia" w:hAnsiTheme="minorEastAsia" w:eastAsiaTheme="minorEastAsia"/>
                <w:color w:val="auto"/>
                <w:sz w:val="15"/>
                <w:szCs w:val="15"/>
                <w:highlight w:val="none"/>
              </w:rPr>
              <w:t>正常使用</w:t>
            </w:r>
            <w:r>
              <w:rPr>
                <w:rFonts w:hint="eastAsia" w:asciiTheme="minorEastAsia" w:hAnsiTheme="minorEastAsia" w:eastAsiaTheme="minorEastAsia"/>
                <w:color w:val="auto"/>
                <w:sz w:val="15"/>
                <w:szCs w:val="15"/>
                <w:highlight w:val="none"/>
              </w:rPr>
              <w:t>运输车辆识别装置（或扬尘污染实时监控装置）</w:t>
            </w:r>
          </w:p>
        </w:tc>
        <w:tc>
          <w:tcPr>
            <w:tcW w:w="2789" w:type="dxa"/>
            <w:gridSpan w:val="2"/>
            <w:shd w:val="clear" w:color="auto" w:fill="auto"/>
            <w:vAlign w:val="center"/>
          </w:tcPr>
          <w:p w14:paraId="2D617BF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违反条款：第十七条第一款第（四）项</w:t>
            </w:r>
          </w:p>
          <w:p w14:paraId="7746D809">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14:paraId="341BAAD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14:paraId="5155E17F">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0130BDA9">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的，系数0；6-10天或者</w:t>
            </w:r>
            <w:r>
              <w:rPr>
                <w:rFonts w:hint="eastAsia" w:asciiTheme="minorEastAsia" w:hAnsiTheme="minorEastAsia" w:eastAsiaTheme="minorEastAsia"/>
                <w:color w:val="auto"/>
                <w:sz w:val="15"/>
                <w:szCs w:val="15"/>
                <w:highlight w:val="none"/>
              </w:rPr>
              <w:t>20-30亩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的，系数1；11-15天或者</w:t>
            </w:r>
            <w:r>
              <w:rPr>
                <w:rFonts w:hint="eastAsia" w:asciiTheme="minorEastAsia" w:hAnsiTheme="minorEastAsia" w:eastAsiaTheme="minorEastAsia"/>
                <w:color w:val="auto"/>
                <w:sz w:val="15"/>
                <w:szCs w:val="15"/>
                <w:highlight w:val="none"/>
                <w:lang w:val="en-US" w:eastAsia="zh-CN"/>
              </w:rPr>
              <w:t>30-40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的，系数2；16-20天或者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的，系数3；21-25天或者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的，系数4；26-30天或者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的，系数5；以此类推，46天及以上或者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2A52A9D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5B27D58C">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14:paraId="6AD64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118" w:hRule="atLeast"/>
          <w:jc w:val="center"/>
        </w:trPr>
        <w:tc>
          <w:tcPr>
            <w:tcW w:w="610" w:type="dxa"/>
            <w:shd w:val="clear" w:color="auto" w:fill="auto"/>
            <w:vAlign w:val="center"/>
          </w:tcPr>
          <w:p w14:paraId="4FFBA66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14</w:t>
            </w:r>
          </w:p>
        </w:tc>
        <w:tc>
          <w:tcPr>
            <w:tcW w:w="1830" w:type="dxa"/>
            <w:gridSpan w:val="3"/>
            <w:shd w:val="clear" w:color="auto" w:fill="auto"/>
            <w:vAlign w:val="center"/>
          </w:tcPr>
          <w:p w14:paraId="66B7711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建筑垃圾消纳场所（或临时处置点经营单位）未将建筑垃圾接收量（或处置量或再生产品生产供应等）数据</w:t>
            </w:r>
            <w:r>
              <w:rPr>
                <w:rFonts w:asciiTheme="minorEastAsia" w:hAnsiTheme="minorEastAsia" w:eastAsiaTheme="minorEastAsia"/>
                <w:color w:val="auto"/>
                <w:sz w:val="15"/>
                <w:szCs w:val="15"/>
                <w:highlight w:val="none"/>
              </w:rPr>
              <w:t>实时传输至</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垃圾管理和服务平台</w:t>
            </w:r>
          </w:p>
        </w:tc>
        <w:tc>
          <w:tcPr>
            <w:tcW w:w="2789" w:type="dxa"/>
            <w:gridSpan w:val="2"/>
            <w:shd w:val="clear" w:color="auto" w:fill="auto"/>
            <w:vAlign w:val="center"/>
          </w:tcPr>
          <w:p w14:paraId="13BEFBAA">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违反条款：第十七条第一款第（五）项</w:t>
            </w:r>
          </w:p>
          <w:p w14:paraId="4A2FAEB4">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14:paraId="79391DC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14:paraId="62BEC888">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23E42164">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1.持续时间5天及以下或者</w:t>
            </w:r>
            <w:r>
              <w:rPr>
                <w:rFonts w:hint="eastAsia" w:asciiTheme="minorEastAsia" w:hAnsiTheme="minorEastAsia" w:eastAsiaTheme="minorEastAsia"/>
                <w:color w:val="auto"/>
                <w:sz w:val="15"/>
                <w:szCs w:val="15"/>
                <w:highlight w:val="none"/>
              </w:rPr>
              <w:t>作业场所20亩以下</w:t>
            </w:r>
            <w:r>
              <w:rPr>
                <w:rFonts w:hint="eastAsia" w:asciiTheme="minorEastAsia" w:hAnsiTheme="minorEastAsia" w:eastAsiaTheme="minorEastAsia"/>
                <w:color w:val="auto"/>
                <w:sz w:val="15"/>
                <w:szCs w:val="15"/>
                <w:highlight w:val="none"/>
                <w:lang w:eastAsia="zh-CN"/>
              </w:rPr>
              <w:t>（不含</w:t>
            </w:r>
            <w:r>
              <w:rPr>
                <w:rFonts w:hint="eastAsia" w:asciiTheme="minorEastAsia" w:hAnsiTheme="minorEastAsia" w:eastAsiaTheme="minorEastAsia"/>
                <w:color w:val="auto"/>
                <w:sz w:val="15"/>
                <w:szCs w:val="15"/>
                <w:highlight w:val="none"/>
                <w:lang w:val="en-US" w:eastAsia="zh-CN"/>
              </w:rPr>
              <w:t>20亩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的，系数0；6-10天或者</w:t>
            </w:r>
            <w:r>
              <w:rPr>
                <w:rFonts w:hint="eastAsia" w:asciiTheme="minorEastAsia" w:hAnsiTheme="minorEastAsia" w:eastAsiaTheme="minorEastAsia"/>
                <w:color w:val="auto"/>
                <w:sz w:val="15"/>
                <w:szCs w:val="15"/>
                <w:highlight w:val="none"/>
              </w:rPr>
              <w:t>20-30亩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的，系数1；11-15天或者</w:t>
            </w:r>
            <w:r>
              <w:rPr>
                <w:rFonts w:hint="eastAsia" w:asciiTheme="minorEastAsia" w:hAnsiTheme="minorEastAsia" w:eastAsiaTheme="minorEastAsia"/>
                <w:color w:val="auto"/>
                <w:sz w:val="15"/>
                <w:szCs w:val="15"/>
                <w:highlight w:val="none"/>
                <w:lang w:val="en-US" w:eastAsia="zh-CN"/>
              </w:rPr>
              <w:t>30-40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的，系数2；16-20天或者</w:t>
            </w:r>
            <w:r>
              <w:rPr>
                <w:rFonts w:hint="eastAsia" w:asciiTheme="minorEastAsia" w:hAnsiTheme="minorEastAsia" w:eastAsiaTheme="minorEastAsia"/>
                <w:color w:val="auto"/>
                <w:sz w:val="15"/>
                <w:szCs w:val="15"/>
                <w:highlight w:val="none"/>
                <w:lang w:val="en-US" w:eastAsia="zh-CN"/>
              </w:rPr>
              <w:t>40-50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的，系数3；21-25天或者</w:t>
            </w:r>
            <w:r>
              <w:rPr>
                <w:rFonts w:hint="eastAsia" w:asciiTheme="minorEastAsia" w:hAnsiTheme="minorEastAsia" w:eastAsiaTheme="minorEastAsia"/>
                <w:color w:val="auto"/>
                <w:sz w:val="15"/>
                <w:szCs w:val="15"/>
                <w:highlight w:val="none"/>
                <w:lang w:val="en-US" w:eastAsia="zh-CN"/>
              </w:rPr>
              <w:t>50-60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的，系数4；26-30天或者</w:t>
            </w:r>
            <w:r>
              <w:rPr>
                <w:rFonts w:hint="eastAsia" w:asciiTheme="minorEastAsia" w:hAnsiTheme="minorEastAsia" w:eastAsiaTheme="minorEastAsia"/>
                <w:color w:val="auto"/>
                <w:sz w:val="15"/>
                <w:szCs w:val="15"/>
                <w:highlight w:val="none"/>
                <w:lang w:val="en-US" w:eastAsia="zh-CN"/>
              </w:rPr>
              <w:t>60-70</w:t>
            </w:r>
            <w:r>
              <w:rPr>
                <w:rFonts w:hint="eastAsia" w:asciiTheme="minorEastAsia" w:hAnsiTheme="minorEastAsia" w:eastAsiaTheme="minorEastAsia"/>
                <w:color w:val="auto"/>
                <w:sz w:val="15"/>
                <w:szCs w:val="15"/>
                <w:highlight w:val="none"/>
              </w:rPr>
              <w:t>亩</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的，系数5；以此类推，46天及以上或者</w:t>
            </w:r>
            <w:r>
              <w:rPr>
                <w:rFonts w:hint="eastAsia" w:asciiTheme="minorEastAsia" w:hAnsiTheme="minorEastAsia" w:eastAsiaTheme="minorEastAsia"/>
                <w:color w:val="auto"/>
                <w:sz w:val="15"/>
                <w:szCs w:val="15"/>
                <w:highlight w:val="none"/>
                <w:lang w:val="en-US" w:eastAsia="zh-CN"/>
              </w:rPr>
              <w:t>100亩及以上</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的，系数9。</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09752F7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167B75E4">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r>
      <w:tr w14:paraId="62378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07" w:hRule="atLeast"/>
          <w:jc w:val="center"/>
        </w:trPr>
        <w:tc>
          <w:tcPr>
            <w:tcW w:w="610" w:type="dxa"/>
            <w:shd w:val="clear" w:color="auto" w:fill="auto"/>
            <w:vAlign w:val="center"/>
          </w:tcPr>
          <w:p w14:paraId="49C62142">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5</w:t>
            </w:r>
          </w:p>
        </w:tc>
        <w:tc>
          <w:tcPr>
            <w:tcW w:w="1830" w:type="dxa"/>
            <w:gridSpan w:val="3"/>
            <w:shd w:val="clear" w:color="auto" w:fill="auto"/>
            <w:vAlign w:val="center"/>
          </w:tcPr>
          <w:p w14:paraId="6C75CF7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未取得生活垃圾运输经营许可擅自运输建筑垃圾</w:t>
            </w:r>
          </w:p>
        </w:tc>
        <w:tc>
          <w:tcPr>
            <w:tcW w:w="2789" w:type="dxa"/>
            <w:gridSpan w:val="2"/>
            <w:shd w:val="clear" w:color="auto" w:fill="auto"/>
            <w:vAlign w:val="center"/>
          </w:tcPr>
          <w:p w14:paraId="275140D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第十八条第一款</w:t>
            </w:r>
          </w:p>
          <w:p w14:paraId="0DBE069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w:t>
            </w:r>
            <w:r>
              <w:rPr>
                <w:rFonts w:hint="eastAsia" w:asciiTheme="minorEastAsia" w:hAnsiTheme="minorEastAsia" w:eastAsiaTheme="minorEastAsia"/>
                <w:color w:val="auto"/>
                <w:sz w:val="15"/>
                <w:szCs w:val="15"/>
                <w:highlight w:val="none"/>
              </w:rPr>
              <w:t>三十九条 责令限期改正，给予警告，处5000元以上3万元以下罚款</w:t>
            </w:r>
            <w:r>
              <w:rPr>
                <w:rFonts w:asciiTheme="minorEastAsia" w:hAnsiTheme="minorEastAsia" w:eastAsiaTheme="minorEastAsia"/>
                <w:color w:val="auto"/>
                <w:sz w:val="15"/>
                <w:szCs w:val="15"/>
                <w:highlight w:val="none"/>
              </w:rPr>
              <w:t>。</w:t>
            </w:r>
          </w:p>
        </w:tc>
        <w:tc>
          <w:tcPr>
            <w:tcW w:w="851" w:type="dxa"/>
            <w:shd w:val="clear" w:color="auto" w:fill="auto"/>
            <w:vAlign w:val="center"/>
          </w:tcPr>
          <w:p w14:paraId="574057D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46E736B0">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3DA5082E">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lang w:val="en-US" w:eastAsia="zh-CN"/>
              </w:rPr>
              <w:t>.</w:t>
            </w:r>
            <w:r>
              <w:rPr>
                <w:rFonts w:hint="eastAsia" w:ascii="宋体" w:hAnsi="宋体" w:cs="宋体"/>
                <w:b w:val="0"/>
                <w:bCs w:val="0"/>
                <w:color w:val="auto"/>
                <w:sz w:val="15"/>
                <w:szCs w:val="15"/>
                <w:highlight w:val="none"/>
                <w:lang w:val="en-US" w:eastAsia="zh-CN"/>
              </w:rPr>
              <w:t>运输垃圾2车次及以上的，系数1；4车次及以上的，系数2；6车次及以上的，系数3；8车次及以上的，系数4；10车次及以上的，系数5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违法时间</w:t>
            </w:r>
            <w:r>
              <w:rPr>
                <w:rFonts w:asciiTheme="minorEastAsia" w:hAnsiTheme="minorEastAsia" w:eastAsiaTheme="minorEastAsia"/>
                <w:color w:val="auto"/>
                <w:sz w:val="15"/>
                <w:szCs w:val="15"/>
                <w:highlight w:val="none"/>
              </w:rPr>
              <w:t>持续较长，造成严重环境秩序影响的，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09E21840">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6DE1F3A9">
            <w:pPr>
              <w:spacing w:line="232" w:lineRule="exact"/>
              <w:rPr>
                <w:rFonts w:asciiTheme="minorEastAsia" w:hAnsiTheme="minorEastAsia" w:eastAsiaTheme="minorEastAsia"/>
                <w:color w:val="auto"/>
                <w:sz w:val="15"/>
                <w:szCs w:val="15"/>
                <w:highlight w:val="none"/>
              </w:rPr>
            </w:pPr>
          </w:p>
        </w:tc>
      </w:tr>
      <w:tr w14:paraId="14FC1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330" w:hRule="atLeast"/>
          <w:jc w:val="center"/>
        </w:trPr>
        <w:tc>
          <w:tcPr>
            <w:tcW w:w="610" w:type="dxa"/>
            <w:shd w:val="clear" w:color="auto" w:fill="auto"/>
            <w:vAlign w:val="center"/>
          </w:tcPr>
          <w:p w14:paraId="591539D2">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6</w:t>
            </w:r>
          </w:p>
        </w:tc>
        <w:tc>
          <w:tcPr>
            <w:tcW w:w="1830" w:type="dxa"/>
            <w:gridSpan w:val="3"/>
            <w:shd w:val="clear" w:color="auto" w:fill="auto"/>
            <w:vAlign w:val="center"/>
          </w:tcPr>
          <w:p w14:paraId="61FA9B5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使用不符合</w:t>
            </w:r>
            <w:r>
              <w:rPr>
                <w:rFonts w:asciiTheme="minorEastAsia" w:hAnsiTheme="minorEastAsia" w:eastAsiaTheme="minorEastAsia"/>
                <w:color w:val="auto"/>
                <w:sz w:val="15"/>
                <w:szCs w:val="15"/>
                <w:highlight w:val="none"/>
              </w:rPr>
              <w:t>标准的车辆（</w:t>
            </w:r>
            <w:r>
              <w:rPr>
                <w:rFonts w:hint="eastAsia" w:asciiTheme="minorEastAsia" w:hAnsiTheme="minorEastAsia" w:eastAsiaTheme="minorEastAsia"/>
                <w:color w:val="auto"/>
                <w:sz w:val="15"/>
                <w:szCs w:val="15"/>
                <w:highlight w:val="none"/>
              </w:rPr>
              <w:t>或未取得建筑垃圾准运许可</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运输建筑垃圾</w:t>
            </w:r>
          </w:p>
        </w:tc>
        <w:tc>
          <w:tcPr>
            <w:tcW w:w="2789" w:type="dxa"/>
            <w:gridSpan w:val="2"/>
            <w:shd w:val="clear" w:color="auto" w:fill="auto"/>
            <w:vAlign w:val="center"/>
          </w:tcPr>
          <w:p w14:paraId="13AAD20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条款：第十八条第一款</w:t>
            </w:r>
          </w:p>
          <w:p w14:paraId="2D2AB61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第三十九条 责令限期改正，并处1万元以上3万元以下罚款；情节严重的，由城市管理综合执法部门吊销生活垃圾运输经营许可。</w:t>
            </w:r>
          </w:p>
        </w:tc>
        <w:tc>
          <w:tcPr>
            <w:tcW w:w="851" w:type="dxa"/>
            <w:shd w:val="clear" w:color="auto" w:fill="auto"/>
            <w:vAlign w:val="center"/>
          </w:tcPr>
          <w:p w14:paraId="758A1FF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189FA325">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0DBFEFBA">
            <w:pPr>
              <w:numPr>
                <w:ilvl w:val="0"/>
                <w:numId w:val="0"/>
              </w:numPr>
              <w:spacing w:line="232" w:lineRule="exact"/>
              <w:rPr>
                <w:rFonts w:hint="eastAsia" w:asciiTheme="minorEastAsia" w:hAnsiTheme="minorEastAsia" w:eastAsiaTheme="minorEastAsia"/>
                <w:color w:val="auto"/>
                <w:sz w:val="15"/>
                <w:szCs w:val="15"/>
                <w:highlight w:val="none"/>
              </w:rPr>
            </w:pPr>
            <w:r>
              <w:rPr>
                <w:rFonts w:hint="eastAsia" w:ascii="宋体" w:hAnsi="宋体" w:cs="宋体"/>
                <w:b w:val="0"/>
                <w:bCs w:val="0"/>
                <w:color w:val="auto"/>
                <w:sz w:val="15"/>
                <w:szCs w:val="15"/>
                <w:highlight w:val="none"/>
                <w:lang w:val="en-US" w:eastAsia="zh-CN"/>
              </w:rPr>
              <w:t>1.运输垃圾2-3车次的，系数1；4车次及以上的，系数2。</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13F0EA27">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2B604582">
            <w:pPr>
              <w:numPr>
                <w:ilvl w:val="0"/>
                <w:numId w:val="3"/>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可以认定为“情节严重”情形的；</w:t>
            </w:r>
          </w:p>
          <w:p w14:paraId="50F7122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r>
      <w:tr w14:paraId="7BBDF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224" w:hRule="atLeast"/>
          <w:jc w:val="center"/>
        </w:trPr>
        <w:tc>
          <w:tcPr>
            <w:tcW w:w="610" w:type="dxa"/>
            <w:shd w:val="clear" w:color="auto" w:fill="auto"/>
            <w:vAlign w:val="center"/>
          </w:tcPr>
          <w:p w14:paraId="3765EAC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17</w:t>
            </w:r>
          </w:p>
        </w:tc>
        <w:tc>
          <w:tcPr>
            <w:tcW w:w="1830" w:type="dxa"/>
            <w:gridSpan w:val="3"/>
            <w:shd w:val="clear" w:color="auto" w:fill="auto"/>
            <w:vAlign w:val="center"/>
          </w:tcPr>
          <w:p w14:paraId="02592D0E">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建筑垃圾运输服务单位未采取措施</w:t>
            </w:r>
            <w:r>
              <w:rPr>
                <w:rFonts w:hint="eastAsia" w:ascii="宋体" w:hAnsi="宋体" w:eastAsia="宋体" w:cs="宋体"/>
                <w:color w:val="auto"/>
                <w:sz w:val="15"/>
                <w:szCs w:val="15"/>
                <w:highlight w:val="none"/>
                <w:lang w:eastAsia="zh-CN"/>
              </w:rPr>
              <w:t>造成</w:t>
            </w:r>
            <w:r>
              <w:rPr>
                <w:rFonts w:hint="eastAsia" w:ascii="宋体" w:hAnsi="宋体" w:eastAsia="宋体" w:cs="宋体"/>
                <w:color w:val="auto"/>
                <w:sz w:val="15"/>
                <w:szCs w:val="15"/>
                <w:highlight w:val="none"/>
              </w:rPr>
              <w:t>建筑垃圾遗撒、泄漏</w:t>
            </w:r>
          </w:p>
        </w:tc>
        <w:tc>
          <w:tcPr>
            <w:tcW w:w="2789" w:type="dxa"/>
            <w:gridSpan w:val="2"/>
            <w:shd w:val="clear" w:color="auto" w:fill="auto"/>
            <w:vAlign w:val="center"/>
          </w:tcPr>
          <w:p w14:paraId="0DDA62D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Theme="minorEastAsia" w:hAnsiTheme="minorEastAsia" w:eastAsiaTheme="minorEastAsia"/>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违反条款：第十九条第一款；处罚条款：第四十条第一款 责令立即改正并清除遗撒、泄漏的建筑垃圾，</w:t>
            </w:r>
            <w:r>
              <w:rPr>
                <w:rStyle w:val="63"/>
                <w:rFonts w:hint="eastAsia" w:ascii="宋体" w:hAnsi="宋体" w:eastAsia="宋体" w:cs="宋体"/>
                <w:color w:val="auto"/>
                <w:sz w:val="15"/>
                <w:szCs w:val="15"/>
                <w:highlight w:val="none"/>
                <w:lang w:val="en-US" w:eastAsia="zh-CN" w:bidi="ar"/>
              </w:rPr>
              <w:t>处5万元以上50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shd w:val="clear" w:color="auto" w:fill="auto"/>
            <w:vAlign w:val="center"/>
          </w:tcPr>
          <w:p w14:paraId="04AA9980">
            <w:pPr>
              <w:keepNext w:val="0"/>
              <w:keepLines w:val="0"/>
              <w:pageBreakBefore w:val="0"/>
              <w:kinsoku/>
              <w:wordWrap/>
              <w:overflowPunct/>
              <w:topLinePunct w:val="0"/>
              <w:autoSpaceDE/>
              <w:autoSpaceDN/>
              <w:bidi w:val="0"/>
              <w:adjustRightInd/>
              <w:snapToGrid/>
              <w:spacing w:line="240" w:lineRule="auto"/>
              <w:jc w:val="center"/>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w:t>
            </w:r>
          </w:p>
        </w:tc>
        <w:tc>
          <w:tcPr>
            <w:tcW w:w="840" w:type="dxa"/>
            <w:shd w:val="clear" w:color="auto" w:fill="auto"/>
            <w:vAlign w:val="center"/>
          </w:tcPr>
          <w:p w14:paraId="1292D36E">
            <w:pPr>
              <w:keepNext w:val="0"/>
              <w:keepLines w:val="0"/>
              <w:pageBreakBefore w:val="0"/>
              <w:kinsoku/>
              <w:wordWrap/>
              <w:overflowPunct/>
              <w:topLinePunct w:val="0"/>
              <w:autoSpaceDE/>
              <w:autoSpaceDN/>
              <w:bidi w:val="0"/>
              <w:adjustRightInd/>
              <w:snapToGrid/>
              <w:spacing w:line="240" w:lineRule="auto"/>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shd w:val="clear" w:color="auto" w:fill="auto"/>
            <w:vAlign w:val="center"/>
          </w:tcPr>
          <w:p w14:paraId="15AEEC99">
            <w:pPr>
              <w:rPr>
                <w:rFonts w:hint="default" w:ascii="宋体" w:hAnsi="宋体" w:eastAsia="宋体" w:cs="宋体"/>
                <w:color w:val="auto"/>
                <w:kern w:val="2"/>
                <w:sz w:val="15"/>
                <w:szCs w:val="15"/>
                <w:highlight w:val="none"/>
                <w:lang w:val="en-US" w:eastAsia="zh-CN" w:bidi="ar-SA"/>
              </w:rPr>
            </w:pPr>
            <w:r>
              <w:rPr>
                <w:rFonts w:hint="eastAsia" w:ascii="宋体" w:hAnsi="宋体" w:eastAsia="宋体" w:cs="宋体"/>
                <w:color w:val="auto"/>
                <w:sz w:val="15"/>
                <w:szCs w:val="15"/>
                <w:highlight w:val="none"/>
                <w:lang w:val="en-US" w:eastAsia="zh-CN"/>
              </w:rPr>
              <w:t>1.</w:t>
            </w:r>
            <w:r>
              <w:rPr>
                <w:rFonts w:hint="eastAsia" w:ascii="宋体" w:hAnsi="宋体" w:eastAsia="宋体" w:cs="宋体"/>
                <w:b w:val="0"/>
                <w:bCs w:val="0"/>
                <w:color w:val="auto"/>
                <w:sz w:val="15"/>
                <w:szCs w:val="15"/>
                <w:highlight w:val="none"/>
              </w:rPr>
              <w:t>建筑垃圾占地面积11</w:t>
            </w:r>
            <w:r>
              <w:rPr>
                <w:rFonts w:hint="eastAsia" w:ascii="宋体" w:hAnsi="宋体" w:cs="宋体"/>
                <w:b w:val="0"/>
                <w:bCs w:val="0"/>
                <w:color w:val="auto"/>
                <w:sz w:val="15"/>
                <w:szCs w:val="15"/>
                <w:highlight w:val="none"/>
                <w:lang w:val="en-US" w:eastAsia="zh-CN"/>
              </w:rPr>
              <w:t>-</w:t>
            </w:r>
            <w:r>
              <w:rPr>
                <w:rFonts w:hint="eastAsia" w:ascii="宋体" w:hAnsi="宋体" w:eastAsia="宋体" w:cs="宋体"/>
                <w:b w:val="0"/>
                <w:bCs w:val="0"/>
                <w:color w:val="auto"/>
                <w:sz w:val="15"/>
                <w:szCs w:val="15"/>
                <w:highlight w:val="none"/>
              </w:rPr>
              <w:t>15㎡</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污染道路长21－30米</w:t>
            </w:r>
            <w:r>
              <w:rPr>
                <w:rFonts w:hint="eastAsia" w:ascii="宋体" w:hAnsi="宋体" w:eastAsia="宋体" w:cs="宋体"/>
                <w:color w:val="auto"/>
                <w:kern w:val="0"/>
                <w:sz w:val="15"/>
                <w:szCs w:val="15"/>
                <w:highlight w:val="none"/>
                <w:lang w:eastAsia="zh-CN"/>
              </w:rPr>
              <w:t>或者</w:t>
            </w:r>
            <w:r>
              <w:rPr>
                <w:rFonts w:hint="eastAsia" w:ascii="宋体" w:hAnsi="宋体" w:cs="宋体"/>
                <w:color w:val="auto"/>
                <w:kern w:val="0"/>
                <w:sz w:val="15"/>
                <w:szCs w:val="15"/>
                <w:highlight w:val="none"/>
                <w:lang w:eastAsia="zh-CN"/>
              </w:rPr>
              <w:t>建</w:t>
            </w:r>
            <w:r>
              <w:rPr>
                <w:rFonts w:hint="eastAsia" w:ascii="宋体" w:hAnsi="宋体" w:eastAsia="宋体" w:cs="宋体"/>
                <w:b w:val="0"/>
                <w:bCs w:val="0"/>
                <w:color w:val="auto"/>
                <w:sz w:val="15"/>
                <w:szCs w:val="15"/>
                <w:highlight w:val="none"/>
                <w:lang w:val="en-US" w:eastAsia="zh-CN"/>
              </w:rPr>
              <w:t>筑垃圾重量在4.5-9吨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1；16-20㎡</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kern w:val="0"/>
                <w:sz w:val="15"/>
                <w:szCs w:val="15"/>
                <w:highlight w:val="none"/>
              </w:rPr>
              <w:t>31－40米</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9-13.5吨</w:t>
            </w:r>
            <w:r>
              <w:rPr>
                <w:rFonts w:hint="eastAsia" w:ascii="宋体" w:hAnsi="宋体" w:eastAsia="宋体" w:cs="宋体"/>
                <w:color w:val="auto"/>
                <w:kern w:val="0"/>
                <w:sz w:val="15"/>
                <w:szCs w:val="15"/>
                <w:highlight w:val="none"/>
              </w:rPr>
              <w:t>的</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lang w:val="en-US" w:eastAsia="zh-CN"/>
              </w:rPr>
              <w:t>21-25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或者13.5-18吨的，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3；26-30</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或者18-22.5吨的，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4；31-35</w:t>
            </w:r>
            <w:r>
              <w:rPr>
                <w:rFonts w:hint="eastAsia" w:cs="Batang" w:asciiTheme="minorEastAsia" w:hAnsiTheme="minorEastAsia" w:eastAsiaTheme="minorEastAsia"/>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或者</w:t>
            </w:r>
            <w:r>
              <w:rPr>
                <w:rFonts w:hint="eastAsia" w:cs="宋体" w:asciiTheme="minorEastAsia" w:hAnsiTheme="minorEastAsia" w:eastAsiaTheme="minorEastAsia"/>
                <w:color w:val="auto"/>
                <w:kern w:val="0"/>
                <w:sz w:val="15"/>
                <w:szCs w:val="15"/>
                <w:highlight w:val="none"/>
                <w:lang w:val="en-US" w:eastAsia="zh-CN"/>
              </w:rPr>
              <w:t>61-70</w:t>
            </w:r>
            <w:r>
              <w:rPr>
                <w:rFonts w:hint="eastAsia" w:cs="宋体" w:asciiTheme="minorEastAsia" w:hAnsiTheme="minorEastAsia" w:eastAsiaTheme="minorEastAsia"/>
                <w:color w:val="auto"/>
                <w:kern w:val="0"/>
                <w:sz w:val="15"/>
                <w:szCs w:val="15"/>
                <w:highlight w:val="none"/>
              </w:rPr>
              <w:t>米</w:t>
            </w:r>
            <w:r>
              <w:rPr>
                <w:rFonts w:hint="eastAsia" w:ascii="宋体" w:hAnsi="宋体" w:cs="宋体"/>
                <w:b w:val="0"/>
                <w:bCs w:val="0"/>
                <w:color w:val="auto"/>
                <w:sz w:val="15"/>
                <w:szCs w:val="15"/>
                <w:highlight w:val="none"/>
                <w:lang w:val="en-US" w:eastAsia="zh-CN"/>
              </w:rPr>
              <w:t>或者22.5-27吨的，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51</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w:t>
            </w:r>
            <w:r>
              <w:rPr>
                <w:rFonts w:hint="eastAsia" w:ascii="宋体" w:hAnsi="宋体" w:cs="宋体"/>
                <w:b w:val="0"/>
                <w:bCs w:val="0"/>
                <w:color w:val="auto"/>
                <w:sz w:val="15"/>
                <w:szCs w:val="15"/>
                <w:highlight w:val="none"/>
                <w:lang w:eastAsia="zh-CN"/>
              </w:rPr>
              <w:t>或者</w:t>
            </w:r>
            <w:r>
              <w:rPr>
                <w:rFonts w:hint="eastAsia" w:ascii="宋体" w:hAnsi="宋体" w:eastAsia="宋体" w:cs="宋体"/>
                <w:color w:val="auto"/>
                <w:sz w:val="15"/>
                <w:szCs w:val="15"/>
                <w:highlight w:val="none"/>
                <w:lang w:eastAsia="zh-CN"/>
              </w:rPr>
              <w:t>长度</w:t>
            </w:r>
            <w:r>
              <w:rPr>
                <w:rFonts w:hint="eastAsia" w:ascii="宋体" w:hAnsi="宋体" w:eastAsia="宋体" w:cs="宋体"/>
                <w:color w:val="auto"/>
                <w:sz w:val="15"/>
                <w:szCs w:val="15"/>
                <w:highlight w:val="none"/>
                <w:lang w:val="en-US" w:eastAsia="zh-CN"/>
              </w:rPr>
              <w:t>101米</w:t>
            </w:r>
            <w:r>
              <w:rPr>
                <w:rFonts w:hint="eastAsia" w:ascii="宋体" w:hAnsi="宋体" w:eastAsia="宋体" w:cs="宋体"/>
                <w:color w:val="auto"/>
                <w:sz w:val="15"/>
                <w:szCs w:val="15"/>
                <w:highlight w:val="none"/>
                <w:lang w:eastAsia="zh-CN"/>
              </w:rPr>
              <w:t>及以上或者重量在</w:t>
            </w:r>
            <w:r>
              <w:rPr>
                <w:rFonts w:hint="eastAsia" w:ascii="宋体" w:hAnsi="宋体" w:eastAsia="宋体" w:cs="宋体"/>
                <w:color w:val="auto"/>
                <w:sz w:val="15"/>
                <w:szCs w:val="15"/>
                <w:highlight w:val="none"/>
                <w:lang w:val="en-US" w:eastAsia="zh-CN"/>
              </w:rPr>
              <w:t>40.5及吨以上</w:t>
            </w:r>
            <w:r>
              <w:rPr>
                <w:rFonts w:hint="eastAsia" w:ascii="宋体" w:hAnsi="宋体" w:eastAsia="宋体" w:cs="宋体"/>
                <w:b w:val="0"/>
                <w:bCs w:val="0"/>
                <w:color w:val="auto"/>
                <w:sz w:val="15"/>
                <w:szCs w:val="15"/>
                <w:highlight w:val="none"/>
                <w:lang w:eastAsia="zh-CN"/>
              </w:rPr>
              <w:t>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宋体" w:hAnsi="宋体" w:cs="宋体"/>
                <w:color w:val="auto"/>
                <w:sz w:val="15"/>
                <w:szCs w:val="15"/>
                <w:highlight w:val="none"/>
                <w:lang w:val="en-US" w:eastAsia="zh-CN"/>
              </w:rPr>
              <w:t>2</w:t>
            </w:r>
            <w:r>
              <w:rPr>
                <w:rFonts w:hint="eastAsia" w:ascii="宋体" w:hAnsi="宋体" w:eastAsia="宋体" w:cs="宋体"/>
                <w:color w:val="auto"/>
                <w:sz w:val="15"/>
                <w:szCs w:val="15"/>
                <w:highlight w:val="none"/>
                <w:lang w:val="en-US" w:eastAsia="zh-CN"/>
              </w:rPr>
              <w:t>.</w:t>
            </w:r>
            <w:r>
              <w:rPr>
                <w:rFonts w:hint="eastAsia" w:ascii="宋体" w:hAnsi="宋体" w:eastAsia="宋体" w:cs="宋体"/>
                <w:color w:val="auto"/>
                <w:sz w:val="15"/>
                <w:szCs w:val="15"/>
                <w:highlight w:val="none"/>
              </w:rPr>
              <w:t>产生较大环境污染或者社会影响的，系数</w:t>
            </w:r>
            <w:r>
              <w:rPr>
                <w:rFonts w:hint="eastAsia" w:ascii="宋体" w:hAnsi="宋体" w:eastAsia="宋体" w:cs="宋体"/>
                <w:color w:val="auto"/>
                <w:sz w:val="15"/>
                <w:szCs w:val="15"/>
                <w:highlight w:val="none"/>
                <w:lang w:val="en-US" w:eastAsia="zh-CN"/>
              </w:rPr>
              <w:t>5-</w:t>
            </w:r>
            <w:r>
              <w:rPr>
                <w:rFonts w:hint="eastAsia" w:ascii="宋体" w:hAnsi="宋体" w:cs="宋体"/>
                <w:color w:val="auto"/>
                <w:sz w:val="15"/>
                <w:szCs w:val="15"/>
                <w:highlight w:val="none"/>
                <w:lang w:val="en-US" w:eastAsia="zh-CN"/>
              </w:rPr>
              <w:t>6。3.存在基准2.1.3规定情形的，系数按照相关规定确定。</w:t>
            </w:r>
          </w:p>
          <w:p w14:paraId="623CE68A">
            <w:pPr>
              <w:keepNext w:val="0"/>
              <w:keepLines w:val="0"/>
              <w:pageBreakBefore w:val="0"/>
              <w:kinsoku/>
              <w:wordWrap/>
              <w:overflowPunct/>
              <w:topLinePunct w:val="0"/>
              <w:autoSpaceDE/>
              <w:autoSpaceDN/>
              <w:bidi w:val="0"/>
              <w:adjustRightInd/>
              <w:snapToGrid/>
              <w:spacing w:line="240" w:lineRule="auto"/>
              <w:rPr>
                <w:rFonts w:cs="宋体" w:asciiTheme="minorEastAsia" w:hAnsiTheme="minorEastAsia" w:eastAsiaTheme="minorEastAsia"/>
                <w:b/>
                <w:bCs/>
                <w:color w:val="auto"/>
                <w:kern w:val="0"/>
                <w:sz w:val="15"/>
                <w:szCs w:val="15"/>
                <w:highlight w:val="none"/>
              </w:rPr>
            </w:pPr>
          </w:p>
        </w:tc>
        <w:tc>
          <w:tcPr>
            <w:tcW w:w="1875" w:type="dxa"/>
            <w:gridSpan w:val="2"/>
            <w:shd w:val="clear" w:color="auto" w:fill="auto"/>
            <w:vAlign w:val="center"/>
          </w:tcPr>
          <w:p w14:paraId="379309D3">
            <w:pPr>
              <w:keepNext w:val="0"/>
              <w:keepLines w:val="0"/>
              <w:pageBreakBefore w:val="0"/>
              <w:kinsoku/>
              <w:wordWrap/>
              <w:overflowPunct/>
              <w:topLinePunct w:val="0"/>
              <w:autoSpaceDE/>
              <w:autoSpaceDN/>
              <w:bidi w:val="0"/>
              <w:adjustRightInd/>
              <w:snapToGrid/>
              <w:spacing w:line="240" w:lineRule="auto"/>
              <w:rPr>
                <w:rFonts w:cs="宋体" w:asciiTheme="minorEastAsia" w:hAnsiTheme="minorEastAsia" w:eastAsiaTheme="minorEastAsia"/>
                <w:b/>
                <w:bCs/>
                <w:color w:val="auto"/>
                <w:kern w:val="0"/>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14:paraId="7F92241A">
            <w:pPr>
              <w:numPr>
                <w:ilvl w:val="0"/>
                <w:numId w:val="4"/>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可以认定为“情节严重”情形的；</w:t>
            </w:r>
          </w:p>
          <w:p w14:paraId="10C6389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拟定接管方案。</w:t>
            </w:r>
          </w:p>
        </w:tc>
      </w:tr>
      <w:tr w14:paraId="5BCCF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490" w:hRule="atLeast"/>
          <w:jc w:val="center"/>
        </w:trPr>
        <w:tc>
          <w:tcPr>
            <w:tcW w:w="610" w:type="dxa"/>
            <w:shd w:val="clear" w:color="auto" w:fill="auto"/>
            <w:vAlign w:val="center"/>
          </w:tcPr>
          <w:p w14:paraId="7C0A5749">
            <w:pPr>
              <w:spacing w:line="232" w:lineRule="exact"/>
              <w:jc w:val="center"/>
              <w:rPr>
                <w:rFonts w:hint="default" w:asciiTheme="minorEastAsia" w:hAnsiTheme="minorEastAsia" w:eastAsiaTheme="minorEastAsia"/>
                <w:color w:val="auto"/>
                <w:sz w:val="15"/>
                <w:szCs w:val="15"/>
                <w:highlight w:val="none"/>
                <w:lang w:val="en-US"/>
              </w:rPr>
            </w:pPr>
            <w:r>
              <w:rPr>
                <w:rFonts w:hint="eastAsia" w:ascii="宋体" w:hAnsi="宋体" w:eastAsia="宋体"/>
                <w:color w:val="auto"/>
                <w:sz w:val="15"/>
                <w:szCs w:val="15"/>
                <w:highlight w:val="none"/>
                <w:lang w:val="en-US" w:eastAsia="zh-CN"/>
              </w:rPr>
              <w:t>18</w:t>
            </w:r>
          </w:p>
        </w:tc>
        <w:tc>
          <w:tcPr>
            <w:tcW w:w="1830" w:type="dxa"/>
            <w:gridSpan w:val="3"/>
            <w:shd w:val="clear" w:color="auto" w:fill="auto"/>
            <w:vAlign w:val="center"/>
          </w:tcPr>
          <w:p w14:paraId="5F95AB5F">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建筑垃圾运输服务单位将建筑垃圾与其他生活垃圾、危险废物混装混运</w:t>
            </w:r>
          </w:p>
        </w:tc>
        <w:tc>
          <w:tcPr>
            <w:tcW w:w="2789" w:type="dxa"/>
            <w:gridSpan w:val="2"/>
            <w:shd w:val="clear" w:color="auto" w:fill="auto"/>
            <w:vAlign w:val="center"/>
          </w:tcPr>
          <w:p w14:paraId="07616FE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asciiTheme="minorEastAsia" w:hAnsiTheme="minorEastAsia" w:eastAsiaTheme="minorEastAsia"/>
                <w:color w:val="auto"/>
                <w:sz w:val="15"/>
                <w:szCs w:val="15"/>
                <w:highlight w:val="none"/>
              </w:rPr>
            </w:pPr>
            <w:r>
              <w:rPr>
                <w:rFonts w:hint="eastAsia" w:ascii="宋体" w:hAnsi="宋体" w:eastAsia="宋体" w:cs="宋体"/>
                <w:i w:val="0"/>
                <w:iCs w:val="0"/>
                <w:color w:val="auto"/>
                <w:kern w:val="0"/>
                <w:sz w:val="15"/>
                <w:szCs w:val="15"/>
                <w:highlight w:val="none"/>
                <w:u w:val="none"/>
                <w:lang w:val="en-US" w:eastAsia="zh-CN" w:bidi="ar"/>
              </w:rPr>
              <w:t>违反条款：第十九条第一款；处罚条款：第四十条第一款 责令立即改正并清除遗撒、泄漏的建筑垃圾，</w:t>
            </w:r>
            <w:r>
              <w:rPr>
                <w:rStyle w:val="63"/>
                <w:rFonts w:hint="eastAsia" w:ascii="宋体" w:hAnsi="宋体" w:eastAsia="宋体" w:cs="宋体"/>
                <w:color w:val="auto"/>
                <w:sz w:val="15"/>
                <w:szCs w:val="15"/>
                <w:highlight w:val="none"/>
                <w:lang w:val="en-US" w:eastAsia="zh-CN" w:bidi="ar"/>
              </w:rPr>
              <w:t>处5万元以上50万元以下罚款；情节严重的，由城市管理综合执法部门吊销生活垃圾运输经营许可。</w:t>
            </w:r>
          </w:p>
        </w:tc>
        <w:tc>
          <w:tcPr>
            <w:tcW w:w="851" w:type="dxa"/>
            <w:shd w:val="clear" w:color="auto" w:fill="auto"/>
            <w:vAlign w:val="center"/>
          </w:tcPr>
          <w:p w14:paraId="4290B101">
            <w:pPr>
              <w:keepNext w:val="0"/>
              <w:keepLines w:val="0"/>
              <w:pageBreakBefore w:val="0"/>
              <w:kinsoku/>
              <w:wordWrap/>
              <w:overflowPunct/>
              <w:topLinePunct w:val="0"/>
              <w:autoSpaceDE/>
              <w:autoSpaceDN/>
              <w:bidi w:val="0"/>
              <w:adjustRightInd/>
              <w:snapToGrid/>
              <w:spacing w:line="240" w:lineRule="auto"/>
              <w:jc w:val="center"/>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w:t>
            </w:r>
          </w:p>
        </w:tc>
        <w:tc>
          <w:tcPr>
            <w:tcW w:w="840" w:type="dxa"/>
            <w:shd w:val="clear" w:color="auto" w:fill="auto"/>
            <w:vAlign w:val="center"/>
          </w:tcPr>
          <w:p w14:paraId="133DB9C7">
            <w:pPr>
              <w:keepNext w:val="0"/>
              <w:keepLines w:val="0"/>
              <w:pageBreakBefore w:val="0"/>
              <w:kinsoku/>
              <w:wordWrap/>
              <w:overflowPunct/>
              <w:topLinePunct w:val="0"/>
              <w:autoSpaceDE/>
              <w:autoSpaceDN/>
              <w:bidi w:val="0"/>
              <w:adjustRightInd/>
              <w:snapToGrid/>
              <w:spacing w:line="240" w:lineRule="auto"/>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ascii="宋体" w:hAnsi="宋体" w:eastAsia="宋体" w:cs="宋体"/>
                <w:b/>
                <w:bCs/>
                <w:color w:val="auto"/>
                <w:kern w:val="0"/>
                <w:sz w:val="15"/>
                <w:szCs w:val="15"/>
                <w:highlight w:val="none"/>
                <w:lang w:val="en-US" w:eastAsia="zh-CN"/>
              </w:rPr>
              <w:t>1</w:t>
            </w:r>
          </w:p>
        </w:tc>
        <w:tc>
          <w:tcPr>
            <w:tcW w:w="3426" w:type="dxa"/>
            <w:shd w:val="clear" w:color="auto" w:fill="auto"/>
            <w:vAlign w:val="center"/>
          </w:tcPr>
          <w:p w14:paraId="54F3824E">
            <w:pPr>
              <w:keepNext w:val="0"/>
              <w:keepLines w:val="0"/>
              <w:pageBreakBefore w:val="0"/>
              <w:kinsoku/>
              <w:wordWrap/>
              <w:overflowPunct/>
              <w:topLinePunct w:val="0"/>
              <w:autoSpaceDE/>
              <w:autoSpaceDN/>
              <w:bidi w:val="0"/>
              <w:adjustRightInd/>
              <w:snapToGrid/>
              <w:spacing w:line="240" w:lineRule="auto"/>
              <w:rPr>
                <w:rFonts w:hint="default" w:asciiTheme="minorEastAsia" w:hAnsiTheme="minorEastAsia" w:eastAsiaTheme="minorEastAsia"/>
                <w:color w:val="auto"/>
                <w:sz w:val="15"/>
                <w:szCs w:val="15"/>
                <w:highlight w:val="none"/>
                <w:lang w:val="en-US" w:eastAsia="zh-CN"/>
              </w:rPr>
            </w:pPr>
            <w:r>
              <w:rPr>
                <w:rFonts w:hint="eastAsia" w:ascii="宋体" w:hAnsi="宋体" w:eastAsia="宋体" w:cs="宋体"/>
                <w:color w:val="auto"/>
                <w:sz w:val="15"/>
                <w:szCs w:val="15"/>
                <w:highlight w:val="none"/>
                <w:lang w:val="en-US" w:eastAsia="zh-CN"/>
              </w:rPr>
              <w:t>1</w:t>
            </w:r>
            <w:r>
              <w:rPr>
                <w:rFonts w:hint="eastAsia" w:ascii="宋体" w:hAnsi="宋体" w:eastAsia="宋体" w:cs="宋体"/>
                <w:color w:val="auto"/>
                <w:sz w:val="15"/>
                <w:szCs w:val="15"/>
                <w:highlight w:val="none"/>
              </w:rPr>
              <w:t>.运输车辆（4.5吨以上），</w:t>
            </w:r>
            <w:r>
              <w:rPr>
                <w:rFonts w:hint="eastAsia" w:ascii="宋体" w:hAnsi="宋体" w:cs="宋体"/>
                <w:color w:val="auto"/>
                <w:sz w:val="15"/>
                <w:szCs w:val="15"/>
                <w:highlight w:val="none"/>
                <w:lang w:eastAsia="zh-CN"/>
              </w:rPr>
              <w:t>系数</w:t>
            </w:r>
            <w:r>
              <w:rPr>
                <w:rFonts w:hint="eastAsia" w:ascii="宋体" w:hAnsi="宋体" w:eastAsia="宋体" w:cs="宋体"/>
                <w:color w:val="auto"/>
                <w:sz w:val="15"/>
                <w:szCs w:val="15"/>
                <w:highlight w:val="none"/>
                <w:lang w:val="en-US" w:eastAsia="zh-CN"/>
              </w:rPr>
              <w:t>1-</w:t>
            </w:r>
            <w:r>
              <w:rPr>
                <w:rFonts w:hint="eastAsia" w:ascii="宋体" w:hAnsi="宋体" w:cs="宋体"/>
                <w:color w:val="auto"/>
                <w:sz w:val="15"/>
                <w:szCs w:val="15"/>
                <w:highlight w:val="none"/>
                <w:lang w:val="en-US" w:eastAsia="zh-CN"/>
              </w:rPr>
              <w:t>2</w:t>
            </w:r>
            <w:r>
              <w:rPr>
                <w:rFonts w:hint="eastAsia" w:ascii="宋体" w:hAnsi="宋体" w:eastAsia="宋体" w:cs="宋体"/>
                <w:color w:val="auto"/>
                <w:sz w:val="15"/>
                <w:szCs w:val="15"/>
                <w:highlight w:val="none"/>
              </w:rPr>
              <w:t>；</w:t>
            </w:r>
            <w:r>
              <w:rPr>
                <w:rFonts w:hint="eastAsia" w:ascii="宋体" w:hAnsi="宋体" w:eastAsia="宋体" w:cs="宋体"/>
                <w:color w:val="auto"/>
                <w:sz w:val="15"/>
                <w:szCs w:val="15"/>
                <w:highlight w:val="none"/>
                <w:lang w:val="en-US" w:eastAsia="zh-CN"/>
              </w:rPr>
              <w:t>2</w:t>
            </w:r>
            <w:r>
              <w:rPr>
                <w:rFonts w:hint="eastAsia" w:ascii="宋体" w:hAnsi="宋体" w:eastAsia="宋体" w:cs="宋体"/>
                <w:color w:val="auto"/>
                <w:sz w:val="15"/>
                <w:szCs w:val="15"/>
                <w:highlight w:val="none"/>
              </w:rPr>
              <w:t>.与危险废物混装混运，</w:t>
            </w:r>
            <w:r>
              <w:rPr>
                <w:rFonts w:hint="eastAsia" w:ascii="宋体" w:hAnsi="宋体" w:cs="宋体"/>
                <w:color w:val="auto"/>
                <w:sz w:val="15"/>
                <w:szCs w:val="15"/>
                <w:highlight w:val="none"/>
                <w:lang w:eastAsia="zh-CN"/>
              </w:rPr>
              <w:t>系数</w:t>
            </w:r>
            <w:r>
              <w:rPr>
                <w:rFonts w:hint="default" w:ascii="宋体" w:hAnsi="宋体" w:cs="宋体"/>
                <w:color w:val="auto"/>
                <w:sz w:val="15"/>
                <w:szCs w:val="15"/>
                <w:highlight w:val="none"/>
                <w:lang w:val="en-US"/>
              </w:rPr>
              <w:t>5</w:t>
            </w:r>
            <w:r>
              <w:rPr>
                <w:rFonts w:hint="eastAsia" w:ascii="宋体" w:hAnsi="宋体" w:eastAsia="宋体" w:cs="宋体"/>
                <w:color w:val="auto"/>
                <w:sz w:val="15"/>
                <w:szCs w:val="15"/>
                <w:highlight w:val="none"/>
                <w:lang w:val="en-US" w:eastAsia="zh-CN"/>
              </w:rPr>
              <w:t>-</w:t>
            </w:r>
            <w:r>
              <w:rPr>
                <w:rFonts w:hint="default" w:ascii="宋体" w:hAnsi="宋体" w:cs="宋体"/>
                <w:color w:val="auto"/>
                <w:sz w:val="15"/>
                <w:szCs w:val="15"/>
                <w:highlight w:val="none"/>
                <w:lang w:val="en-US" w:eastAsia="zh-CN"/>
              </w:rPr>
              <w:t>6</w:t>
            </w:r>
            <w:r>
              <w:rPr>
                <w:rFonts w:hint="eastAsia" w:ascii="宋体" w:hAnsi="宋体" w:eastAsia="宋体" w:cs="宋体"/>
                <w:color w:val="auto"/>
                <w:sz w:val="15"/>
                <w:szCs w:val="15"/>
                <w:highlight w:val="none"/>
                <w:lang w:val="en-US" w:eastAsia="zh-CN"/>
              </w:rPr>
              <w:t>；3.同一运输单位存在多辆车辆混装混运的，</w:t>
            </w:r>
            <w:r>
              <w:rPr>
                <w:rFonts w:hint="eastAsia" w:ascii="宋体" w:hAnsi="宋体" w:cs="宋体"/>
                <w:color w:val="auto"/>
                <w:sz w:val="15"/>
                <w:szCs w:val="15"/>
                <w:highlight w:val="none"/>
                <w:lang w:val="en-US" w:eastAsia="zh-CN"/>
              </w:rPr>
              <w:t>系数</w:t>
            </w:r>
            <w:r>
              <w:rPr>
                <w:rFonts w:hint="eastAsia" w:ascii="宋体" w:hAnsi="宋体" w:eastAsia="宋体" w:cs="宋体"/>
                <w:color w:val="auto"/>
                <w:sz w:val="15"/>
                <w:szCs w:val="15"/>
                <w:highlight w:val="none"/>
                <w:lang w:val="en-US" w:eastAsia="zh-CN"/>
              </w:rPr>
              <w:t>7</w:t>
            </w:r>
            <w:r>
              <w:rPr>
                <w:rFonts w:hint="eastAsia" w:ascii="宋体" w:hAnsi="宋体" w:cs="宋体"/>
                <w:color w:val="auto"/>
                <w:sz w:val="15"/>
                <w:szCs w:val="15"/>
                <w:highlight w:val="none"/>
                <w:lang w:val="en-US" w:eastAsia="zh-CN"/>
              </w:rPr>
              <w:t>-8；</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0D057BE4">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0000×（1＋</w:t>
            </w:r>
            <w:r>
              <w:rPr>
                <w:rFonts w:hint="eastAsia" w:ascii="宋体" w:hAnsi="宋体" w:cs="宋体"/>
                <w:color w:val="auto"/>
                <w:sz w:val="15"/>
                <w:szCs w:val="15"/>
                <w:highlight w:val="none"/>
                <w:lang w:eastAsia="zh-CN"/>
              </w:rPr>
              <w:t>情节</w:t>
            </w:r>
            <w:r>
              <w:rPr>
                <w:rFonts w:hint="eastAsia" w:ascii="宋体" w:hAnsi="宋体" w:eastAsia="宋体" w:cs="宋体"/>
                <w:color w:val="auto"/>
                <w:sz w:val="15"/>
                <w:szCs w:val="15"/>
                <w:highlight w:val="none"/>
                <w:lang w:eastAsia="zh-CN"/>
              </w:rPr>
              <w:t>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14:paraId="48946429">
            <w:pPr>
              <w:keepNext w:val="0"/>
              <w:keepLines w:val="0"/>
              <w:pageBreakBefore w:val="0"/>
              <w:numPr>
                <w:ilvl w:val="0"/>
                <w:numId w:val="5"/>
              </w:numPr>
              <w:kinsoku/>
              <w:wordWrap/>
              <w:overflowPunct/>
              <w:topLinePunct w:val="0"/>
              <w:autoSpaceDE/>
              <w:autoSpaceDN/>
              <w:bidi w:val="0"/>
              <w:adjustRightInd/>
              <w:snapToGrid/>
              <w:spacing w:line="240" w:lineRule="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存在下列情形的，可视为“情节严重”：一年内因同类违法行为，受到城管执法机关</w:t>
            </w:r>
            <w:r>
              <w:rPr>
                <w:rFonts w:hint="eastAsia" w:ascii="宋体" w:hAnsi="宋体" w:eastAsia="宋体" w:cs="宋体"/>
                <w:color w:val="auto"/>
                <w:sz w:val="15"/>
                <w:szCs w:val="15"/>
                <w:highlight w:val="none"/>
                <w:lang w:val="en-US" w:eastAsia="zh-CN"/>
              </w:rPr>
              <w:t>2次</w:t>
            </w:r>
            <w:r>
              <w:rPr>
                <w:rFonts w:hint="eastAsia" w:ascii="宋体" w:hAnsi="宋体" w:eastAsia="宋体" w:cs="宋体"/>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宋体" w:hAnsi="宋体" w:cs="宋体"/>
                <w:color w:val="auto"/>
                <w:sz w:val="15"/>
                <w:szCs w:val="15"/>
                <w:highlight w:val="none"/>
                <w:lang w:eastAsia="zh-CN"/>
              </w:rPr>
              <w:t>其他</w:t>
            </w:r>
            <w:r>
              <w:rPr>
                <w:rFonts w:hint="eastAsia" w:ascii="宋体" w:hAnsi="宋体" w:eastAsia="宋体" w:cs="宋体"/>
                <w:color w:val="auto"/>
                <w:sz w:val="15"/>
                <w:szCs w:val="15"/>
                <w:highlight w:val="none"/>
              </w:rPr>
              <w:t>可以认定为“情节严重”情形的；</w:t>
            </w:r>
          </w:p>
          <w:p w14:paraId="4C2D0F5D">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2. 依据</w:t>
            </w:r>
            <w:r>
              <w:rPr>
                <w:rFonts w:hint="eastAsia" w:ascii="宋体" w:hAnsi="宋体" w:eastAsia="宋体" w:cs="宋体"/>
                <w:color w:val="auto"/>
                <w:kern w:val="0"/>
                <w:sz w:val="15"/>
                <w:szCs w:val="15"/>
                <w:highlight w:val="none"/>
              </w:rPr>
              <w:t>《北京市人民政府关于进一步相对集中城市管理领域部分行政处罚权的决定》（</w:t>
            </w:r>
            <w:r>
              <w:rPr>
                <w:rFonts w:hint="eastAsia" w:ascii="宋体" w:hAnsi="宋体" w:eastAsia="宋体" w:cs="宋体"/>
                <w:color w:val="auto"/>
                <w:sz w:val="15"/>
                <w:szCs w:val="15"/>
                <w:highlight w:val="none"/>
              </w:rPr>
              <w:t>京政发〔2017〕32号），拟作出吊销处罚的，作出处罚决定前，要邀请城市管理部门共同会商；对于可能影响公共利益的，提请城市管理部门拟定接管方案。</w:t>
            </w:r>
          </w:p>
        </w:tc>
      </w:tr>
      <w:tr w14:paraId="0A576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4" w:hRule="atLeast"/>
          <w:jc w:val="center"/>
        </w:trPr>
        <w:tc>
          <w:tcPr>
            <w:tcW w:w="610" w:type="dxa"/>
            <w:shd w:val="clear" w:color="auto" w:fill="auto"/>
            <w:vAlign w:val="center"/>
          </w:tcPr>
          <w:p w14:paraId="29CEB02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19</w:t>
            </w:r>
          </w:p>
        </w:tc>
        <w:tc>
          <w:tcPr>
            <w:tcW w:w="1830" w:type="dxa"/>
            <w:gridSpan w:val="3"/>
            <w:shd w:val="clear" w:color="auto" w:fill="auto"/>
            <w:vAlign w:val="center"/>
          </w:tcPr>
          <w:p w14:paraId="3C209D4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按照规定使用电子运单</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如实记录建筑垃圾处置情况</w:t>
            </w:r>
          </w:p>
        </w:tc>
        <w:tc>
          <w:tcPr>
            <w:tcW w:w="2789" w:type="dxa"/>
            <w:gridSpan w:val="2"/>
            <w:shd w:val="clear" w:color="auto" w:fill="auto"/>
            <w:vAlign w:val="center"/>
          </w:tcPr>
          <w:p w14:paraId="64CE14A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十九条第</w:t>
            </w:r>
            <w:r>
              <w:rPr>
                <w:rFonts w:hint="eastAsia" w:asciiTheme="minorEastAsia" w:hAnsiTheme="minorEastAsia" w:eastAsiaTheme="minorEastAsia"/>
                <w:color w:val="auto"/>
                <w:sz w:val="15"/>
                <w:szCs w:val="15"/>
                <w:highlight w:val="none"/>
              </w:rPr>
              <w:t>二</w:t>
            </w:r>
            <w:r>
              <w:rPr>
                <w:rFonts w:asciiTheme="minorEastAsia" w:hAnsiTheme="minorEastAsia" w:eastAsiaTheme="minorEastAsia"/>
                <w:color w:val="auto"/>
                <w:sz w:val="15"/>
                <w:szCs w:val="15"/>
                <w:highlight w:val="none"/>
              </w:rPr>
              <w:t>款</w:t>
            </w:r>
          </w:p>
          <w:p w14:paraId="21C81A6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四十条第二款</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w:t>
            </w:r>
          </w:p>
        </w:tc>
        <w:tc>
          <w:tcPr>
            <w:tcW w:w="851" w:type="dxa"/>
            <w:shd w:val="clear" w:color="auto" w:fill="auto"/>
            <w:vAlign w:val="center"/>
          </w:tcPr>
          <w:p w14:paraId="1D39DF0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14:paraId="5944E2AF">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6B6E4074">
            <w:pPr>
              <w:spacing w:line="232" w:lineRule="exact"/>
              <w:rPr>
                <w:rFonts w:hint="default" w:ascii="宋体" w:hAnsi="宋体" w:eastAsia="宋体" w:cs="宋体"/>
                <w:b/>
                <w:bCs/>
                <w:color w:val="auto"/>
                <w:kern w:val="0"/>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宋体" w:hAnsi="宋体" w:cs="宋体"/>
                <w:b w:val="0"/>
                <w:bCs w:val="0"/>
                <w:color w:val="auto"/>
                <w:sz w:val="15"/>
                <w:szCs w:val="15"/>
                <w:highlight w:val="none"/>
                <w:lang w:val="en-US" w:eastAsia="zh-CN"/>
              </w:rPr>
              <w:t>运输垃圾2车次及以上的，系数1；4车次及以上的，系数3；6车次及以上的，系数5；8车次及以上的，系数7；10车次及以上的，系数9。2</w:t>
            </w:r>
            <w:r>
              <w:rPr>
                <w:rFonts w:hint="eastAsia" w:ascii="宋体" w:hAnsi="宋体" w:cs="宋体"/>
                <w:b/>
                <w:bCs/>
                <w:color w:val="auto"/>
                <w:sz w:val="15"/>
                <w:szCs w:val="15"/>
                <w:highlight w:val="none"/>
                <w:lang w:val="en-US" w:eastAsia="zh-CN"/>
              </w:rPr>
              <w:t>.</w:t>
            </w:r>
            <w:r>
              <w:rPr>
                <w:rFonts w:hint="eastAsia" w:asciiTheme="minorEastAsia" w:hAnsiTheme="minorEastAsia" w:eastAsiaTheme="minorEastAsia"/>
                <w:color w:val="auto"/>
                <w:sz w:val="15"/>
                <w:szCs w:val="15"/>
                <w:highlight w:val="none"/>
                <w:lang w:val="en-US" w:eastAsia="zh-CN"/>
              </w:rPr>
              <w:t>同一运输单位多辆（3辆及以上）车辆存在违规的，系数5-9。3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14:paraId="45492742">
            <w:pPr>
              <w:spacing w:line="232" w:lineRule="exact"/>
              <w:rPr>
                <w:rFonts w:hint="eastAsia" w:asciiTheme="minorEastAsia" w:hAnsiTheme="minorEastAsia" w:eastAsiaTheme="minorEastAsia"/>
                <w:color w:val="auto"/>
                <w:sz w:val="15"/>
                <w:szCs w:val="15"/>
                <w:highlight w:val="none"/>
              </w:rPr>
            </w:pPr>
          </w:p>
        </w:tc>
        <w:tc>
          <w:tcPr>
            <w:tcW w:w="1875" w:type="dxa"/>
            <w:gridSpan w:val="2"/>
            <w:shd w:val="clear" w:color="auto" w:fill="auto"/>
            <w:vAlign w:val="center"/>
          </w:tcPr>
          <w:p w14:paraId="604985C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567465C3">
            <w:pPr>
              <w:numPr>
                <w:ilvl w:val="0"/>
                <w:numId w:val="6"/>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可以认定为“情节严重”情形的；</w:t>
            </w:r>
          </w:p>
          <w:p w14:paraId="32DA120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r>
      <w:tr w14:paraId="1E02A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55" w:hRule="atLeast"/>
          <w:jc w:val="center"/>
        </w:trPr>
        <w:tc>
          <w:tcPr>
            <w:tcW w:w="610" w:type="dxa"/>
            <w:shd w:val="clear" w:color="auto" w:fill="auto"/>
            <w:vAlign w:val="center"/>
          </w:tcPr>
          <w:p w14:paraId="7147C2C6">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p>
        </w:tc>
        <w:tc>
          <w:tcPr>
            <w:tcW w:w="1830" w:type="dxa"/>
            <w:gridSpan w:val="3"/>
            <w:shd w:val="clear" w:color="auto" w:fill="auto"/>
            <w:vAlign w:val="center"/>
          </w:tcPr>
          <w:p w14:paraId="5E087CB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w:t>
            </w:r>
            <w:r>
              <w:rPr>
                <w:rFonts w:asciiTheme="minorEastAsia" w:hAnsiTheme="minorEastAsia" w:eastAsiaTheme="minorEastAsia"/>
                <w:color w:val="auto"/>
                <w:sz w:val="15"/>
                <w:szCs w:val="15"/>
                <w:highlight w:val="none"/>
              </w:rPr>
              <w:t>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编制建筑垃圾处理方案</w:t>
            </w:r>
            <w:r>
              <w:rPr>
                <w:rFonts w:hint="eastAsia" w:asciiTheme="minorEastAsia" w:hAnsiTheme="minorEastAsia" w:eastAsiaTheme="minorEastAsia"/>
                <w:color w:val="auto"/>
                <w:sz w:val="15"/>
                <w:szCs w:val="15"/>
                <w:highlight w:val="none"/>
              </w:rPr>
              <w:t>报备案</w:t>
            </w:r>
          </w:p>
        </w:tc>
        <w:tc>
          <w:tcPr>
            <w:tcW w:w="2789" w:type="dxa"/>
            <w:gridSpan w:val="2"/>
            <w:shd w:val="clear" w:color="auto" w:fill="auto"/>
            <w:vAlign w:val="center"/>
          </w:tcPr>
          <w:p w14:paraId="0685556E">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w:t>
            </w:r>
          </w:p>
          <w:p w14:paraId="0EB2EA48">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处罚条款：第四十一条第一款 责令限期改正，处10万元以上100万元以下罚款。</w:t>
            </w:r>
          </w:p>
        </w:tc>
        <w:tc>
          <w:tcPr>
            <w:tcW w:w="851" w:type="dxa"/>
            <w:shd w:val="clear" w:color="auto" w:fill="auto"/>
            <w:vAlign w:val="center"/>
          </w:tcPr>
          <w:p w14:paraId="7B789F0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14:paraId="13F8CF04">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51D5A606">
            <w:pPr>
              <w:spacing w:line="232" w:lineRule="exact"/>
              <w:rPr>
                <w:rFonts w:hint="default" w:ascii="宋体" w:hAnsi="宋体" w:eastAsia="宋体" w:cs="宋体"/>
                <w:b/>
                <w:bCs/>
                <w:color w:val="auto"/>
                <w:kern w:val="0"/>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w:t>
            </w:r>
            <w:r>
              <w:rPr>
                <w:rFonts w:hint="default"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；5000㎡以上2万㎡及以下的，系数</w:t>
            </w:r>
            <w:r>
              <w:rPr>
                <w:rFonts w:hint="default" w:asciiTheme="minorEastAsia" w:hAnsiTheme="minorEastAsia" w:eastAsiaTheme="minorEastAsia" w:cstheme="minorEastAsia"/>
                <w:b w:val="0"/>
                <w:bCs w:val="0"/>
                <w:strike w:val="0"/>
                <w:dstrike w:val="0"/>
                <w:color w:val="auto"/>
                <w:sz w:val="15"/>
                <w:szCs w:val="15"/>
                <w:highlight w:val="none"/>
                <w:lang w:val="en-US" w:eastAsia="zh-CN"/>
              </w:rPr>
              <w:t>3-4</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；2万㎡以上的，系数</w:t>
            </w:r>
            <w:r>
              <w:rPr>
                <w:rFonts w:hint="default" w:asciiTheme="minorEastAsia" w:hAnsiTheme="minorEastAsia" w:eastAsiaTheme="minorEastAsia" w:cstheme="minorEastAsia"/>
                <w:b w:val="0"/>
                <w:bCs w:val="0"/>
                <w:strike w:val="0"/>
                <w:dstrike w:val="0"/>
                <w:color w:val="auto"/>
                <w:sz w:val="15"/>
                <w:szCs w:val="15"/>
                <w:highlight w:val="none"/>
                <w:lang w:val="en-US" w:eastAsia="zh-CN"/>
              </w:rPr>
              <w:t>5-6</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。2.未备案时间持续10天及以内的，系数0；11-20天的，系数1；21-30天的，系数2；31-40天的，系数3；41-50天的，系数4；51-60天的，系数5；以此类推，91天及以上的，系数9。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w:t>
            </w:r>
            <w:r>
              <w:rPr>
                <w:rFonts w:hint="eastAsia" w:cs="宋体" w:asciiTheme="minorEastAsia" w:hAnsiTheme="minorEastAsia" w:eastAsiaTheme="minorEastAsia"/>
                <w:color w:val="auto"/>
                <w:sz w:val="15"/>
                <w:szCs w:val="15"/>
                <w:highlight w:val="none"/>
                <w:lang w:val="en-US" w:eastAsia="zh-CN"/>
              </w:rPr>
              <w:t>6</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14:paraId="37BB33F6">
            <w:pPr>
              <w:widowControl w:val="0"/>
              <w:numPr>
                <w:ilvl w:val="0"/>
                <w:numId w:val="0"/>
              </w:numPr>
              <w:jc w:val="both"/>
              <w:rPr>
                <w:rFonts w:hint="eastAsia" w:cs="宋体" w:asciiTheme="minorEastAsia" w:hAnsiTheme="minorEastAsia" w:eastAsiaTheme="minorEastAsia"/>
                <w:color w:val="auto"/>
                <w:sz w:val="15"/>
                <w:szCs w:val="15"/>
                <w:highlight w:val="none"/>
              </w:rPr>
            </w:pPr>
          </w:p>
        </w:tc>
        <w:tc>
          <w:tcPr>
            <w:tcW w:w="1875" w:type="dxa"/>
            <w:gridSpan w:val="2"/>
            <w:shd w:val="clear" w:color="auto" w:fill="auto"/>
            <w:vAlign w:val="center"/>
          </w:tcPr>
          <w:p w14:paraId="34E21FD2">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罚款数额＝100000×（1＋</w:t>
            </w:r>
            <w:r>
              <w:rPr>
                <w:rFonts w:hint="eastAsia" w:cs="宋体" w:asciiTheme="minorEastAsia" w:hAnsiTheme="minorEastAsia" w:eastAsiaTheme="minorEastAsia"/>
                <w:color w:val="auto"/>
                <w:sz w:val="15"/>
                <w:szCs w:val="15"/>
                <w:highlight w:val="none"/>
                <w:lang w:eastAsia="zh-CN"/>
              </w:rPr>
              <w:t>情节</w:t>
            </w:r>
            <w:r>
              <w:rPr>
                <w:rFonts w:hint="eastAsia" w:cs="宋体"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6E30397C">
            <w:pPr>
              <w:spacing w:line="232" w:lineRule="exact"/>
              <w:rPr>
                <w:rFonts w:asciiTheme="minorEastAsia" w:hAnsiTheme="minorEastAsia" w:eastAsiaTheme="minorEastAsia"/>
                <w:color w:val="auto"/>
                <w:sz w:val="15"/>
                <w:szCs w:val="15"/>
                <w:highlight w:val="none"/>
              </w:rPr>
            </w:pPr>
          </w:p>
        </w:tc>
      </w:tr>
      <w:tr w14:paraId="3E74E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78" w:hRule="atLeast"/>
          <w:jc w:val="center"/>
        </w:trPr>
        <w:tc>
          <w:tcPr>
            <w:tcW w:w="610" w:type="dxa"/>
            <w:shd w:val="clear" w:color="auto" w:fill="auto"/>
            <w:vAlign w:val="center"/>
          </w:tcPr>
          <w:p w14:paraId="1D641283">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1</w:t>
            </w:r>
          </w:p>
        </w:tc>
        <w:tc>
          <w:tcPr>
            <w:tcW w:w="1830" w:type="dxa"/>
            <w:gridSpan w:val="3"/>
            <w:shd w:val="clear" w:color="auto" w:fill="auto"/>
            <w:vAlign w:val="center"/>
          </w:tcPr>
          <w:p w14:paraId="668B883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r>
              <w:rPr>
                <w:rFonts w:asciiTheme="minorEastAsia" w:hAnsiTheme="minorEastAsia" w:eastAsiaTheme="minorEastAsia"/>
                <w:color w:val="auto"/>
                <w:sz w:val="15"/>
                <w:szCs w:val="15"/>
                <w:highlight w:val="none"/>
              </w:rPr>
              <w:t>未及时清运建筑垃圾</w:t>
            </w:r>
          </w:p>
        </w:tc>
        <w:tc>
          <w:tcPr>
            <w:tcW w:w="2789" w:type="dxa"/>
            <w:gridSpan w:val="2"/>
            <w:shd w:val="clear" w:color="auto" w:fill="auto"/>
            <w:vAlign w:val="center"/>
          </w:tcPr>
          <w:p w14:paraId="17F3C51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条款：第二十条第二款</w:t>
            </w:r>
          </w:p>
          <w:p w14:paraId="6A6FA5C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四十一条第二款</w:t>
            </w:r>
            <w:r>
              <w:rPr>
                <w:rFonts w:hint="eastAsia" w:asciiTheme="minorEastAsia" w:hAnsiTheme="minorEastAsia" w:eastAsiaTheme="minorEastAsia"/>
                <w:color w:val="auto"/>
                <w:sz w:val="15"/>
                <w:szCs w:val="15"/>
                <w:highlight w:val="none"/>
              </w:rPr>
              <w:t xml:space="preserve">  责令限期改正，处10万元以上100万元以下罚款。</w:t>
            </w:r>
          </w:p>
        </w:tc>
        <w:tc>
          <w:tcPr>
            <w:tcW w:w="851" w:type="dxa"/>
            <w:shd w:val="clear" w:color="auto" w:fill="auto"/>
            <w:vAlign w:val="center"/>
          </w:tcPr>
          <w:p w14:paraId="6B155B5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14:paraId="19CC4ED0">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5DFEF836">
            <w:pPr>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color w:val="auto"/>
                <w:sz w:val="15"/>
                <w:szCs w:val="15"/>
                <w:highlight w:val="none"/>
              </w:rPr>
              <w:t>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w:t>
            </w:r>
            <w:r>
              <w:rPr>
                <w:rFonts w:hint="eastAsia" w:ascii="宋体" w:hAnsi="宋体" w:eastAsia="宋体" w:cs="宋体"/>
                <w:strike w:val="0"/>
                <w:dstrike w:val="0"/>
                <w:color w:val="auto"/>
                <w:kern w:val="0"/>
                <w:sz w:val="15"/>
                <w:szCs w:val="15"/>
                <w:highlight w:val="none"/>
              </w:rPr>
              <w:t>逾期</w:t>
            </w:r>
            <w:r>
              <w:rPr>
                <w:rFonts w:hint="eastAsia" w:ascii="宋体" w:hAnsi="宋体" w:eastAsia="宋体" w:cs="宋体"/>
                <w:strike w:val="0"/>
                <w:dstrike w:val="0"/>
                <w:color w:val="auto"/>
                <w:kern w:val="0"/>
                <w:sz w:val="15"/>
                <w:szCs w:val="15"/>
                <w:highlight w:val="none"/>
                <w:lang w:eastAsia="zh-CN"/>
              </w:rPr>
              <w:t>达</w:t>
            </w:r>
            <w:r>
              <w:rPr>
                <w:rFonts w:hint="eastAsia" w:ascii="宋体" w:hAnsi="宋体" w:eastAsia="宋体" w:cs="宋体"/>
                <w:strike w:val="0"/>
                <w:dstrike w:val="0"/>
                <w:color w:val="auto"/>
                <w:kern w:val="0"/>
                <w:sz w:val="15"/>
                <w:szCs w:val="15"/>
                <w:highlight w:val="none"/>
              </w:rPr>
              <w:t>2天</w:t>
            </w:r>
            <w:r>
              <w:rPr>
                <w:rFonts w:hint="eastAsia" w:ascii="宋体" w:hAnsi="宋体" w:eastAsia="宋体" w:cs="宋体"/>
                <w:strike w:val="0"/>
                <w:dstrike w:val="0"/>
                <w:color w:val="auto"/>
                <w:kern w:val="0"/>
                <w:sz w:val="15"/>
                <w:szCs w:val="15"/>
                <w:highlight w:val="none"/>
                <w:lang w:eastAsia="zh-CN"/>
              </w:rPr>
              <w:t>的，</w:t>
            </w:r>
            <w:r>
              <w:rPr>
                <w:rFonts w:hint="eastAsia" w:ascii="宋体" w:hAnsi="宋体" w:eastAsia="宋体" w:cs="宋体"/>
                <w:strike w:val="0"/>
                <w:dstrike w:val="0"/>
                <w:color w:val="auto"/>
                <w:kern w:val="0"/>
                <w:sz w:val="15"/>
                <w:szCs w:val="15"/>
                <w:highlight w:val="none"/>
              </w:rPr>
              <w:t>系数</w:t>
            </w:r>
            <w:r>
              <w:rPr>
                <w:rFonts w:hint="eastAsia" w:ascii="宋体" w:hAnsi="宋体" w:cs="宋体"/>
                <w:strike w:val="0"/>
                <w:dstrike w:val="0"/>
                <w:color w:val="auto"/>
                <w:kern w:val="0"/>
                <w:sz w:val="15"/>
                <w:szCs w:val="15"/>
                <w:highlight w:val="none"/>
                <w:lang w:val="en-US" w:eastAsia="zh-CN"/>
              </w:rPr>
              <w:t>1</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4</w:t>
            </w:r>
            <w:r>
              <w:rPr>
                <w:rFonts w:hint="eastAsia" w:ascii="宋体" w:hAnsi="宋体" w:cs="宋体"/>
                <w:strike w:val="0"/>
                <w:dstrike w:val="0"/>
                <w:color w:val="auto"/>
                <w:kern w:val="0"/>
                <w:sz w:val="15"/>
                <w:szCs w:val="15"/>
                <w:highlight w:val="none"/>
                <w:lang w:val="en-US" w:eastAsia="zh-CN"/>
              </w:rPr>
              <w:t>天</w:t>
            </w:r>
            <w:r>
              <w:rPr>
                <w:rFonts w:hint="eastAsia" w:ascii="宋体" w:hAnsi="宋体" w:eastAsia="宋体" w:cs="宋体"/>
                <w:strike w:val="0"/>
                <w:dstrike w:val="0"/>
                <w:color w:val="auto"/>
                <w:kern w:val="0"/>
                <w:sz w:val="15"/>
                <w:szCs w:val="15"/>
                <w:highlight w:val="none"/>
                <w:lang w:val="en-US" w:eastAsia="zh-CN"/>
              </w:rPr>
              <w:t>的，系数2；逾期达6天的，系数3；逾期达8天的，系数4；逾期达10天的，系数5；以此类推</w:t>
            </w:r>
            <w:r>
              <w:rPr>
                <w:rFonts w:hint="eastAsia" w:ascii="宋体" w:hAnsi="宋体" w:eastAsia="宋体" w:cs="宋体"/>
                <w:strike w:val="0"/>
                <w:dstrike w:val="0"/>
                <w:color w:val="auto"/>
                <w:kern w:val="0"/>
                <w:sz w:val="15"/>
                <w:szCs w:val="15"/>
                <w:highlight w:val="none"/>
                <w:lang w:eastAsia="zh-CN"/>
              </w:rPr>
              <w:t>，逾期达</w:t>
            </w:r>
            <w:r>
              <w:rPr>
                <w:rFonts w:hint="eastAsia" w:ascii="宋体" w:hAnsi="宋体" w:eastAsia="宋体" w:cs="宋体"/>
                <w:strike w:val="0"/>
                <w:dstrike w:val="0"/>
                <w:color w:val="auto"/>
                <w:kern w:val="0"/>
                <w:sz w:val="15"/>
                <w:szCs w:val="15"/>
                <w:highlight w:val="none"/>
                <w:lang w:val="en-US" w:eastAsia="zh-CN"/>
              </w:rPr>
              <w:t>18天及以上的，</w:t>
            </w:r>
            <w:r>
              <w:rPr>
                <w:rFonts w:hint="eastAsia" w:ascii="宋体" w:hAnsi="宋体" w:eastAsia="宋体" w:cs="Batang"/>
                <w:strike w:val="0"/>
                <w:dstrike w:val="0"/>
                <w:color w:val="auto"/>
                <w:sz w:val="15"/>
                <w:szCs w:val="15"/>
                <w:highlight w:val="none"/>
                <w:lang w:eastAsia="zh-CN"/>
              </w:rPr>
              <w:t>系数</w:t>
            </w:r>
            <w:r>
              <w:rPr>
                <w:rFonts w:hint="eastAsia" w:ascii="宋体" w:hAnsi="宋体" w:eastAsia="宋体" w:cs="Batang"/>
                <w:strike w:val="0"/>
                <w:dstrike w:val="0"/>
                <w:color w:val="auto"/>
                <w:sz w:val="15"/>
                <w:szCs w:val="15"/>
                <w:highlight w:val="none"/>
                <w:lang w:val="en-US" w:eastAsia="zh-CN"/>
              </w:rPr>
              <w:t>9</w:t>
            </w:r>
            <w:r>
              <w:rPr>
                <w:rFonts w:hint="eastAsia" w:ascii="宋体" w:hAnsi="宋体" w:eastAsia="宋体" w:cs="宋体"/>
                <w:strike w:val="0"/>
                <w:color w:val="auto"/>
                <w:kern w:val="0"/>
                <w:sz w:val="15"/>
                <w:szCs w:val="15"/>
                <w:highlight w:val="none"/>
              </w:rPr>
              <w:t>。</w:t>
            </w:r>
            <w:r>
              <w:rPr>
                <w:rFonts w:hint="eastAsia" w:asciiTheme="minorEastAsia" w:hAnsiTheme="minorEastAsia" w:eastAsiaTheme="minorEastAsia"/>
                <w:color w:val="auto"/>
                <w:sz w:val="15"/>
                <w:szCs w:val="15"/>
                <w:highlight w:val="none"/>
              </w:rPr>
              <w:t>3.造成尘土飞扬，严重污染环境的，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35389CDE">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50AB4378">
            <w:pPr>
              <w:spacing w:line="232" w:lineRule="exact"/>
              <w:rPr>
                <w:rFonts w:asciiTheme="minorEastAsia" w:hAnsiTheme="minorEastAsia" w:eastAsiaTheme="minorEastAsia"/>
                <w:color w:val="auto"/>
                <w:sz w:val="15"/>
                <w:szCs w:val="15"/>
                <w:highlight w:val="none"/>
              </w:rPr>
            </w:pPr>
          </w:p>
        </w:tc>
      </w:tr>
      <w:tr w14:paraId="2ECE6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01" w:hRule="atLeast"/>
          <w:jc w:val="center"/>
        </w:trPr>
        <w:tc>
          <w:tcPr>
            <w:tcW w:w="610" w:type="dxa"/>
            <w:shd w:val="clear" w:color="auto" w:fill="auto"/>
            <w:vAlign w:val="center"/>
          </w:tcPr>
          <w:p w14:paraId="53ED3E99">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w:t>
            </w:r>
          </w:p>
        </w:tc>
        <w:tc>
          <w:tcPr>
            <w:tcW w:w="1830" w:type="dxa"/>
            <w:gridSpan w:val="3"/>
            <w:shd w:val="clear" w:color="auto" w:fill="auto"/>
            <w:vAlign w:val="center"/>
          </w:tcPr>
          <w:p w14:paraId="4B9A763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施工</w:t>
            </w:r>
            <w:r>
              <w:rPr>
                <w:rFonts w:asciiTheme="minorEastAsia" w:hAnsiTheme="minorEastAsia" w:eastAsiaTheme="minorEastAsia"/>
                <w:b w:val="0"/>
                <w:bCs w:val="0"/>
                <w:color w:val="auto"/>
                <w:sz w:val="15"/>
                <w:szCs w:val="15"/>
                <w:highlight w:val="none"/>
              </w:rPr>
              <w:t>单位</w:t>
            </w:r>
            <w:r>
              <w:rPr>
                <w:rFonts w:hint="eastAsia" w:asciiTheme="minorEastAsia" w:hAnsiTheme="minorEastAsia" w:eastAsiaTheme="minorEastAsia"/>
                <w:b w:val="0"/>
                <w:bCs w:val="0"/>
                <w:color w:val="auto"/>
                <w:sz w:val="15"/>
                <w:szCs w:val="15"/>
                <w:highlight w:val="none"/>
              </w:rPr>
              <w:t>未按照规定对施工过程中产生的建筑垃圾进行资源化利用或者处置</w:t>
            </w:r>
          </w:p>
        </w:tc>
        <w:tc>
          <w:tcPr>
            <w:tcW w:w="2789" w:type="dxa"/>
            <w:gridSpan w:val="2"/>
            <w:shd w:val="clear" w:color="auto" w:fill="auto"/>
            <w:vAlign w:val="center"/>
          </w:tcPr>
          <w:p w14:paraId="099A81E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14:paraId="572D3456">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万元以上10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万元以下罚款。</w:t>
            </w:r>
          </w:p>
        </w:tc>
        <w:tc>
          <w:tcPr>
            <w:tcW w:w="851" w:type="dxa"/>
            <w:shd w:val="clear" w:color="auto" w:fill="auto"/>
            <w:vAlign w:val="center"/>
          </w:tcPr>
          <w:p w14:paraId="45CFAE2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r>
              <w:rPr>
                <w:rFonts w:asciiTheme="minorEastAsia" w:hAnsiTheme="minorEastAsia" w:eastAsiaTheme="minorEastAsia"/>
                <w:color w:val="auto"/>
                <w:sz w:val="15"/>
                <w:szCs w:val="15"/>
                <w:highlight w:val="none"/>
              </w:rPr>
              <w:t>0</w:t>
            </w:r>
          </w:p>
        </w:tc>
        <w:tc>
          <w:tcPr>
            <w:tcW w:w="840" w:type="dxa"/>
            <w:shd w:val="clear" w:color="auto" w:fill="auto"/>
            <w:vAlign w:val="center"/>
          </w:tcPr>
          <w:p w14:paraId="3B80A605">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7EC87C34">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按规定利用或</w:t>
            </w:r>
            <w:r>
              <w:rPr>
                <w:rFonts w:hint="eastAsia" w:asciiTheme="minorEastAsia" w:hAnsiTheme="minorEastAsia" w:eastAsiaTheme="minorEastAsia"/>
                <w:color w:val="auto"/>
                <w:sz w:val="15"/>
                <w:szCs w:val="15"/>
                <w:highlight w:val="none"/>
              </w:rPr>
              <w:t>处置</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hint="eastAsia" w:ascii="宋体" w:hAnsi="宋体" w:eastAsia="宋体" w:cs="宋体"/>
                <w:b w:val="0"/>
                <w:bCs w:val="0"/>
                <w:color w:val="auto"/>
                <w:sz w:val="15"/>
                <w:szCs w:val="15"/>
                <w:highlight w:val="none"/>
                <w:lang w:val="en-US" w:eastAsia="zh-CN"/>
              </w:rPr>
              <w:t>或者运输垃圾5车次以下的</w:t>
            </w:r>
            <w:r>
              <w:rPr>
                <w:rFonts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或者</w:t>
            </w:r>
            <w:r>
              <w:rPr>
                <w:rFonts w:hint="eastAsia" w:ascii="宋体" w:hAnsi="宋体" w:eastAsia="宋体" w:cs="宋体"/>
                <w:b w:val="0"/>
                <w:bCs w:val="0"/>
                <w:color w:val="auto"/>
                <w:sz w:val="15"/>
                <w:szCs w:val="15"/>
                <w:highlight w:val="none"/>
                <w:lang w:val="en-US" w:eastAsia="zh-CN"/>
              </w:rPr>
              <w:t>5（含5车）-9车次的，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或者</w:t>
            </w:r>
            <w:r>
              <w:rPr>
                <w:rFonts w:hint="eastAsia" w:cs="Batang" w:asciiTheme="minorEastAsia" w:hAnsiTheme="minorEastAsia" w:eastAsiaTheme="minorEastAsia"/>
                <w:b w:val="0"/>
                <w:bCs w:val="0"/>
                <w:color w:val="auto"/>
                <w:sz w:val="15"/>
                <w:szCs w:val="15"/>
                <w:highlight w:val="none"/>
                <w:lang w:val="en-US" w:eastAsia="zh-CN"/>
              </w:rPr>
              <w:t>1</w:t>
            </w:r>
            <w:r>
              <w:rPr>
                <w:rFonts w:hint="eastAsia" w:ascii="宋体" w:hAnsi="宋体" w:eastAsia="宋体" w:cs="宋体"/>
                <w:b w:val="0"/>
                <w:bCs w:val="0"/>
                <w:color w:val="auto"/>
                <w:sz w:val="15"/>
                <w:szCs w:val="15"/>
                <w:highlight w:val="none"/>
                <w:lang w:val="en-US" w:eastAsia="zh-CN"/>
              </w:rPr>
              <w:t>0-14车次的，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rPr>
              <w:t>2</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15-19车次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20-24车次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或者</w:t>
            </w:r>
            <w:r>
              <w:rPr>
                <w:rFonts w:hint="eastAsia" w:ascii="宋体" w:hAnsi="宋体" w:eastAsia="宋体" w:cs="宋体"/>
                <w:color w:val="auto"/>
                <w:kern w:val="0"/>
                <w:sz w:val="15"/>
                <w:szCs w:val="15"/>
                <w:highlight w:val="none"/>
                <w:lang w:val="en-US" w:eastAsia="zh-CN"/>
              </w:rPr>
              <w:t>25-29车次</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w:t>
            </w:r>
            <w:r>
              <w:rPr>
                <w:rFonts w:hint="eastAsia" w:ascii="宋体" w:hAnsi="宋体" w:eastAsia="宋体" w:cs="宋体"/>
                <w:b w:val="0"/>
                <w:bCs w:val="0"/>
                <w:color w:val="auto"/>
                <w:sz w:val="15"/>
                <w:szCs w:val="15"/>
                <w:highlight w:val="none"/>
                <w:lang w:val="en-US" w:eastAsia="zh-CN"/>
              </w:rPr>
              <w:t>或者45车次及以上的</w:t>
            </w:r>
            <w:r>
              <w:rPr>
                <w:rFonts w:hint="eastAsia" w:cs="Batang" w:asciiTheme="minorEastAsia" w:hAnsiTheme="minorEastAsia" w:eastAsiaTheme="minorEastAsia"/>
                <w:b w:val="0"/>
                <w:bCs w:val="0"/>
                <w:color w:val="auto"/>
                <w:sz w:val="15"/>
                <w:szCs w:val="15"/>
                <w:highlight w:val="none"/>
                <w:lang w:eastAsia="zh-CN"/>
              </w:rPr>
              <w:t>，系数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cs="宋体"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2.未按规定进行资源化利用或者处置建筑垃圾数量较大的或</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造成其他严重社会影响的，系数5-6。</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6584D8E7">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6C02A01E">
            <w:pPr>
              <w:spacing w:line="232" w:lineRule="exact"/>
              <w:rPr>
                <w:rFonts w:hint="eastAsia" w:asciiTheme="minorEastAsia" w:hAnsiTheme="minorEastAsia" w:eastAsiaTheme="minorEastAsia"/>
                <w:color w:val="auto"/>
                <w:sz w:val="15"/>
                <w:szCs w:val="15"/>
                <w:highlight w:val="none"/>
                <w:lang w:eastAsia="zh-CN"/>
              </w:rPr>
            </w:pPr>
          </w:p>
        </w:tc>
      </w:tr>
      <w:tr w14:paraId="396C7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48" w:hRule="atLeast"/>
          <w:jc w:val="center"/>
        </w:trPr>
        <w:tc>
          <w:tcPr>
            <w:tcW w:w="610" w:type="dxa"/>
            <w:shd w:val="clear" w:color="auto" w:fill="auto"/>
            <w:vAlign w:val="center"/>
          </w:tcPr>
          <w:p w14:paraId="08870CFA">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3</w:t>
            </w:r>
          </w:p>
        </w:tc>
        <w:tc>
          <w:tcPr>
            <w:tcW w:w="1830" w:type="dxa"/>
            <w:gridSpan w:val="3"/>
            <w:shd w:val="clear" w:color="auto" w:fill="auto"/>
            <w:vAlign w:val="center"/>
          </w:tcPr>
          <w:p w14:paraId="06335A6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施工单位未按照规定对现场贮存的建筑垃圾采取扬尘防治措施</w:t>
            </w:r>
          </w:p>
        </w:tc>
        <w:tc>
          <w:tcPr>
            <w:tcW w:w="2789" w:type="dxa"/>
            <w:gridSpan w:val="2"/>
            <w:shd w:val="clear" w:color="auto" w:fill="auto"/>
            <w:vAlign w:val="center"/>
          </w:tcPr>
          <w:p w14:paraId="20B4141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14:paraId="6505258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责令限期改正，处1万元以上10万元以下罚款；拒不改正的，责令停工整治。</w:t>
            </w:r>
          </w:p>
        </w:tc>
        <w:tc>
          <w:tcPr>
            <w:tcW w:w="851" w:type="dxa"/>
            <w:shd w:val="clear" w:color="auto" w:fill="auto"/>
            <w:vAlign w:val="center"/>
          </w:tcPr>
          <w:p w14:paraId="46F42C7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535E5A1B">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52A32F54">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3BC09883">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160B01F0">
            <w:pPr>
              <w:spacing w:line="232" w:lineRule="exact"/>
              <w:rPr>
                <w:rFonts w:asciiTheme="minorEastAsia" w:hAnsiTheme="minorEastAsia" w:eastAsiaTheme="minorEastAsia"/>
                <w:color w:val="auto"/>
                <w:sz w:val="15"/>
                <w:szCs w:val="15"/>
                <w:highlight w:val="none"/>
              </w:rPr>
            </w:pPr>
          </w:p>
        </w:tc>
      </w:tr>
      <w:tr w14:paraId="06554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138" w:hRule="atLeast"/>
          <w:jc w:val="center"/>
        </w:trPr>
        <w:tc>
          <w:tcPr>
            <w:tcW w:w="610" w:type="dxa"/>
            <w:shd w:val="clear" w:color="auto" w:fill="auto"/>
            <w:vAlign w:val="center"/>
          </w:tcPr>
          <w:p w14:paraId="0FB7290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24</w:t>
            </w:r>
          </w:p>
        </w:tc>
        <w:tc>
          <w:tcPr>
            <w:tcW w:w="1830" w:type="dxa"/>
            <w:gridSpan w:val="3"/>
            <w:shd w:val="clear" w:color="auto" w:fill="auto"/>
            <w:vAlign w:val="center"/>
          </w:tcPr>
          <w:p w14:paraId="4BD01B3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未按照规定建立台账并如实报告建筑垃圾处置情况</w:t>
            </w:r>
          </w:p>
        </w:tc>
        <w:tc>
          <w:tcPr>
            <w:tcW w:w="2789" w:type="dxa"/>
            <w:gridSpan w:val="2"/>
            <w:shd w:val="clear" w:color="auto" w:fill="auto"/>
            <w:vAlign w:val="center"/>
          </w:tcPr>
          <w:p w14:paraId="249467D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asciiTheme="minorEastAsia" w:hAnsiTheme="minorEastAsia" w:eastAsiaTheme="minorEastAsia"/>
                <w:color w:val="auto"/>
                <w:sz w:val="15"/>
                <w:szCs w:val="15"/>
                <w:highlight w:val="none"/>
              </w:rPr>
              <w:t>：第二十七条</w:t>
            </w:r>
          </w:p>
          <w:p w14:paraId="0E11F55E">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四十三条</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shd w:val="clear" w:color="auto" w:fill="auto"/>
            <w:vAlign w:val="center"/>
          </w:tcPr>
          <w:p w14:paraId="21B318E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14:paraId="0DC1BF7B">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3426" w:type="dxa"/>
            <w:shd w:val="clear" w:color="auto" w:fill="auto"/>
            <w:vAlign w:val="center"/>
          </w:tcPr>
          <w:p w14:paraId="1891F2F2">
            <w:pPr>
              <w:spacing w:line="232" w:lineRule="exact"/>
              <w:rPr>
                <w:rFonts w:asciiTheme="minorEastAsia" w:hAnsiTheme="minorEastAsia" w:eastAsiaTheme="minorEastAsia"/>
                <w:color w:val="auto"/>
                <w:sz w:val="15"/>
                <w:szCs w:val="15"/>
                <w:highlight w:val="none"/>
              </w:rPr>
            </w:pPr>
          </w:p>
          <w:p w14:paraId="79E3CCA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1.已记录</w:t>
            </w:r>
            <w:r>
              <w:rPr>
                <w:rFonts w:asciiTheme="minorEastAsia" w:hAnsiTheme="minorEastAsia" w:eastAsiaTheme="minorEastAsia"/>
                <w:color w:val="auto"/>
                <w:sz w:val="15"/>
                <w:szCs w:val="15"/>
                <w:highlight w:val="none"/>
              </w:rPr>
              <w:t>台账而记录内容不完整的，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；2.未建立台账的</w:t>
            </w:r>
            <w:r>
              <w:rPr>
                <w:rFonts w:asciiTheme="minorEastAsia" w:hAnsiTheme="minorEastAsia" w:eastAsiaTheme="minorEastAsia"/>
                <w:color w:val="auto"/>
                <w:sz w:val="15"/>
                <w:szCs w:val="15"/>
                <w:highlight w:val="none"/>
              </w:rPr>
              <w:t>或者台账弄虚作假的，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；3.同时造成</w:t>
            </w:r>
            <w:r>
              <w:rPr>
                <w:rFonts w:asciiTheme="minorEastAsia" w:hAnsiTheme="minorEastAsia" w:eastAsiaTheme="minorEastAsia"/>
                <w:color w:val="auto"/>
                <w:sz w:val="15"/>
                <w:szCs w:val="15"/>
                <w:highlight w:val="none"/>
              </w:rPr>
              <w:t>环境秩序严重影响的</w:t>
            </w:r>
            <w:r>
              <w:rPr>
                <w:rFonts w:hint="eastAsia" w:asciiTheme="minorEastAsia" w:hAnsiTheme="minorEastAsia" w:eastAsiaTheme="minorEastAsia"/>
                <w:color w:val="auto"/>
                <w:sz w:val="15"/>
                <w:szCs w:val="15"/>
                <w:highlight w:val="none"/>
              </w:rPr>
              <w:t>为7</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31B62FE4">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1BEF562D">
            <w:pPr>
              <w:numPr>
                <w:ilvl w:val="0"/>
                <w:numId w:val="7"/>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可以认定为“情节严重”情形的；</w:t>
            </w:r>
          </w:p>
          <w:p w14:paraId="0A2EDA0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京政发〔2017〕32号），拟作出吊销处罚的，作出处罚决定前，邀请城市管理部门划出部门共同会商；对于可能影响公共利益的，提请城市管理部门拟定接管方案。</w:t>
            </w:r>
          </w:p>
        </w:tc>
      </w:tr>
      <w:tr w14:paraId="5D608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1" w:hRule="atLeast"/>
          <w:jc w:val="center"/>
        </w:trPr>
        <w:tc>
          <w:tcPr>
            <w:tcW w:w="14203" w:type="dxa"/>
            <w:gridSpan w:val="13"/>
            <w:shd w:val="clear" w:color="auto" w:fill="auto"/>
            <w:vAlign w:val="center"/>
          </w:tcPr>
          <w:p w14:paraId="63A5F697">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4" w:name="_Toc495418307"/>
            <w:bookmarkStart w:id="35" w:name="_Toc110851448"/>
            <w:bookmarkStart w:id="36" w:name="_Toc1480001712"/>
            <w:r>
              <w:rPr>
                <w:rFonts w:hint="eastAsia" w:asciiTheme="minorEastAsia" w:hAnsiTheme="minorEastAsia" w:eastAsiaTheme="minorEastAsia"/>
                <w:color w:val="auto"/>
                <w:sz w:val="21"/>
                <w:szCs w:val="21"/>
                <w:highlight w:val="none"/>
              </w:rPr>
              <w:t>《北京市养犬管理规定》案由1项</w:t>
            </w:r>
            <w:bookmarkEnd w:id="34"/>
            <w:bookmarkEnd w:id="35"/>
            <w:bookmarkEnd w:id="36"/>
          </w:p>
        </w:tc>
      </w:tr>
      <w:tr w14:paraId="376D2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74" w:hRule="atLeast"/>
          <w:jc w:val="center"/>
        </w:trPr>
        <w:tc>
          <w:tcPr>
            <w:tcW w:w="610" w:type="dxa"/>
            <w:shd w:val="clear" w:color="auto" w:fill="auto"/>
            <w:vAlign w:val="center"/>
          </w:tcPr>
          <w:p w14:paraId="71769F3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1C41849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携犬人未清除户外犬粪便</w:t>
            </w:r>
          </w:p>
        </w:tc>
        <w:tc>
          <w:tcPr>
            <w:tcW w:w="2789" w:type="dxa"/>
            <w:gridSpan w:val="2"/>
            <w:shd w:val="clear" w:color="auto" w:fill="auto"/>
            <w:vAlign w:val="center"/>
          </w:tcPr>
          <w:p w14:paraId="68CF069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违反条款：第十七条第（六）项；处罚条款：第三十条：责令改正，并可处50元罚款。</w:t>
            </w:r>
          </w:p>
        </w:tc>
        <w:tc>
          <w:tcPr>
            <w:tcW w:w="851" w:type="dxa"/>
            <w:shd w:val="clear" w:color="auto" w:fill="auto"/>
            <w:vAlign w:val="center"/>
          </w:tcPr>
          <w:p w14:paraId="59275468">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4731B895">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7E9E024A">
            <w:pPr>
              <w:spacing w:line="232" w:lineRule="exact"/>
              <w:jc w:val="center"/>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52337DF">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132DA69D">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14:paraId="287AC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72" w:hRule="atLeast"/>
          <w:jc w:val="center"/>
        </w:trPr>
        <w:tc>
          <w:tcPr>
            <w:tcW w:w="14203" w:type="dxa"/>
            <w:gridSpan w:val="13"/>
            <w:shd w:val="clear" w:color="auto" w:fill="auto"/>
            <w:vAlign w:val="center"/>
          </w:tcPr>
          <w:p w14:paraId="2B3D504D">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7" w:name="_Toc243278611"/>
            <w:bookmarkStart w:id="38" w:name="_Toc986557284"/>
            <w:bookmarkStart w:id="39" w:name="_Toc110851449"/>
            <w:r>
              <w:rPr>
                <w:rFonts w:hint="eastAsia" w:asciiTheme="minorEastAsia" w:hAnsiTheme="minorEastAsia" w:eastAsiaTheme="minorEastAsia"/>
                <w:color w:val="auto"/>
                <w:sz w:val="21"/>
                <w:szCs w:val="21"/>
                <w:highlight w:val="none"/>
              </w:rPr>
              <w:t>《北京市长城保护管理办法》案由1项</w:t>
            </w:r>
            <w:bookmarkEnd w:id="37"/>
            <w:bookmarkEnd w:id="38"/>
            <w:bookmarkEnd w:id="39"/>
          </w:p>
        </w:tc>
      </w:tr>
      <w:tr w14:paraId="3F899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7E74D22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6BD0903B">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在长城保护范围和建设控制地带内设置</w:t>
            </w:r>
            <w:r>
              <w:rPr>
                <w:rFonts w:hint="eastAsia" w:cs="宋体" w:asciiTheme="minorEastAsia" w:hAnsiTheme="minorEastAsia" w:eastAsiaTheme="minorEastAsia"/>
                <w:color w:val="auto"/>
                <w:kern w:val="0"/>
                <w:sz w:val="15"/>
                <w:szCs w:val="15"/>
                <w:highlight w:val="none"/>
              </w:rPr>
              <w:t>不符合要求</w:t>
            </w:r>
            <w:r>
              <w:rPr>
                <w:rFonts w:cs="宋体" w:asciiTheme="minorEastAsia" w:hAnsiTheme="minorEastAsia" w:eastAsiaTheme="minorEastAsia"/>
                <w:color w:val="auto"/>
                <w:kern w:val="0"/>
                <w:sz w:val="15"/>
                <w:szCs w:val="15"/>
                <w:highlight w:val="none"/>
              </w:rPr>
              <w:t>的标志标牌</w:t>
            </w:r>
          </w:p>
        </w:tc>
        <w:tc>
          <w:tcPr>
            <w:tcW w:w="2789" w:type="dxa"/>
            <w:gridSpan w:val="2"/>
            <w:shd w:val="clear" w:color="auto" w:fill="auto"/>
            <w:vAlign w:val="center"/>
          </w:tcPr>
          <w:p w14:paraId="0F1A167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第十二条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第十七条</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 xml:space="preserve">责令拆除或者更换，并可处200元以上1000元以下的罚款。 </w:t>
            </w:r>
          </w:p>
        </w:tc>
        <w:tc>
          <w:tcPr>
            <w:tcW w:w="851" w:type="dxa"/>
            <w:shd w:val="clear" w:color="auto" w:fill="auto"/>
            <w:vAlign w:val="center"/>
          </w:tcPr>
          <w:p w14:paraId="35D142B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214EFB8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AF10366">
            <w:pPr>
              <w:spacing w:line="232"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645AA21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DB0470E">
            <w:pPr>
              <w:spacing w:line="232" w:lineRule="exact"/>
              <w:rPr>
                <w:rFonts w:cs="宋体" w:asciiTheme="minorEastAsia" w:hAnsiTheme="minorEastAsia" w:eastAsiaTheme="minorEastAsia"/>
                <w:color w:val="auto"/>
                <w:kern w:val="0"/>
                <w:sz w:val="15"/>
                <w:szCs w:val="15"/>
                <w:highlight w:val="none"/>
              </w:rPr>
            </w:pPr>
          </w:p>
        </w:tc>
      </w:tr>
      <w:tr w14:paraId="073A6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15" w:hRule="atLeast"/>
          <w:jc w:val="center"/>
        </w:trPr>
        <w:tc>
          <w:tcPr>
            <w:tcW w:w="14203" w:type="dxa"/>
            <w:gridSpan w:val="13"/>
            <w:shd w:val="clear" w:color="auto" w:fill="auto"/>
            <w:vAlign w:val="center"/>
          </w:tcPr>
          <w:p w14:paraId="2B7C7845">
            <w:pPr>
              <w:pStyle w:val="3"/>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0" w:name="_Toc1427991038"/>
            <w:bookmarkStart w:id="41" w:name="_Toc703776516"/>
            <w:bookmarkStart w:id="42" w:name="_Toc110851450"/>
            <w:r>
              <w:rPr>
                <w:rFonts w:hint="eastAsia" w:asciiTheme="minorEastAsia" w:hAnsiTheme="minorEastAsia" w:eastAsiaTheme="minorEastAsia"/>
                <w:color w:val="auto"/>
                <w:sz w:val="21"/>
                <w:szCs w:val="21"/>
                <w:highlight w:val="none"/>
              </w:rPr>
              <w:t>《北京历史文化名城保护条例》案由1项</w:t>
            </w:r>
            <w:bookmarkEnd w:id="40"/>
            <w:bookmarkEnd w:id="41"/>
            <w:bookmarkEnd w:id="42"/>
          </w:p>
        </w:tc>
      </w:tr>
      <w:tr w14:paraId="1D630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65" w:hRule="atLeast"/>
          <w:jc w:val="center"/>
        </w:trPr>
        <w:tc>
          <w:tcPr>
            <w:tcW w:w="610" w:type="dxa"/>
            <w:vMerge w:val="restart"/>
            <w:shd w:val="clear" w:color="auto" w:fill="auto"/>
            <w:vAlign w:val="center"/>
          </w:tcPr>
          <w:p w14:paraId="77C804B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14:paraId="0F69FAA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任何单位或个人擅自设置、移动、拆除或者损毁、涂改、遮挡保护标志</w:t>
            </w:r>
          </w:p>
        </w:tc>
        <w:tc>
          <w:tcPr>
            <w:tcW w:w="2789" w:type="dxa"/>
            <w:gridSpan w:val="2"/>
            <w:vMerge w:val="restart"/>
            <w:shd w:val="clear" w:color="auto" w:fill="auto"/>
            <w:vAlign w:val="center"/>
          </w:tcPr>
          <w:p w14:paraId="1F38A4D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shd w:val="clear" w:color="auto" w:fill="auto"/>
            <w:vAlign w:val="center"/>
          </w:tcPr>
          <w:p w14:paraId="704046A7">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w:t>
            </w:r>
          </w:p>
          <w:p w14:paraId="77A6FA4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684214C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2AF7114">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5-9；2.存在基准2.1.3规定情形的，系数按照相关规定确定（基准2.1.3.5不适用）。</w:t>
            </w:r>
          </w:p>
        </w:tc>
        <w:tc>
          <w:tcPr>
            <w:tcW w:w="1875" w:type="dxa"/>
            <w:gridSpan w:val="2"/>
            <w:shd w:val="clear" w:color="auto" w:fill="auto"/>
            <w:vAlign w:val="center"/>
          </w:tcPr>
          <w:p w14:paraId="7A22979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901659F">
            <w:pPr>
              <w:spacing w:line="232" w:lineRule="exact"/>
              <w:rPr>
                <w:rFonts w:cs="宋体" w:asciiTheme="minorEastAsia" w:hAnsiTheme="minorEastAsia" w:eastAsiaTheme="minorEastAsia"/>
                <w:color w:val="auto"/>
                <w:kern w:val="0"/>
                <w:sz w:val="15"/>
                <w:szCs w:val="15"/>
                <w:highlight w:val="none"/>
              </w:rPr>
            </w:pPr>
          </w:p>
        </w:tc>
      </w:tr>
      <w:tr w14:paraId="3F889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17" w:hRule="atLeast"/>
          <w:jc w:val="center"/>
        </w:trPr>
        <w:tc>
          <w:tcPr>
            <w:tcW w:w="610" w:type="dxa"/>
            <w:vMerge w:val="continue"/>
            <w:shd w:val="clear" w:color="auto" w:fill="auto"/>
            <w:vAlign w:val="center"/>
          </w:tcPr>
          <w:p w14:paraId="25510B57">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2D8FB256">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1A732F34">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03D7A04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0000</w:t>
            </w:r>
          </w:p>
          <w:p w14:paraId="286D04D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65709A3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4A7A73E">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2-4；2.存在基准2.1.3规定情形的，系数按照相关规定确定（基准2.1.3.5不适用）。</w:t>
            </w:r>
          </w:p>
        </w:tc>
        <w:tc>
          <w:tcPr>
            <w:tcW w:w="1875" w:type="dxa"/>
            <w:gridSpan w:val="2"/>
            <w:shd w:val="clear" w:color="auto" w:fill="auto"/>
            <w:vAlign w:val="center"/>
          </w:tcPr>
          <w:p w14:paraId="54308F4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AFBEE03">
            <w:pPr>
              <w:spacing w:line="232" w:lineRule="exact"/>
              <w:rPr>
                <w:rFonts w:cs="宋体" w:asciiTheme="minorEastAsia" w:hAnsiTheme="minorEastAsia" w:eastAsiaTheme="minorEastAsia"/>
                <w:color w:val="auto"/>
                <w:kern w:val="0"/>
                <w:sz w:val="15"/>
                <w:szCs w:val="15"/>
                <w:highlight w:val="none"/>
              </w:rPr>
            </w:pPr>
          </w:p>
        </w:tc>
      </w:tr>
      <w:tr w14:paraId="37ADC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64" w:hRule="atLeast"/>
          <w:jc w:val="center"/>
        </w:trPr>
        <w:tc>
          <w:tcPr>
            <w:tcW w:w="14203" w:type="dxa"/>
            <w:gridSpan w:val="13"/>
            <w:shd w:val="clear" w:color="auto" w:fill="auto"/>
            <w:vAlign w:val="center"/>
          </w:tcPr>
          <w:p w14:paraId="3A081F39">
            <w:pPr>
              <w:pStyle w:val="3"/>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Theme="minorEastAsia" w:hAnsiTheme="minorEastAsia" w:eastAsiaTheme="minorEastAsia"/>
                <w:color w:val="auto"/>
                <w:sz w:val="15"/>
                <w:szCs w:val="15"/>
                <w:highlight w:val="none"/>
              </w:rPr>
            </w:pPr>
            <w:bookmarkStart w:id="43" w:name="_Toc958675012"/>
            <w:bookmarkStart w:id="44" w:name="_Toc734628716"/>
            <w:bookmarkStart w:id="45" w:name="_Toc110851451"/>
            <w:r>
              <w:rPr>
                <w:rFonts w:hint="eastAsia" w:asciiTheme="minorEastAsia" w:hAnsiTheme="minorEastAsia" w:eastAsiaTheme="minorEastAsia"/>
                <w:color w:val="auto"/>
                <w:sz w:val="21"/>
                <w:szCs w:val="21"/>
                <w:highlight w:val="none"/>
              </w:rPr>
              <w:t>《北京市架空线管理若干规定》案由</w:t>
            </w:r>
            <w:r>
              <w:rPr>
                <w:rFonts w:asciiTheme="minorEastAsia" w:hAnsiTheme="minorEastAsia" w:eastAsiaTheme="minorEastAsia"/>
                <w:color w:val="auto"/>
                <w:sz w:val="21"/>
                <w:szCs w:val="21"/>
                <w:highlight w:val="none"/>
              </w:rPr>
              <w:t>7</w:t>
            </w:r>
            <w:r>
              <w:rPr>
                <w:rFonts w:hint="eastAsia" w:asciiTheme="minorEastAsia" w:hAnsiTheme="minorEastAsia" w:eastAsiaTheme="minorEastAsia"/>
                <w:color w:val="auto"/>
                <w:sz w:val="21"/>
                <w:szCs w:val="21"/>
                <w:highlight w:val="none"/>
              </w:rPr>
              <w:t>项</w:t>
            </w:r>
            <w:bookmarkEnd w:id="43"/>
            <w:bookmarkEnd w:id="44"/>
            <w:bookmarkEnd w:id="45"/>
          </w:p>
        </w:tc>
      </w:tr>
      <w:tr w14:paraId="31EBA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11" w:hRule="atLeast"/>
          <w:jc w:val="center"/>
        </w:trPr>
        <w:tc>
          <w:tcPr>
            <w:tcW w:w="610" w:type="dxa"/>
            <w:shd w:val="clear" w:color="auto" w:fill="auto"/>
            <w:vAlign w:val="center"/>
          </w:tcPr>
          <w:p w14:paraId="740FB823">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5736DFD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设置架空线不符合设置架空线行政许可决定</w:t>
            </w:r>
          </w:p>
        </w:tc>
        <w:tc>
          <w:tcPr>
            <w:tcW w:w="2789" w:type="dxa"/>
            <w:gridSpan w:val="2"/>
            <w:shd w:val="clear" w:color="auto" w:fill="auto"/>
            <w:vAlign w:val="center"/>
          </w:tcPr>
          <w:p w14:paraId="0A43C38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违反条款：第九条第一款；处罚条款：第十九条第一款 责令限期改正，可以处200元以上2000元以下罚款。</w:t>
            </w:r>
          </w:p>
        </w:tc>
        <w:tc>
          <w:tcPr>
            <w:tcW w:w="851" w:type="dxa"/>
            <w:shd w:val="clear" w:color="auto" w:fill="auto"/>
            <w:vAlign w:val="center"/>
          </w:tcPr>
          <w:p w14:paraId="7434981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B4C44C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E2335EC">
            <w:pPr>
              <w:numPr>
                <w:ilvl w:val="0"/>
                <w:numId w:val="0"/>
              </w:numPr>
              <w:spacing w:line="232" w:lineRule="exact"/>
              <w:jc w:val="lef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管线正常使用造成影响的，系数4；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影响交通通行，或者造成</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安全隐患的，系数4</w:t>
            </w:r>
            <w:r>
              <w:rPr>
                <w:rFonts w:hint="eastAsia" w:cs="宋体" w:asciiTheme="minorEastAsia" w:hAnsiTheme="minorEastAsia" w:eastAsiaTheme="minorEastAsia"/>
                <w:color w:val="auto"/>
                <w:kern w:val="0"/>
                <w:sz w:val="15"/>
                <w:szCs w:val="15"/>
                <w:highlight w:val="none"/>
                <w:lang w:eastAsia="zh-CN"/>
              </w:rPr>
              <w:t>；</w:t>
            </w:r>
          </w:p>
          <w:p w14:paraId="5EBB284B">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1F267C1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732BC3B">
            <w:pPr>
              <w:spacing w:line="232" w:lineRule="exact"/>
              <w:rPr>
                <w:rFonts w:cs="宋体" w:asciiTheme="minorEastAsia" w:hAnsiTheme="minorEastAsia" w:eastAsiaTheme="minorEastAsia"/>
                <w:color w:val="auto"/>
                <w:kern w:val="0"/>
                <w:sz w:val="15"/>
                <w:szCs w:val="15"/>
                <w:highlight w:val="none"/>
              </w:rPr>
            </w:pPr>
          </w:p>
        </w:tc>
      </w:tr>
      <w:tr w14:paraId="431EF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76" w:hRule="atLeast"/>
          <w:jc w:val="center"/>
        </w:trPr>
        <w:tc>
          <w:tcPr>
            <w:tcW w:w="610" w:type="dxa"/>
            <w:shd w:val="clear" w:color="auto" w:fill="auto"/>
            <w:vAlign w:val="center"/>
          </w:tcPr>
          <w:p w14:paraId="2AF7FBE3">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00E928A7">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行政许可有效期届满未清除架空线</w:t>
            </w:r>
          </w:p>
        </w:tc>
        <w:tc>
          <w:tcPr>
            <w:tcW w:w="2789" w:type="dxa"/>
            <w:gridSpan w:val="2"/>
            <w:shd w:val="clear" w:color="auto" w:fill="auto"/>
            <w:vAlign w:val="center"/>
          </w:tcPr>
          <w:p w14:paraId="2B65939E">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shd w:val="clear" w:color="auto" w:fill="auto"/>
            <w:vAlign w:val="center"/>
          </w:tcPr>
          <w:p w14:paraId="2451C32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16C50B5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5E621A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1天的，系数1；逾期2天的，系数2；逾期3天的，系数3；逾期4天的，系数4；逾期5天的，系数5；以此类推，</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5137E16D">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6C88CBD">
            <w:pPr>
              <w:spacing w:line="240" w:lineRule="exact"/>
              <w:rPr>
                <w:rFonts w:cs="宋体" w:asciiTheme="minorEastAsia" w:hAnsiTheme="minorEastAsia" w:eastAsiaTheme="minorEastAsia"/>
                <w:color w:val="auto"/>
                <w:kern w:val="0"/>
                <w:sz w:val="15"/>
                <w:szCs w:val="15"/>
                <w:highlight w:val="none"/>
              </w:rPr>
            </w:pPr>
          </w:p>
        </w:tc>
      </w:tr>
      <w:tr w14:paraId="6D12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3" w:hRule="atLeast"/>
          <w:jc w:val="center"/>
        </w:trPr>
        <w:tc>
          <w:tcPr>
            <w:tcW w:w="610" w:type="dxa"/>
            <w:shd w:val="clear" w:color="auto" w:fill="auto"/>
            <w:vAlign w:val="center"/>
          </w:tcPr>
          <w:p w14:paraId="2461FA8E">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1962934C">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未按要求在架空线的显著位置设置标识信息</w:t>
            </w:r>
          </w:p>
        </w:tc>
        <w:tc>
          <w:tcPr>
            <w:tcW w:w="2789" w:type="dxa"/>
            <w:gridSpan w:val="2"/>
            <w:shd w:val="clear" w:color="auto" w:fill="auto"/>
            <w:vAlign w:val="center"/>
          </w:tcPr>
          <w:p w14:paraId="4A02F239">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违反条款：第十条第(一)项；处罚条款：第二十条第一款；责令限期改正，可以处200元以上2000元以下罚款。 </w:t>
            </w:r>
          </w:p>
        </w:tc>
        <w:tc>
          <w:tcPr>
            <w:tcW w:w="851" w:type="dxa"/>
            <w:shd w:val="clear" w:color="auto" w:fill="auto"/>
            <w:vAlign w:val="center"/>
          </w:tcPr>
          <w:p w14:paraId="4539B0F4">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261773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563D8D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管线正常使用造成影响，或者造成</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安全隐患的，系数4。</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5113D82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378EC56B">
            <w:pPr>
              <w:spacing w:line="240" w:lineRule="exact"/>
              <w:rPr>
                <w:rFonts w:cs="宋体" w:asciiTheme="minorEastAsia" w:hAnsiTheme="minorEastAsia" w:eastAsiaTheme="minorEastAsia"/>
                <w:color w:val="auto"/>
                <w:kern w:val="0"/>
                <w:sz w:val="15"/>
                <w:szCs w:val="15"/>
                <w:highlight w:val="none"/>
              </w:rPr>
            </w:pPr>
          </w:p>
        </w:tc>
      </w:tr>
      <w:tr w14:paraId="3846B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60" w:hRule="atLeast"/>
          <w:jc w:val="center"/>
        </w:trPr>
        <w:tc>
          <w:tcPr>
            <w:tcW w:w="610" w:type="dxa"/>
            <w:shd w:val="clear" w:color="auto" w:fill="auto"/>
            <w:vAlign w:val="center"/>
          </w:tcPr>
          <w:p w14:paraId="711767B7">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6A3598C3">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发现架空线存在影响安全或者市容景观情况未</w:t>
            </w:r>
            <w:r>
              <w:rPr>
                <w:rFonts w:hint="eastAsia" w:asciiTheme="minorEastAsia" w:hAnsiTheme="minorEastAsia" w:eastAsiaTheme="minorEastAsia"/>
                <w:color w:val="auto"/>
                <w:sz w:val="15"/>
                <w:szCs w:val="15"/>
                <w:highlight w:val="none"/>
                <w:lang w:eastAsia="zh-CN"/>
              </w:rPr>
              <w:t>立即</w:t>
            </w:r>
            <w:r>
              <w:rPr>
                <w:rFonts w:hint="eastAsia" w:asciiTheme="minorEastAsia" w:hAnsiTheme="minorEastAsia" w:eastAsiaTheme="minorEastAsia"/>
                <w:color w:val="auto"/>
                <w:sz w:val="15"/>
                <w:szCs w:val="15"/>
                <w:highlight w:val="none"/>
              </w:rPr>
              <w:t xml:space="preserve">处理 </w:t>
            </w:r>
          </w:p>
        </w:tc>
        <w:tc>
          <w:tcPr>
            <w:tcW w:w="2789" w:type="dxa"/>
            <w:gridSpan w:val="2"/>
            <w:shd w:val="clear" w:color="auto" w:fill="auto"/>
            <w:vAlign w:val="center"/>
          </w:tcPr>
          <w:p w14:paraId="27B97C4A">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违反条款：第十条第(四)项；处罚条款：第二十条第一款；责令限期改正，可以处200元以上2000元以下罚款。 </w:t>
            </w:r>
          </w:p>
        </w:tc>
        <w:tc>
          <w:tcPr>
            <w:tcW w:w="851" w:type="dxa"/>
            <w:shd w:val="clear" w:color="auto" w:fill="auto"/>
            <w:vAlign w:val="center"/>
          </w:tcPr>
          <w:p w14:paraId="50C712A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347A91E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A27E07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经责令改正仍未及时处理的，自责改</w:t>
            </w:r>
            <w:r>
              <w:rPr>
                <w:rFonts w:hint="eastAsia" w:cs="宋体" w:asciiTheme="minorEastAsia" w:hAnsiTheme="minorEastAsia" w:eastAsiaTheme="minorEastAsia"/>
                <w:color w:val="auto"/>
                <w:kern w:val="0"/>
                <w:sz w:val="15"/>
                <w:szCs w:val="15"/>
                <w:highlight w:val="none"/>
                <w:lang w:eastAsia="zh-CN"/>
              </w:rPr>
              <w:t>期满</w:t>
            </w:r>
            <w:r>
              <w:rPr>
                <w:rFonts w:hint="eastAsia" w:cs="宋体" w:asciiTheme="minorEastAsia" w:hAnsiTheme="minorEastAsia" w:eastAsiaTheme="minorEastAsia"/>
                <w:color w:val="auto"/>
                <w:kern w:val="0"/>
                <w:sz w:val="15"/>
                <w:szCs w:val="15"/>
                <w:highlight w:val="none"/>
              </w:rPr>
              <w:t>之日起</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1天的，系数1；逾期2天的，系数2；逾期3天的，系数3；逾期4天的，系数4；逾期5天的，系数5；以此类推，</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3AD0C94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512DD10">
            <w:pPr>
              <w:spacing w:line="240" w:lineRule="exact"/>
              <w:rPr>
                <w:rFonts w:cs="宋体" w:asciiTheme="minorEastAsia" w:hAnsiTheme="minorEastAsia" w:eastAsiaTheme="minorEastAsia"/>
                <w:color w:val="auto"/>
                <w:kern w:val="0"/>
                <w:sz w:val="15"/>
                <w:szCs w:val="15"/>
                <w:highlight w:val="none"/>
              </w:rPr>
            </w:pPr>
          </w:p>
        </w:tc>
      </w:tr>
      <w:tr w14:paraId="63B22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87" w:hRule="atLeast"/>
          <w:jc w:val="center"/>
        </w:trPr>
        <w:tc>
          <w:tcPr>
            <w:tcW w:w="610" w:type="dxa"/>
            <w:shd w:val="clear" w:color="auto" w:fill="auto"/>
            <w:vAlign w:val="center"/>
          </w:tcPr>
          <w:p w14:paraId="4A44DA44">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02E79658">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发现擅自搭挂的线缆，未按要求清除或者报告</w:t>
            </w:r>
          </w:p>
        </w:tc>
        <w:tc>
          <w:tcPr>
            <w:tcW w:w="2789" w:type="dxa"/>
            <w:gridSpan w:val="2"/>
            <w:shd w:val="clear" w:color="auto" w:fill="auto"/>
            <w:vAlign w:val="center"/>
          </w:tcPr>
          <w:p w14:paraId="2F3D3E9D">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违反条款：第十条第(六)项；处罚条款：第二十条第一款；责令限期改正，可以处200元以上2000元以下罚款。</w:t>
            </w:r>
          </w:p>
        </w:tc>
        <w:tc>
          <w:tcPr>
            <w:tcW w:w="851" w:type="dxa"/>
            <w:shd w:val="clear" w:color="auto" w:fill="auto"/>
            <w:vAlign w:val="center"/>
          </w:tcPr>
          <w:p w14:paraId="03A963C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04D237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7BA737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经责令改正仍未及时清除或者报告的，自责改</w:t>
            </w:r>
            <w:r>
              <w:rPr>
                <w:rFonts w:hint="eastAsia" w:cs="宋体" w:asciiTheme="minorEastAsia" w:hAnsiTheme="minorEastAsia" w:eastAsiaTheme="minorEastAsia"/>
                <w:color w:val="auto"/>
                <w:kern w:val="0"/>
                <w:sz w:val="15"/>
                <w:szCs w:val="15"/>
                <w:highlight w:val="none"/>
                <w:lang w:eastAsia="zh-CN"/>
              </w:rPr>
              <w:t>期满</w:t>
            </w:r>
            <w:r>
              <w:rPr>
                <w:rFonts w:hint="eastAsia" w:cs="宋体" w:asciiTheme="minorEastAsia" w:hAnsiTheme="minorEastAsia" w:eastAsiaTheme="minorEastAsia"/>
                <w:color w:val="auto"/>
                <w:kern w:val="0"/>
                <w:sz w:val="15"/>
                <w:szCs w:val="15"/>
                <w:highlight w:val="none"/>
              </w:rPr>
              <w:t>之日起</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1天的，系数1；逾期2天的，系数2；逾期3天的，系数3；逾期4天的，系数4；逾期5天的，系数5；以此类推，</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7441A41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1A93FDFB">
            <w:pPr>
              <w:spacing w:line="240" w:lineRule="exact"/>
              <w:rPr>
                <w:rFonts w:cs="宋体" w:asciiTheme="minorEastAsia" w:hAnsiTheme="minorEastAsia" w:eastAsiaTheme="minorEastAsia"/>
                <w:color w:val="auto"/>
                <w:kern w:val="0"/>
                <w:sz w:val="15"/>
                <w:szCs w:val="15"/>
                <w:highlight w:val="none"/>
              </w:rPr>
            </w:pPr>
          </w:p>
        </w:tc>
      </w:tr>
      <w:tr w14:paraId="37499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32" w:hRule="atLeast"/>
          <w:jc w:val="center"/>
        </w:trPr>
        <w:tc>
          <w:tcPr>
            <w:tcW w:w="610" w:type="dxa"/>
            <w:shd w:val="clear" w:color="auto" w:fill="auto"/>
            <w:vAlign w:val="center"/>
          </w:tcPr>
          <w:p w14:paraId="55F9CA11">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4583797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未及时清除废弃架空线</w:t>
            </w:r>
          </w:p>
        </w:tc>
        <w:tc>
          <w:tcPr>
            <w:tcW w:w="2789" w:type="dxa"/>
            <w:gridSpan w:val="2"/>
            <w:shd w:val="clear" w:color="auto" w:fill="auto"/>
            <w:vAlign w:val="center"/>
          </w:tcPr>
          <w:p w14:paraId="03E41C5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shd w:val="clear" w:color="auto" w:fill="auto"/>
            <w:vAlign w:val="center"/>
          </w:tcPr>
          <w:p w14:paraId="3210DF1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6AF9C57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A81EAF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经责令改正仍未及时处理的，自责改</w:t>
            </w:r>
            <w:r>
              <w:rPr>
                <w:rFonts w:hint="eastAsia" w:cs="宋体" w:asciiTheme="minorEastAsia" w:hAnsiTheme="minorEastAsia" w:eastAsiaTheme="minorEastAsia"/>
                <w:color w:val="auto"/>
                <w:kern w:val="0"/>
                <w:sz w:val="15"/>
                <w:szCs w:val="15"/>
                <w:highlight w:val="none"/>
                <w:lang w:eastAsia="zh-CN"/>
              </w:rPr>
              <w:t>期满</w:t>
            </w:r>
            <w:r>
              <w:rPr>
                <w:rFonts w:hint="eastAsia" w:cs="宋体" w:asciiTheme="minorEastAsia" w:hAnsiTheme="minorEastAsia" w:eastAsiaTheme="minorEastAsia"/>
                <w:color w:val="auto"/>
                <w:kern w:val="0"/>
                <w:sz w:val="15"/>
                <w:szCs w:val="15"/>
                <w:highlight w:val="none"/>
              </w:rPr>
              <w:t>之日起</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1天的，系数1；逾期2天的，系数2；逾期3天的，系数3；逾期4天的，系数4；逾期5天的，系数5；以此类推，</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0EE149D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1A8AFECD">
            <w:pPr>
              <w:spacing w:line="232" w:lineRule="exact"/>
              <w:rPr>
                <w:rFonts w:cs="宋体" w:asciiTheme="minorEastAsia" w:hAnsiTheme="minorEastAsia" w:eastAsiaTheme="minorEastAsia"/>
                <w:color w:val="auto"/>
                <w:kern w:val="0"/>
                <w:sz w:val="15"/>
                <w:szCs w:val="15"/>
                <w:highlight w:val="none"/>
              </w:rPr>
            </w:pPr>
          </w:p>
        </w:tc>
      </w:tr>
      <w:tr w14:paraId="0B4A8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12" w:hRule="atLeast"/>
          <w:jc w:val="center"/>
        </w:trPr>
        <w:tc>
          <w:tcPr>
            <w:tcW w:w="610" w:type="dxa"/>
            <w:shd w:val="clear" w:color="auto" w:fill="auto"/>
            <w:vAlign w:val="center"/>
          </w:tcPr>
          <w:p w14:paraId="1D393450">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14:paraId="568794A7">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未按要求实施架空线埋设入地</w:t>
            </w:r>
          </w:p>
        </w:tc>
        <w:tc>
          <w:tcPr>
            <w:tcW w:w="2789" w:type="dxa"/>
            <w:gridSpan w:val="2"/>
            <w:shd w:val="clear" w:color="auto" w:fill="auto"/>
            <w:vAlign w:val="center"/>
          </w:tcPr>
          <w:p w14:paraId="371AFCB3">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shd w:val="clear" w:color="auto" w:fill="auto"/>
            <w:vAlign w:val="center"/>
          </w:tcPr>
          <w:p w14:paraId="65BB5D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14:paraId="27C36A0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E0CF9F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经责令改正，仍未制定入地方案，并及时采取入地措施的，自责改</w:t>
            </w:r>
            <w:r>
              <w:rPr>
                <w:rFonts w:hint="eastAsia" w:cs="宋体" w:asciiTheme="minorEastAsia" w:hAnsiTheme="minorEastAsia" w:eastAsiaTheme="minorEastAsia"/>
                <w:color w:val="auto"/>
                <w:kern w:val="0"/>
                <w:sz w:val="15"/>
                <w:szCs w:val="15"/>
                <w:highlight w:val="none"/>
                <w:lang w:eastAsia="zh-CN"/>
              </w:rPr>
              <w:t>期满</w:t>
            </w:r>
            <w:r>
              <w:rPr>
                <w:rFonts w:hint="eastAsia" w:cs="宋体" w:asciiTheme="minorEastAsia" w:hAnsiTheme="minorEastAsia" w:eastAsiaTheme="minorEastAsia"/>
                <w:color w:val="auto"/>
                <w:kern w:val="0"/>
                <w:sz w:val="15"/>
                <w:szCs w:val="15"/>
                <w:highlight w:val="none"/>
              </w:rPr>
              <w:t>之日起</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5-9天的，系数1；10-14天的，系数2；15-19天的，系数3；20-24天的，系数4；25-29天的，系数5；以此类推，</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45天及以上的，系数9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282E8B9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1231391C">
            <w:pPr>
              <w:spacing w:line="232" w:lineRule="exact"/>
              <w:rPr>
                <w:rFonts w:cs="宋体" w:asciiTheme="minorEastAsia" w:hAnsiTheme="minorEastAsia" w:eastAsiaTheme="minorEastAsia"/>
                <w:color w:val="auto"/>
                <w:kern w:val="0"/>
                <w:sz w:val="15"/>
                <w:szCs w:val="15"/>
                <w:highlight w:val="none"/>
              </w:rPr>
            </w:pPr>
          </w:p>
        </w:tc>
      </w:tr>
      <w:tr w14:paraId="5972F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6" w:hRule="atLeast"/>
          <w:jc w:val="center"/>
        </w:trPr>
        <w:tc>
          <w:tcPr>
            <w:tcW w:w="14203" w:type="dxa"/>
            <w:gridSpan w:val="13"/>
            <w:shd w:val="clear" w:color="auto" w:fill="auto"/>
            <w:vAlign w:val="center"/>
          </w:tcPr>
          <w:p w14:paraId="49B89363">
            <w:pPr>
              <w:pStyle w:val="3"/>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heme="minorEastAsia" w:hAnsiTheme="minorEastAsia" w:eastAsiaTheme="minorEastAsia"/>
                <w:color w:val="auto"/>
                <w:sz w:val="15"/>
                <w:szCs w:val="15"/>
                <w:highlight w:val="none"/>
              </w:rPr>
            </w:pPr>
            <w:bookmarkStart w:id="46" w:name="_Toc512378857"/>
            <w:bookmarkStart w:id="47" w:name="_Toc110851452"/>
            <w:bookmarkStart w:id="48" w:name="_Toc1563678502"/>
            <w:r>
              <w:rPr>
                <w:rFonts w:hint="eastAsia" w:asciiTheme="minorEastAsia" w:hAnsiTheme="minorEastAsia" w:eastAsiaTheme="minorEastAsia"/>
                <w:color w:val="auto"/>
                <w:sz w:val="21"/>
                <w:szCs w:val="21"/>
                <w:highlight w:val="none"/>
              </w:rPr>
              <w:t>《城市照明管理规定》案由2项</w:t>
            </w:r>
            <w:bookmarkEnd w:id="46"/>
            <w:bookmarkEnd w:id="47"/>
            <w:bookmarkEnd w:id="48"/>
          </w:p>
        </w:tc>
      </w:tr>
      <w:tr w14:paraId="7A819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336C7D3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1F5CC55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在城市景观照明中有过度照明等超能耗标准行为</w:t>
            </w:r>
          </w:p>
        </w:tc>
        <w:tc>
          <w:tcPr>
            <w:tcW w:w="2789" w:type="dxa"/>
            <w:gridSpan w:val="2"/>
            <w:shd w:val="clear" w:color="auto" w:fill="auto"/>
            <w:vAlign w:val="center"/>
          </w:tcPr>
          <w:p w14:paraId="5B73172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违反条款：第十九条第二款；处罚条款：　第三十一条</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责令限期改正；逾期未改正的，处以1000元以上3万元以下的罚款。</w:t>
            </w:r>
          </w:p>
        </w:tc>
        <w:tc>
          <w:tcPr>
            <w:tcW w:w="851" w:type="dxa"/>
            <w:shd w:val="clear" w:color="auto" w:fill="auto"/>
            <w:vAlign w:val="center"/>
          </w:tcPr>
          <w:p w14:paraId="25FE9AF7">
            <w:pPr>
              <w:spacing w:line="232" w:lineRule="exact"/>
              <w:jc w:val="center"/>
              <w:rPr>
                <w:rFonts w:hint="default" w:asciiTheme="minorEastAsia" w:hAnsiTheme="minorEastAsia" w:eastAsiaTheme="minorEastAsia"/>
                <w:color w:val="auto"/>
                <w:sz w:val="15"/>
                <w:szCs w:val="15"/>
                <w:highlight w:val="none"/>
                <w:lang w:val="en-US" w:eastAsia="zh-CN"/>
              </w:rPr>
            </w:pPr>
            <w:r>
              <w:rPr>
                <w:rFonts w:hint="default"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14:paraId="123600B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354CB1AD">
            <w:pPr>
              <w:spacing w:line="232" w:lineRule="exact"/>
              <w:jc w:val="lef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1.持续时间较长的，系数1-9；2.造成较大社会影响的，系数10-19；3.造成严重社会影响的，系数20-29。</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39D041D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114FA908">
            <w:pPr>
              <w:widowControl w:val="0"/>
              <w:numPr>
                <w:ilvl w:val="0"/>
                <w:numId w:val="0"/>
              </w:numPr>
              <w:jc w:val="both"/>
              <w:rPr>
                <w:rFonts w:asciiTheme="minorEastAsia" w:hAnsiTheme="minorEastAsia" w:eastAsiaTheme="minorEastAsia"/>
                <w:color w:val="auto"/>
                <w:sz w:val="15"/>
                <w:szCs w:val="15"/>
                <w:highlight w:val="none"/>
              </w:rPr>
            </w:pPr>
          </w:p>
        </w:tc>
      </w:tr>
      <w:tr w14:paraId="52026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4" w:hRule="atLeast"/>
          <w:jc w:val="center"/>
        </w:trPr>
        <w:tc>
          <w:tcPr>
            <w:tcW w:w="610" w:type="dxa"/>
            <w:vMerge w:val="restart"/>
            <w:shd w:val="clear" w:color="auto" w:fill="auto"/>
            <w:vAlign w:val="center"/>
          </w:tcPr>
          <w:p w14:paraId="5A72D0D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vMerge w:val="restart"/>
            <w:shd w:val="clear" w:color="auto" w:fill="auto"/>
            <w:vAlign w:val="center"/>
          </w:tcPr>
          <w:p w14:paraId="2AA01AFC">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实施影响城市照明设施正常运行的行为</w:t>
            </w:r>
          </w:p>
        </w:tc>
        <w:tc>
          <w:tcPr>
            <w:tcW w:w="2789" w:type="dxa"/>
            <w:gridSpan w:val="2"/>
            <w:vMerge w:val="restart"/>
            <w:shd w:val="clear" w:color="auto" w:fill="auto"/>
            <w:vAlign w:val="center"/>
          </w:tcPr>
          <w:p w14:paraId="2C3596A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违反条款：第二十八条第（一）项、第（二）项、第（三）项、第（四）项、第（五）项、第（六）项；处罚条款：第三十二条</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责令限期改正，对个人处以200元以上1000元以下的罚款；对单位处以1000元以上3万元以下的罚款；造成损失的，依法赔偿损失。</w:t>
            </w:r>
          </w:p>
        </w:tc>
        <w:tc>
          <w:tcPr>
            <w:tcW w:w="851" w:type="dxa"/>
            <w:shd w:val="clear" w:color="auto" w:fill="auto"/>
            <w:vAlign w:val="center"/>
          </w:tcPr>
          <w:p w14:paraId="1C9F044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14:paraId="434E04E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521190F2">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4CDCB5E5">
            <w:pPr>
              <w:spacing w:line="232" w:lineRule="exact"/>
              <w:jc w:val="lef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刻划、涂污照明设施多处，或者严重污损照明设施的，系数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default" w:cs="宋体" w:asciiTheme="minorEastAsia" w:hAnsiTheme="minorEastAsia" w:eastAsiaTheme="minorEastAsia"/>
                <w:color w:val="auto"/>
                <w:kern w:val="0"/>
                <w:sz w:val="15"/>
                <w:szCs w:val="15"/>
                <w:highlight w:val="none"/>
                <w:lang w:val="en-US"/>
              </w:rPr>
              <w:t>2.</w:t>
            </w:r>
            <w:r>
              <w:rPr>
                <w:rFonts w:hint="eastAsia" w:cs="宋体" w:asciiTheme="minorEastAsia" w:hAnsiTheme="minorEastAsia" w:eastAsiaTheme="minorEastAsia"/>
                <w:color w:val="auto"/>
                <w:kern w:val="0"/>
                <w:sz w:val="15"/>
                <w:szCs w:val="15"/>
                <w:highlight w:val="none"/>
              </w:rPr>
              <w:t>存在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严重危害或者影响设施正常运行的行为，</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6065FBD0">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66BEFB3">
            <w:pPr>
              <w:spacing w:line="232" w:lineRule="exact"/>
              <w:rPr>
                <w:rFonts w:hint="eastAsia" w:asciiTheme="minorEastAsia" w:hAnsiTheme="minorEastAsia" w:eastAsiaTheme="minorEastAsia"/>
                <w:strike/>
                <w:dstrike w:val="0"/>
                <w:color w:val="auto"/>
                <w:sz w:val="15"/>
                <w:szCs w:val="15"/>
                <w:highlight w:val="none"/>
              </w:rPr>
            </w:pPr>
          </w:p>
        </w:tc>
      </w:tr>
      <w:tr w14:paraId="4A8ED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vMerge w:val="continue"/>
            <w:shd w:val="clear" w:color="auto" w:fill="auto"/>
            <w:vAlign w:val="center"/>
          </w:tcPr>
          <w:p w14:paraId="59A6F6C1">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34A8E3D2">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35F395DE">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3235FC1E">
            <w:pPr>
              <w:spacing w:line="232" w:lineRule="exact"/>
              <w:jc w:val="center"/>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1000</w:t>
            </w:r>
          </w:p>
          <w:p w14:paraId="25A65AA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638B97E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661D67F8">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1.刻划、涂污照明设施多处，系数1-9；2.严重污损照明设施的，系数10-19；3.存在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严重危害或者影响设施正常运行的行为，</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20-29。</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4A8DF0CA">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313C737">
            <w:pPr>
              <w:spacing w:line="232" w:lineRule="exact"/>
              <w:rPr>
                <w:rFonts w:cs="宋体" w:asciiTheme="minorEastAsia" w:hAnsiTheme="minorEastAsia" w:eastAsiaTheme="minorEastAsia"/>
                <w:color w:val="auto"/>
                <w:kern w:val="0"/>
                <w:sz w:val="15"/>
                <w:szCs w:val="15"/>
                <w:highlight w:val="none"/>
              </w:rPr>
            </w:pPr>
          </w:p>
        </w:tc>
      </w:tr>
      <w:tr w14:paraId="3123C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79" w:hRule="atLeast"/>
          <w:jc w:val="center"/>
        </w:trPr>
        <w:tc>
          <w:tcPr>
            <w:tcW w:w="14203" w:type="dxa"/>
            <w:gridSpan w:val="13"/>
            <w:shd w:val="clear" w:color="auto" w:fill="auto"/>
            <w:vAlign w:val="center"/>
          </w:tcPr>
          <w:p w14:paraId="6417E9F4">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Theme="minorEastAsia" w:hAnsiTheme="minorEastAsia" w:eastAsiaTheme="minorEastAsia"/>
                <w:color w:val="auto"/>
                <w:sz w:val="15"/>
                <w:szCs w:val="15"/>
                <w:highlight w:val="none"/>
              </w:rPr>
            </w:pPr>
            <w:bookmarkStart w:id="49" w:name="_Toc110851453"/>
            <w:bookmarkStart w:id="50" w:name="_Toc275604405"/>
            <w:bookmarkStart w:id="51" w:name="_Toc836022440"/>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物业管理条例</w:t>
            </w:r>
            <w:r>
              <w:rPr>
                <w:rFonts w:hint="eastAsia" w:asciiTheme="minorEastAsia" w:hAnsiTheme="minorEastAsia" w:eastAsiaTheme="minorEastAsia"/>
                <w:color w:val="auto"/>
                <w:sz w:val="21"/>
                <w:szCs w:val="21"/>
                <w:highlight w:val="none"/>
              </w:rPr>
              <w:t>》案由1项</w:t>
            </w:r>
            <w:bookmarkEnd w:id="49"/>
            <w:bookmarkEnd w:id="50"/>
            <w:bookmarkEnd w:id="51"/>
          </w:p>
        </w:tc>
      </w:tr>
      <w:tr w14:paraId="6A2B4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3" w:hRule="atLeast"/>
          <w:jc w:val="center"/>
        </w:trPr>
        <w:tc>
          <w:tcPr>
            <w:tcW w:w="610" w:type="dxa"/>
            <w:vMerge w:val="restart"/>
            <w:shd w:val="clear" w:color="auto" w:fill="auto"/>
            <w:vAlign w:val="center"/>
          </w:tcPr>
          <w:p w14:paraId="6B651689">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14:paraId="3EFCC06B">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占用、堵塞、封闭其他共用部位（或者损坏其他共用设施设备）</w:t>
            </w:r>
          </w:p>
        </w:tc>
        <w:tc>
          <w:tcPr>
            <w:tcW w:w="2789" w:type="dxa"/>
            <w:gridSpan w:val="2"/>
            <w:vMerge w:val="restart"/>
            <w:shd w:val="clear" w:color="auto" w:fill="auto"/>
            <w:vAlign w:val="center"/>
          </w:tcPr>
          <w:p w14:paraId="1CDDB735">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违反条款：第七十八条第二款第(十)项。</w:t>
            </w:r>
          </w:p>
          <w:p w14:paraId="43388CA4">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处罚条款：第九十八条第(十)项，责令改正，给予警告，对单位处二千元以上二万元以下的罚款，对个人处二百元以上五百元以下的罚款。</w:t>
            </w:r>
          </w:p>
        </w:tc>
        <w:tc>
          <w:tcPr>
            <w:tcW w:w="851" w:type="dxa"/>
            <w:shd w:val="clear" w:color="auto" w:fill="auto"/>
            <w:vAlign w:val="center"/>
          </w:tcPr>
          <w:p w14:paraId="6BA7CAA5">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p w14:paraId="73523F53">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14:paraId="104E3913">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5D2AAA0B">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14:paraId="0FEED3D7">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702C3A1">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做</w:t>
            </w:r>
            <w:r>
              <w:rPr>
                <w:rFonts w:hint="eastAsia" w:cs="宋体" w:asciiTheme="minorEastAsia" w:hAnsiTheme="minorEastAsia" w:eastAsiaTheme="minorEastAsia"/>
                <w:color w:val="auto"/>
                <w:kern w:val="0"/>
                <w:sz w:val="15"/>
                <w:szCs w:val="15"/>
                <w:highlight w:val="none"/>
              </w:rPr>
              <w:t>好与本市机动车停车管理法规、规章，以及与消防部门职责分工的衔接。</w:t>
            </w:r>
          </w:p>
        </w:tc>
        <w:tc>
          <w:tcPr>
            <w:tcW w:w="134" w:type="dxa"/>
            <w:gridSpan w:val="2"/>
            <w:vMerge w:val="restart"/>
            <w:shd w:val="clear" w:color="auto" w:fill="auto"/>
            <w:vAlign w:val="center"/>
          </w:tcPr>
          <w:p w14:paraId="5374C3D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14:paraId="314B09D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14:paraId="51FA6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8" w:hRule="atLeast"/>
          <w:jc w:val="center"/>
        </w:trPr>
        <w:tc>
          <w:tcPr>
            <w:tcW w:w="610" w:type="dxa"/>
            <w:vMerge w:val="continue"/>
            <w:shd w:val="clear" w:color="auto" w:fill="auto"/>
            <w:vAlign w:val="center"/>
          </w:tcPr>
          <w:p w14:paraId="4AFA5888">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49E7CA01">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611D0C65">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14:paraId="27BFB9C7">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14:paraId="3000A85D">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14:paraId="27CBDDC3">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6030C3FC">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 w:eastAsia="zh-CN"/>
              </w:rPr>
              <w:t>.5</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14:paraId="778ED863">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03063E3">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134" w:type="dxa"/>
            <w:gridSpan w:val="2"/>
            <w:vMerge w:val="continue"/>
            <w:shd w:val="clear" w:color="auto" w:fill="auto"/>
            <w:vAlign w:val="center"/>
          </w:tcPr>
          <w:p w14:paraId="63FBE92C">
            <w:pPr>
              <w:spacing w:line="232" w:lineRule="exact"/>
              <w:jc w:val="center"/>
              <w:rPr>
                <w:rFonts w:asciiTheme="minorEastAsia" w:hAnsiTheme="minorEastAsia" w:eastAsiaTheme="minorEastAsia"/>
                <w:color w:val="auto"/>
                <w:sz w:val="15"/>
                <w:szCs w:val="15"/>
                <w:highlight w:val="none"/>
              </w:rPr>
            </w:pPr>
          </w:p>
        </w:tc>
      </w:tr>
      <w:tr w14:paraId="0392FF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gridAfter w:val="2"/>
          <w:wAfter w:w="134" w:type="dxa"/>
          <w:trHeight w:val="617" w:hRule="atLeast"/>
          <w:jc w:val="center"/>
        </w:trPr>
        <w:tc>
          <w:tcPr>
            <w:tcW w:w="14203" w:type="dxa"/>
            <w:gridSpan w:val="13"/>
            <w:tcBorders>
              <w:left w:val="single" w:color="000000" w:sz="4" w:space="0"/>
              <w:bottom w:val="single" w:color="000000" w:sz="4" w:space="0"/>
              <w:right w:val="single" w:color="000000" w:sz="4" w:space="0"/>
            </w:tcBorders>
            <w:shd w:val="clear" w:color="auto" w:fill="auto"/>
            <w:vAlign w:val="center"/>
          </w:tcPr>
          <w:p w14:paraId="4F044FB6">
            <w:pPr>
              <w:pStyle w:val="2"/>
              <w:bidi w:val="0"/>
              <w:rPr>
                <w:rFonts w:ascii="黑体" w:hAnsi="黑体" w:eastAsia="黑体" w:cs="仿宋_GB2312"/>
                <w:color w:val="auto"/>
                <w:highlight w:val="none"/>
                <w:lang w:val="en"/>
              </w:rPr>
            </w:pPr>
            <w:bookmarkStart w:id="52" w:name="_Toc435705406"/>
            <w:bookmarkStart w:id="53" w:name="_Toc1422951986"/>
            <w:r>
              <w:rPr>
                <w:rFonts w:hint="eastAsia" w:ascii="黑体" w:hAnsi="黑体" w:eastAsia="黑体" w:cs="黑体"/>
                <w:b w:val="0"/>
                <w:bCs w:val="0"/>
                <w:color w:val="auto"/>
                <w:sz w:val="28"/>
                <w:szCs w:val="28"/>
                <w:highlight w:val="none"/>
              </w:rPr>
              <w:t>市政管理方面</w:t>
            </w:r>
            <w:bookmarkEnd w:id="52"/>
            <w:bookmarkEnd w:id="53"/>
          </w:p>
        </w:tc>
      </w:tr>
      <w:tr w14:paraId="4F0030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CellMar>
            <w:top w:w="0" w:type="dxa"/>
            <w:left w:w="57" w:type="dxa"/>
            <w:bottom w:w="0" w:type="dxa"/>
            <w:right w:w="57" w:type="dxa"/>
          </w:tblCellMar>
        </w:tblPrEx>
        <w:trPr>
          <w:gridAfter w:val="2"/>
          <w:wAfter w:w="134" w:type="dxa"/>
          <w:trHeight w:val="453" w:hRule="atLeast"/>
          <w:jc w:val="center"/>
        </w:trPr>
        <w:tc>
          <w:tcPr>
            <w:tcW w:w="14203" w:type="dxa"/>
            <w:gridSpan w:val="13"/>
            <w:tcBorders>
              <w:left w:val="single" w:color="000000" w:sz="4" w:space="0"/>
              <w:bottom w:val="single" w:color="000000" w:sz="4" w:space="0"/>
              <w:right w:val="single" w:color="000000" w:sz="4" w:space="0"/>
            </w:tcBorders>
            <w:shd w:val="clear" w:color="auto" w:fill="auto"/>
            <w:vAlign w:val="center"/>
          </w:tcPr>
          <w:p w14:paraId="654EEBE4">
            <w:pPr>
              <w:pStyle w:val="3"/>
              <w:keepNext w:val="0"/>
              <w:keepLines w:val="0"/>
              <w:pageBreakBefore w:val="0"/>
              <w:widowControl/>
              <w:kinsoku/>
              <w:wordWrap/>
              <w:overflowPunct/>
              <w:topLinePunct w:val="0"/>
              <w:autoSpaceDE/>
              <w:autoSpaceDN/>
              <w:bidi w:val="0"/>
              <w:adjustRightInd/>
              <w:snapToGrid/>
              <w:jc w:val="center"/>
              <w:textAlignment w:val="auto"/>
              <w:rPr>
                <w:rFonts w:hint="default" w:cs="方正小标宋简体" w:asciiTheme="minorEastAsia" w:hAnsiTheme="minorEastAsia" w:eastAsiaTheme="minorEastAsia"/>
                <w:b/>
                <w:bCs/>
                <w:color w:val="auto"/>
                <w:szCs w:val="15"/>
                <w:highlight w:val="none"/>
                <w:lang w:val="en"/>
              </w:rPr>
            </w:pPr>
            <w:bookmarkStart w:id="54" w:name="_Toc1018838380"/>
            <w:bookmarkStart w:id="55" w:name="_Toc1283746756"/>
            <w:r>
              <w:rPr>
                <w:rFonts w:hint="eastAsia"/>
                <w:color w:val="auto"/>
                <w:sz w:val="21"/>
                <w:szCs w:val="21"/>
                <w:highlight w:val="none"/>
                <w:lang w:val="en-US" w:eastAsia="zh-CN"/>
              </w:rPr>
              <w:t>《北京市无障碍环境建设条例》案由6</w:t>
            </w:r>
            <w:bookmarkEnd w:id="54"/>
            <w:r>
              <w:rPr>
                <w:rFonts w:hint="eastAsia"/>
                <w:color w:val="auto"/>
                <w:sz w:val="21"/>
                <w:szCs w:val="21"/>
                <w:highlight w:val="none"/>
                <w:lang w:val="en-US" w:eastAsia="zh-CN"/>
              </w:rPr>
              <w:t>项</w:t>
            </w:r>
            <w:bookmarkEnd w:id="55"/>
          </w:p>
        </w:tc>
      </w:tr>
      <w:tr w14:paraId="5C9CB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0" w:hRule="atLeast"/>
          <w:jc w:val="center"/>
        </w:trPr>
        <w:tc>
          <w:tcPr>
            <w:tcW w:w="610" w:type="dxa"/>
            <w:shd w:val="clear" w:color="auto" w:fill="auto"/>
            <w:vAlign w:val="center"/>
          </w:tcPr>
          <w:p w14:paraId="76725DFC">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66B063C0">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管理责任人未履行维护管理责任</w:t>
            </w:r>
          </w:p>
        </w:tc>
        <w:tc>
          <w:tcPr>
            <w:tcW w:w="2789" w:type="dxa"/>
            <w:gridSpan w:val="2"/>
            <w:shd w:val="clear" w:color="auto" w:fill="auto"/>
            <w:vAlign w:val="center"/>
          </w:tcPr>
          <w:p w14:paraId="4868BAFA">
            <w:pPr>
              <w:spacing w:line="232" w:lineRule="exact"/>
              <w:textAlignment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违反条款：第十四条第一款第（一）项、第（二）项、第（三）项、第（四）项、第（五）项（需根据实际发生的违法行为选择）；</w:t>
            </w:r>
          </w:p>
          <w:p w14:paraId="51DF271A">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处罚条款：第三十七条，责令限期改正；逾期不改正的，处三千元以上三万元以下罚款。</w:t>
            </w:r>
          </w:p>
        </w:tc>
        <w:tc>
          <w:tcPr>
            <w:tcW w:w="851" w:type="dxa"/>
            <w:shd w:val="clear" w:color="auto" w:fill="auto"/>
            <w:vAlign w:val="center"/>
          </w:tcPr>
          <w:p w14:paraId="45BAAF3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w:t>
            </w:r>
          </w:p>
        </w:tc>
        <w:tc>
          <w:tcPr>
            <w:tcW w:w="840" w:type="dxa"/>
            <w:shd w:val="clear" w:color="auto" w:fill="auto"/>
            <w:vAlign w:val="center"/>
          </w:tcPr>
          <w:p w14:paraId="72913D0F">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1B42D6F4">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val="en-US" w:eastAsia="zh-CN"/>
              </w:rPr>
              <w:t>1.</w:t>
            </w:r>
            <w:r>
              <w:rPr>
                <w:rFonts w:hint="eastAsia" w:cs="仿宋_GB2312" w:asciiTheme="minorEastAsia" w:hAnsiTheme="minorEastAsia" w:eastAsiaTheme="minorEastAsia"/>
                <w:color w:val="auto"/>
                <w:kern w:val="0"/>
                <w:sz w:val="15"/>
                <w:szCs w:val="15"/>
                <w:highlight w:val="none"/>
              </w:rPr>
              <w:t>同时违反第十四条第一款规定中两项的，</w:t>
            </w:r>
            <w:r>
              <w:rPr>
                <w:rFonts w:hint="eastAsia" w:cs="仿宋_GB2312" w:asciiTheme="minorEastAsia" w:hAnsiTheme="minorEastAsia" w:eastAsiaTheme="minorEastAsia"/>
                <w:color w:val="auto"/>
                <w:kern w:val="0"/>
                <w:sz w:val="15"/>
                <w:szCs w:val="15"/>
                <w:highlight w:val="none"/>
                <w:lang w:eastAsia="zh-CN"/>
              </w:rPr>
              <w:t>系数</w:t>
            </w:r>
            <w:r>
              <w:rPr>
                <w:rFonts w:hint="eastAsia" w:cs="仿宋_GB2312" w:asciiTheme="minorEastAsia" w:hAnsiTheme="minorEastAsia" w:eastAsiaTheme="minorEastAsia"/>
                <w:color w:val="auto"/>
                <w:kern w:val="0"/>
                <w:sz w:val="15"/>
                <w:szCs w:val="15"/>
                <w:highlight w:val="none"/>
              </w:rPr>
              <w:t>4；同时违反三项及三项以上的，</w:t>
            </w:r>
            <w:r>
              <w:rPr>
                <w:rFonts w:hint="eastAsia" w:cs="仿宋_GB2312" w:asciiTheme="minorEastAsia" w:hAnsiTheme="minorEastAsia" w:eastAsiaTheme="minorEastAsia"/>
                <w:color w:val="auto"/>
                <w:kern w:val="0"/>
                <w:sz w:val="15"/>
                <w:szCs w:val="15"/>
                <w:highlight w:val="none"/>
                <w:lang w:eastAsia="zh-CN"/>
              </w:rPr>
              <w:t>系数</w:t>
            </w:r>
            <w:r>
              <w:rPr>
                <w:rFonts w:hint="eastAsia" w:cs="仿宋_GB2312" w:asciiTheme="minorEastAsia" w:hAnsiTheme="minorEastAsia" w:eastAsiaTheme="minorEastAsia"/>
                <w:color w:val="auto"/>
                <w:kern w:val="0"/>
                <w:sz w:val="15"/>
                <w:szCs w:val="15"/>
                <w:highlight w:val="none"/>
              </w:rPr>
              <w:t>9。</w:t>
            </w:r>
            <w:r>
              <w:rPr>
                <w:rFonts w:hint="eastAsia" w:cs="仿宋_GB2312"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210927DF">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E6A85B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14:paraId="70202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19" w:hRule="atLeast"/>
          <w:jc w:val="center"/>
        </w:trPr>
        <w:tc>
          <w:tcPr>
            <w:tcW w:w="610" w:type="dxa"/>
            <w:shd w:val="clear" w:color="auto" w:fill="auto"/>
            <w:vAlign w:val="center"/>
          </w:tcPr>
          <w:p w14:paraId="49E0E6FF">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30DBDAFD">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管理责任人未在限定的时间内完成整改</w:t>
            </w:r>
          </w:p>
        </w:tc>
        <w:tc>
          <w:tcPr>
            <w:tcW w:w="2789" w:type="dxa"/>
            <w:gridSpan w:val="2"/>
            <w:shd w:val="clear" w:color="auto" w:fill="auto"/>
            <w:vAlign w:val="center"/>
          </w:tcPr>
          <w:p w14:paraId="20D41FA4">
            <w:pPr>
              <w:spacing w:line="250" w:lineRule="exact"/>
              <w:textAlignment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违反条款：第十五条第一款、第二款</w:t>
            </w:r>
            <w:r>
              <w:rPr>
                <w:rFonts w:hint="eastAsia" w:cs="仿宋_GB2312" w:asciiTheme="minorEastAsia" w:hAnsiTheme="minorEastAsia" w:eastAsiaTheme="minorEastAsia"/>
                <w:color w:val="auto"/>
                <w:sz w:val="15"/>
                <w:szCs w:val="15"/>
                <w:highlight w:val="none"/>
                <w:lang w:val="en"/>
              </w:rPr>
              <w:t>（需根据实际发生的违法行为选择）</w:t>
            </w:r>
            <w:r>
              <w:rPr>
                <w:rFonts w:hint="eastAsia" w:cs="仿宋_GB2312" w:asciiTheme="minorEastAsia" w:hAnsiTheme="minorEastAsia" w:eastAsiaTheme="minorEastAsia"/>
                <w:color w:val="auto"/>
                <w:sz w:val="15"/>
                <w:szCs w:val="15"/>
                <w:highlight w:val="none"/>
              </w:rPr>
              <w:t>；</w:t>
            </w:r>
          </w:p>
          <w:p w14:paraId="3F5B8D30">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处罚条款：第三十八条，责令限期改正；逾期不改正的，处应当建设或者改造的无障碍设施工程造价一倍以上二倍以下罚款。</w:t>
            </w:r>
          </w:p>
        </w:tc>
        <w:tc>
          <w:tcPr>
            <w:tcW w:w="851" w:type="dxa"/>
            <w:shd w:val="clear" w:color="auto" w:fill="auto"/>
            <w:vAlign w:val="center"/>
          </w:tcPr>
          <w:p w14:paraId="25DDA968">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无障碍设施工程造价款</w:t>
            </w:r>
          </w:p>
        </w:tc>
        <w:tc>
          <w:tcPr>
            <w:tcW w:w="840" w:type="dxa"/>
            <w:shd w:val="clear" w:color="auto" w:fill="auto"/>
            <w:vAlign w:val="center"/>
          </w:tcPr>
          <w:p w14:paraId="39BB764B">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14:paraId="4652B683">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造成行人伤亡或</w:t>
            </w:r>
            <w:r>
              <w:rPr>
                <w:rFonts w:hint="eastAsia" w:cs="仿宋_GB2312" w:asciiTheme="minorEastAsia" w:hAnsiTheme="minorEastAsia" w:eastAsiaTheme="minorEastAsia"/>
                <w:color w:val="auto"/>
                <w:sz w:val="15"/>
                <w:szCs w:val="15"/>
                <w:highlight w:val="none"/>
                <w:lang w:eastAsia="zh-CN"/>
              </w:rPr>
              <w:t>其他</w:t>
            </w:r>
            <w:r>
              <w:rPr>
                <w:rFonts w:hint="eastAsia" w:cs="仿宋_GB2312" w:asciiTheme="minorEastAsia" w:hAnsiTheme="minorEastAsia" w:eastAsiaTheme="minorEastAsia"/>
                <w:color w:val="auto"/>
                <w:sz w:val="15"/>
                <w:szCs w:val="15"/>
                <w:highlight w:val="none"/>
              </w:rPr>
              <w:t>事故的，系数1。</w:t>
            </w:r>
            <w:r>
              <w:rPr>
                <w:rFonts w:hint="eastAsia" w:cs="仿宋_GB2312"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012C7E9E">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罚款数额=无障碍设施工程造价款×（1+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68E9A847">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14:paraId="71982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11" w:hRule="atLeast"/>
          <w:jc w:val="center"/>
        </w:trPr>
        <w:tc>
          <w:tcPr>
            <w:tcW w:w="610" w:type="dxa"/>
            <w:shd w:val="clear" w:color="auto" w:fill="auto"/>
            <w:vAlign w:val="center"/>
          </w:tcPr>
          <w:p w14:paraId="7289A3FF">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3A3E55EF">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公共停车场</w:t>
            </w:r>
            <w:r>
              <w:rPr>
                <w:rFonts w:hint="eastAsia" w:cs="仿宋_GB2312" w:asciiTheme="minorEastAsia" w:hAnsiTheme="minorEastAsia" w:eastAsiaTheme="minorEastAsia"/>
                <w:color w:val="auto"/>
                <w:sz w:val="15"/>
                <w:szCs w:val="15"/>
                <w:highlight w:val="none"/>
                <w:lang w:val="zh-CN"/>
              </w:rPr>
              <w:t>擅自改变无障碍停车位用途</w:t>
            </w:r>
          </w:p>
        </w:tc>
        <w:tc>
          <w:tcPr>
            <w:tcW w:w="2789" w:type="dxa"/>
            <w:gridSpan w:val="2"/>
            <w:shd w:val="clear" w:color="auto" w:fill="auto"/>
            <w:vAlign w:val="center"/>
          </w:tcPr>
          <w:p w14:paraId="3DA4453F">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第十七条第一款；</w:t>
            </w:r>
          </w:p>
          <w:p w14:paraId="6DD451B9">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第三十九条第一款，责令限期改正；逾期不改正的，按照擅自改变用途的无障碍停车位数量，每个泊位处一万元罚款。</w:t>
            </w:r>
          </w:p>
        </w:tc>
        <w:tc>
          <w:tcPr>
            <w:tcW w:w="851" w:type="dxa"/>
            <w:shd w:val="clear" w:color="auto" w:fill="auto"/>
            <w:vAlign w:val="center"/>
          </w:tcPr>
          <w:p w14:paraId="2DEECC5B">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14:paraId="118D7553">
            <w:pPr>
              <w:spacing w:line="250" w:lineRule="exact"/>
              <w:jc w:val="center"/>
              <w:rPr>
                <w:rFonts w:cs="仿宋_GB2312" w:asciiTheme="minorEastAsia" w:hAnsiTheme="minorEastAsia" w:eastAsiaTheme="minorEastAsia"/>
                <w:color w:val="auto"/>
                <w:kern w:val="0"/>
                <w:sz w:val="15"/>
                <w:szCs w:val="15"/>
                <w:highlight w:val="none"/>
              </w:rPr>
            </w:pPr>
          </w:p>
        </w:tc>
        <w:tc>
          <w:tcPr>
            <w:tcW w:w="3426" w:type="dxa"/>
            <w:shd w:val="clear" w:color="auto" w:fill="auto"/>
            <w:vAlign w:val="center"/>
          </w:tcPr>
          <w:p w14:paraId="0437F78F">
            <w:pPr>
              <w:spacing w:line="250" w:lineRule="exact"/>
              <w:rPr>
                <w:rFonts w:cs="仿宋_GB2312"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6CD7F6B6">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罚款数额=10000×改变用途</w:t>
            </w:r>
            <w:r>
              <w:rPr>
                <w:rFonts w:hint="eastAsia" w:cs="仿宋_GB2312" w:asciiTheme="minorEastAsia" w:hAnsiTheme="minorEastAsia" w:eastAsiaTheme="minorEastAsia"/>
                <w:color w:val="auto"/>
                <w:sz w:val="15"/>
                <w:szCs w:val="15"/>
                <w:highlight w:val="none"/>
                <w:lang w:val="zh-CN"/>
              </w:rPr>
              <w:t>停车</w:t>
            </w:r>
            <w:r>
              <w:rPr>
                <w:rFonts w:hint="eastAsia" w:cs="仿宋_GB2312" w:asciiTheme="minorEastAsia" w:hAnsiTheme="minorEastAsia" w:eastAsiaTheme="minorEastAsia"/>
                <w:color w:val="auto"/>
                <w:sz w:val="15"/>
                <w:szCs w:val="15"/>
                <w:highlight w:val="none"/>
              </w:rPr>
              <w:t>泊位数</w:t>
            </w:r>
          </w:p>
        </w:tc>
        <w:tc>
          <w:tcPr>
            <w:tcW w:w="1982" w:type="dxa"/>
            <w:gridSpan w:val="2"/>
            <w:shd w:val="clear" w:color="auto" w:fill="auto"/>
            <w:vAlign w:val="center"/>
          </w:tcPr>
          <w:p w14:paraId="43A5732A">
            <w:pPr>
              <w:spacing w:line="250" w:lineRule="exact"/>
              <w:rPr>
                <w:rFonts w:hint="eastAsia" w:cs="仿宋_GB2312" w:asciiTheme="minorEastAsia" w:hAnsiTheme="minorEastAsia" w:eastAsiaTheme="minorEastAsia"/>
                <w:color w:val="auto"/>
                <w:kern w:val="0"/>
                <w:sz w:val="15"/>
                <w:szCs w:val="15"/>
                <w:highlight w:val="none"/>
                <w:lang w:val="en" w:eastAsia="zh-CN"/>
              </w:rPr>
            </w:pPr>
          </w:p>
        </w:tc>
      </w:tr>
      <w:tr w14:paraId="313FF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48" w:hRule="atLeast"/>
          <w:jc w:val="center"/>
        </w:trPr>
        <w:tc>
          <w:tcPr>
            <w:tcW w:w="610" w:type="dxa"/>
            <w:shd w:val="clear" w:color="auto" w:fill="auto"/>
            <w:vAlign w:val="center"/>
          </w:tcPr>
          <w:p w14:paraId="679627D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7F6674FF">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zh-CN"/>
              </w:rPr>
              <w:t>损毁、侵占或者擅自停止使用道路内无障碍设施</w:t>
            </w:r>
          </w:p>
        </w:tc>
        <w:tc>
          <w:tcPr>
            <w:tcW w:w="2789" w:type="dxa"/>
            <w:gridSpan w:val="2"/>
            <w:shd w:val="clear" w:color="auto" w:fill="auto"/>
            <w:vAlign w:val="center"/>
          </w:tcPr>
          <w:p w14:paraId="7D11907B">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第十九条第一款；</w:t>
            </w:r>
          </w:p>
          <w:p w14:paraId="0929E35D">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第四十条第一款，责令限期改正；逾期不改正的，处三千元以上三万元以下罚款。</w:t>
            </w:r>
          </w:p>
        </w:tc>
        <w:tc>
          <w:tcPr>
            <w:tcW w:w="851" w:type="dxa"/>
            <w:shd w:val="clear" w:color="auto" w:fill="auto"/>
            <w:vAlign w:val="center"/>
          </w:tcPr>
          <w:p w14:paraId="697F31B6">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14:paraId="4EDD5A99">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14:paraId="4730B3F1">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1.对通行秩序、市容秩序造成较大影响的，系数4；2.造成行人伤亡或</w:t>
            </w:r>
            <w:r>
              <w:rPr>
                <w:rFonts w:hint="eastAsia" w:cs="仿宋_GB2312" w:asciiTheme="minorEastAsia" w:hAnsiTheme="minorEastAsia" w:eastAsiaTheme="minorEastAsia"/>
                <w:color w:val="auto"/>
                <w:sz w:val="15"/>
                <w:szCs w:val="15"/>
                <w:highlight w:val="none"/>
                <w:lang w:eastAsia="zh-CN"/>
              </w:rPr>
              <w:t>其他</w:t>
            </w:r>
            <w:r>
              <w:rPr>
                <w:rFonts w:hint="eastAsia" w:cs="仿宋_GB2312" w:asciiTheme="minorEastAsia" w:hAnsiTheme="minorEastAsia" w:eastAsiaTheme="minorEastAsia"/>
                <w:color w:val="auto"/>
                <w:sz w:val="15"/>
                <w:szCs w:val="15"/>
                <w:highlight w:val="none"/>
              </w:rPr>
              <w:t>事故的，系数9</w:t>
            </w:r>
            <w:r>
              <w:rPr>
                <w:rFonts w:hint="eastAsia" w:cs="仿宋_GB2312" w:asciiTheme="minorEastAsia" w:hAnsiTheme="minorEastAsia" w:eastAsiaTheme="minorEastAsia"/>
                <w:color w:val="auto"/>
                <w:sz w:val="15"/>
                <w:szCs w:val="15"/>
                <w:highlight w:val="none"/>
                <w:lang w:eastAsia="zh-CN"/>
              </w:rPr>
              <w:t>；</w:t>
            </w:r>
            <w:r>
              <w:rPr>
                <w:rFonts w:hint="eastAsia" w:cs="仿宋_GB2312"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3B50776F">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7CD71472">
            <w:pPr>
              <w:spacing w:line="250" w:lineRule="exact"/>
              <w:rPr>
                <w:rFonts w:hint="eastAsia" w:cs="仿宋_GB2312"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14:paraId="10C26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02" w:hRule="atLeast"/>
          <w:jc w:val="center"/>
        </w:trPr>
        <w:tc>
          <w:tcPr>
            <w:tcW w:w="610" w:type="dxa"/>
            <w:shd w:val="clear" w:color="auto" w:fill="auto"/>
            <w:vAlign w:val="center"/>
          </w:tcPr>
          <w:p w14:paraId="3E63BBC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37DDDE0B">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经批准临时占用道路内无障碍设施的，</w:t>
            </w:r>
            <w:r>
              <w:rPr>
                <w:rFonts w:hint="eastAsia" w:cs="仿宋_GB2312" w:asciiTheme="minorEastAsia" w:hAnsiTheme="minorEastAsia" w:eastAsiaTheme="minorEastAsia"/>
                <w:color w:val="auto"/>
                <w:sz w:val="15"/>
                <w:szCs w:val="15"/>
                <w:highlight w:val="none"/>
                <w:lang w:val="zh-CN"/>
              </w:rPr>
              <w:t>未设置护栏、警示标志或者语音提示，或者未采取必要的替代措施</w:t>
            </w:r>
            <w:r>
              <w:rPr>
                <w:rFonts w:hint="eastAsia" w:cs="仿宋_GB2312" w:asciiTheme="minorEastAsia" w:hAnsiTheme="minorEastAsia" w:eastAsiaTheme="minorEastAsia"/>
                <w:color w:val="auto"/>
                <w:sz w:val="15"/>
                <w:szCs w:val="15"/>
                <w:highlight w:val="none"/>
                <w:lang w:val="en"/>
              </w:rPr>
              <w:t>（需根据实际发生的违法行为选择）</w:t>
            </w:r>
          </w:p>
        </w:tc>
        <w:tc>
          <w:tcPr>
            <w:tcW w:w="2789" w:type="dxa"/>
            <w:gridSpan w:val="2"/>
            <w:shd w:val="clear" w:color="auto" w:fill="auto"/>
            <w:vAlign w:val="center"/>
          </w:tcPr>
          <w:p w14:paraId="53C69B29">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14:paraId="30E3C532">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处罚条款：第四十条第二款，责令限期改正；逾期不改正的，处三千元以上三万元以下罚款。</w:t>
            </w:r>
          </w:p>
        </w:tc>
        <w:tc>
          <w:tcPr>
            <w:tcW w:w="851" w:type="dxa"/>
            <w:shd w:val="clear" w:color="auto" w:fill="auto"/>
            <w:vAlign w:val="center"/>
          </w:tcPr>
          <w:p w14:paraId="06734F1C">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14:paraId="6265295A">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14:paraId="54953C30">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1.对通行秩序造成较大影响的，系数4；2.造成行人伤亡或</w:t>
            </w:r>
            <w:r>
              <w:rPr>
                <w:rFonts w:hint="eastAsia" w:cs="仿宋_GB2312" w:asciiTheme="minorEastAsia" w:hAnsiTheme="minorEastAsia" w:eastAsiaTheme="minorEastAsia"/>
                <w:color w:val="auto"/>
                <w:sz w:val="15"/>
                <w:szCs w:val="15"/>
                <w:highlight w:val="none"/>
                <w:lang w:eastAsia="zh-CN"/>
              </w:rPr>
              <w:t>其他</w:t>
            </w:r>
            <w:r>
              <w:rPr>
                <w:rFonts w:hint="eastAsia" w:cs="仿宋_GB2312" w:asciiTheme="minorEastAsia" w:hAnsiTheme="minorEastAsia" w:eastAsiaTheme="minorEastAsia"/>
                <w:color w:val="auto"/>
                <w:sz w:val="15"/>
                <w:szCs w:val="15"/>
                <w:highlight w:val="none"/>
              </w:rPr>
              <w:t>事故的，系数9</w:t>
            </w:r>
            <w:r>
              <w:rPr>
                <w:rFonts w:hint="eastAsia" w:cs="仿宋_GB2312"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7B291800">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75291F24">
            <w:pPr>
              <w:spacing w:line="250" w:lineRule="exact"/>
              <w:rPr>
                <w:rFonts w:hint="eastAsia" w:cs="仿宋_GB2312"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14:paraId="64F8C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5" w:hRule="atLeast"/>
          <w:jc w:val="center"/>
        </w:trPr>
        <w:tc>
          <w:tcPr>
            <w:tcW w:w="610" w:type="dxa"/>
            <w:shd w:val="clear" w:color="auto" w:fill="auto"/>
            <w:vAlign w:val="center"/>
          </w:tcPr>
          <w:p w14:paraId="3EBCE1B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69310851">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经批准临时占用道路内无障碍设施占用期届满，未及时恢复无障碍设施功能</w:t>
            </w:r>
          </w:p>
        </w:tc>
        <w:tc>
          <w:tcPr>
            <w:tcW w:w="2789" w:type="dxa"/>
            <w:gridSpan w:val="2"/>
            <w:shd w:val="clear" w:color="auto" w:fill="auto"/>
            <w:vAlign w:val="center"/>
          </w:tcPr>
          <w:p w14:paraId="3F95BC59">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14:paraId="2F4D408C">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处罚条款：第四十条第二款，责令限期改正；逾期不改正的，处恢复无障碍设施功能所需的工程造价一倍以上二倍以下罚款。</w:t>
            </w:r>
          </w:p>
        </w:tc>
        <w:tc>
          <w:tcPr>
            <w:tcW w:w="851" w:type="dxa"/>
            <w:shd w:val="clear" w:color="auto" w:fill="auto"/>
            <w:vAlign w:val="center"/>
          </w:tcPr>
          <w:p w14:paraId="1DD18F46">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恢复无障碍设施功能所需的工程造价</w:t>
            </w:r>
          </w:p>
        </w:tc>
        <w:tc>
          <w:tcPr>
            <w:tcW w:w="840" w:type="dxa"/>
            <w:shd w:val="clear" w:color="auto" w:fill="auto"/>
            <w:vAlign w:val="center"/>
          </w:tcPr>
          <w:p w14:paraId="0CFE4628">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14:paraId="46FFC675">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对通行秩序、市容秩序造成较大影响的，或者造成行人伤亡或</w:t>
            </w:r>
            <w:r>
              <w:rPr>
                <w:rFonts w:hint="eastAsia" w:cs="仿宋_GB2312" w:asciiTheme="minorEastAsia" w:hAnsiTheme="minorEastAsia" w:eastAsiaTheme="minorEastAsia"/>
                <w:color w:val="auto"/>
                <w:sz w:val="15"/>
                <w:szCs w:val="15"/>
                <w:highlight w:val="none"/>
                <w:lang w:eastAsia="zh-CN"/>
              </w:rPr>
              <w:t>其他</w:t>
            </w:r>
            <w:r>
              <w:rPr>
                <w:rFonts w:hint="eastAsia" w:cs="仿宋_GB2312" w:asciiTheme="minorEastAsia" w:hAnsiTheme="minorEastAsia" w:eastAsiaTheme="minorEastAsia"/>
                <w:color w:val="auto"/>
                <w:sz w:val="15"/>
                <w:szCs w:val="15"/>
                <w:highlight w:val="none"/>
              </w:rPr>
              <w:t>事故的，系数1</w:t>
            </w:r>
            <w:r>
              <w:rPr>
                <w:rFonts w:hint="eastAsia" w:cs="仿宋_GB2312" w:asciiTheme="minorEastAsia" w:hAnsiTheme="minorEastAsia" w:eastAsiaTheme="minorEastAsia"/>
                <w:color w:val="auto"/>
                <w:sz w:val="15"/>
                <w:szCs w:val="15"/>
                <w:highlight w:val="none"/>
                <w:lang w:eastAsia="zh-CN"/>
              </w:rPr>
              <w:t>；</w:t>
            </w:r>
            <w:r>
              <w:rPr>
                <w:rFonts w:hint="eastAsia" w:cs="仿宋_GB2312"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4360CB17">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罚款数额＝恢复无障碍设施功能所需的工程造价×（1+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6378A933">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14:paraId="414F8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28" w:hRule="atLeast"/>
          <w:jc w:val="center"/>
        </w:trPr>
        <w:tc>
          <w:tcPr>
            <w:tcW w:w="14203" w:type="dxa"/>
            <w:gridSpan w:val="13"/>
            <w:shd w:val="clear" w:color="auto" w:fill="auto"/>
            <w:vAlign w:val="center"/>
          </w:tcPr>
          <w:p w14:paraId="49F63115">
            <w:pPr>
              <w:pStyle w:val="3"/>
              <w:bidi w:val="0"/>
              <w:jc w:val="center"/>
              <w:rPr>
                <w:rFonts w:hint="default" w:ascii="宋体" w:hAnsi="宋体" w:eastAsia="宋体" w:cs="宋体"/>
                <w:color w:val="auto"/>
                <w:sz w:val="21"/>
                <w:szCs w:val="21"/>
                <w:highlight w:val="none"/>
                <w:lang w:val="en-US"/>
              </w:rPr>
            </w:pPr>
            <w:bookmarkStart w:id="56" w:name="_Toc292616048"/>
            <w:bookmarkStart w:id="57" w:name="_Toc1038902727"/>
            <w:r>
              <w:rPr>
                <w:rFonts w:hint="eastAsia" w:ascii="宋体" w:hAnsi="宋体" w:eastAsia="宋体" w:cs="宋体"/>
                <w:color w:val="auto"/>
                <w:sz w:val="21"/>
                <w:szCs w:val="21"/>
                <w:highlight w:val="none"/>
                <w:lang w:val="en-US" w:eastAsia="zh-CN"/>
              </w:rPr>
              <w:t>《中华人民共和国无障碍环境建设法》案由2项</w:t>
            </w:r>
            <w:bookmarkEnd w:id="56"/>
          </w:p>
        </w:tc>
      </w:tr>
      <w:tr w14:paraId="2E689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5" w:hRule="atLeast"/>
          <w:jc w:val="center"/>
        </w:trPr>
        <w:tc>
          <w:tcPr>
            <w:tcW w:w="610" w:type="dxa"/>
            <w:vMerge w:val="restart"/>
            <w:shd w:val="clear" w:color="auto" w:fill="auto"/>
            <w:vAlign w:val="center"/>
          </w:tcPr>
          <w:p w14:paraId="61F9DA16">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1</w:t>
            </w:r>
          </w:p>
        </w:tc>
        <w:tc>
          <w:tcPr>
            <w:tcW w:w="1830" w:type="dxa"/>
            <w:gridSpan w:val="3"/>
            <w:vMerge w:val="restart"/>
            <w:shd w:val="clear" w:color="auto" w:fill="auto"/>
            <w:vAlign w:val="center"/>
          </w:tcPr>
          <w:p w14:paraId="0E063B3C">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789" w:type="dxa"/>
            <w:gridSpan w:val="2"/>
            <w:vMerge w:val="restart"/>
            <w:shd w:val="clear" w:color="auto" w:fill="auto"/>
            <w:vAlign w:val="center"/>
          </w:tcPr>
          <w:p w14:paraId="2DCF5CED">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14:paraId="4737AC51">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处罚条款：</w:t>
            </w:r>
            <w:r>
              <w:rPr>
                <w:rFonts w:hint="eastAsia" w:ascii="宋体" w:hAnsi="宋体" w:cs="仿宋_GB2312"/>
                <w:color w:val="auto"/>
                <w:sz w:val="15"/>
                <w:szCs w:val="15"/>
                <w:highlight w:val="none"/>
                <w:lang w:eastAsia="zh-CN"/>
              </w:rPr>
              <w:t>第</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14:paraId="3F545547">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14:paraId="3128C689">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14:paraId="10C30F2B">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shd w:val="clear" w:color="auto" w:fill="auto"/>
            <w:vAlign w:val="center"/>
          </w:tcPr>
          <w:p w14:paraId="19357636">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cs="仿宋_GB2312"/>
                <w:color w:val="auto"/>
                <w:kern w:val="0"/>
                <w:sz w:val="15"/>
                <w:szCs w:val="15"/>
                <w:highlight w:val="none"/>
                <w:lang w:eastAsia="zh-CN"/>
              </w:rPr>
              <w:t>条</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4BEC8625">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shd w:val="clear" w:color="auto" w:fill="auto"/>
            <w:vAlign w:val="center"/>
          </w:tcPr>
          <w:p w14:paraId="6B410801">
            <w:pPr>
              <w:spacing w:line="220" w:lineRule="exact"/>
              <w:rPr>
                <w:rFonts w:hint="eastAsia" w:cs="仿宋_GB2312"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14:paraId="1DDCF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5" w:hRule="atLeast"/>
          <w:jc w:val="center"/>
        </w:trPr>
        <w:tc>
          <w:tcPr>
            <w:tcW w:w="610" w:type="dxa"/>
            <w:vMerge w:val="continue"/>
            <w:shd w:val="clear" w:color="auto" w:fill="auto"/>
            <w:vAlign w:val="center"/>
          </w:tcPr>
          <w:p w14:paraId="5DF69B92">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2B5140B3">
            <w:pPr>
              <w:spacing w:line="220" w:lineRule="exact"/>
              <w:rPr>
                <w:rFonts w:hint="eastAsia" w:cs="仿宋_GB2312"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0D5F3628">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14:paraId="39D9CB6F">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14:paraId="68F02659">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14:paraId="44FDED1F">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shd w:val="clear" w:color="auto" w:fill="auto"/>
            <w:vAlign w:val="center"/>
          </w:tcPr>
          <w:p w14:paraId="376729BA">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cs="仿宋_GB2312"/>
                <w:color w:val="auto"/>
                <w:kern w:val="0"/>
                <w:sz w:val="15"/>
                <w:szCs w:val="15"/>
                <w:highlight w:val="none"/>
                <w:lang w:eastAsia="zh-CN"/>
              </w:rPr>
              <w:t>条</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r>
              <w:rPr>
                <w:rFonts w:hint="eastAsia" w:ascii="宋体" w:hAnsi="宋体" w:cs="仿宋_GB2312"/>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6E39180B">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shd w:val="clear" w:color="auto" w:fill="auto"/>
            <w:vAlign w:val="center"/>
          </w:tcPr>
          <w:p w14:paraId="3AB016AA">
            <w:pPr>
              <w:spacing w:line="220" w:lineRule="exact"/>
              <w:rPr>
                <w:rFonts w:hint="eastAsia" w:cs="仿宋_GB2312"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14:paraId="6695E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5" w:hRule="atLeast"/>
          <w:jc w:val="center"/>
        </w:trPr>
        <w:tc>
          <w:tcPr>
            <w:tcW w:w="610" w:type="dxa"/>
            <w:vMerge w:val="restart"/>
            <w:shd w:val="clear" w:color="auto" w:fill="auto"/>
            <w:vAlign w:val="center"/>
          </w:tcPr>
          <w:p w14:paraId="0E48B638">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2</w:t>
            </w:r>
          </w:p>
        </w:tc>
        <w:tc>
          <w:tcPr>
            <w:tcW w:w="1830" w:type="dxa"/>
            <w:gridSpan w:val="3"/>
            <w:vMerge w:val="restart"/>
            <w:shd w:val="clear" w:color="auto" w:fill="auto"/>
            <w:vAlign w:val="center"/>
          </w:tcPr>
          <w:p w14:paraId="2283405F">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789" w:type="dxa"/>
            <w:gridSpan w:val="2"/>
            <w:vMerge w:val="restart"/>
            <w:shd w:val="clear" w:color="auto" w:fill="auto"/>
            <w:vAlign w:val="center"/>
          </w:tcPr>
          <w:p w14:paraId="5A1A1980">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cs="仿宋_GB2312"/>
                <w:color w:val="auto"/>
                <w:sz w:val="15"/>
                <w:szCs w:val="15"/>
                <w:highlight w:val="none"/>
                <w:lang w:eastAsia="zh-CN"/>
              </w:rPr>
              <w:t>第</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14:paraId="1376B324">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14:paraId="0D7E7E31">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14:paraId="7D4459AF">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shd w:val="clear" w:color="auto" w:fill="auto"/>
            <w:vAlign w:val="center"/>
          </w:tcPr>
          <w:p w14:paraId="5E50AA29">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w:t>
            </w:r>
            <w:r>
              <w:rPr>
                <w:rFonts w:hint="eastAsia" w:ascii="宋体" w:hAnsi="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r>
              <w:rPr>
                <w:rFonts w:hint="eastAsia" w:ascii="宋体" w:hAnsi="宋体" w:cs="仿宋_GB2312"/>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41B45FB2">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shd w:val="clear" w:color="auto" w:fill="auto"/>
            <w:vAlign w:val="center"/>
          </w:tcPr>
          <w:p w14:paraId="6624CB3F">
            <w:pPr>
              <w:spacing w:line="220" w:lineRule="exact"/>
              <w:rPr>
                <w:rFonts w:hint="eastAsia" w:cs="仿宋_GB2312"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14:paraId="164AD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5" w:hRule="atLeast"/>
          <w:jc w:val="center"/>
        </w:trPr>
        <w:tc>
          <w:tcPr>
            <w:tcW w:w="610" w:type="dxa"/>
            <w:vMerge w:val="continue"/>
            <w:shd w:val="clear" w:color="auto" w:fill="auto"/>
            <w:vAlign w:val="center"/>
          </w:tcPr>
          <w:p w14:paraId="142BA715">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5C9CF3A1">
            <w:pPr>
              <w:spacing w:line="220" w:lineRule="exact"/>
              <w:rPr>
                <w:rFonts w:hint="eastAsia" w:cs="仿宋_GB2312"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5EA46D78">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14:paraId="304EC273">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14:paraId="3A6C21C2">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14:paraId="0DD1EC05">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3426" w:type="dxa"/>
            <w:shd w:val="clear" w:color="auto" w:fill="auto"/>
            <w:vAlign w:val="center"/>
          </w:tcPr>
          <w:p w14:paraId="4DDF9183">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w:t>
            </w:r>
            <w:r>
              <w:rPr>
                <w:rFonts w:hint="eastAsia" w:ascii="宋体" w:hAnsi="宋体" w:cs="仿宋_GB2312"/>
                <w:color w:val="auto"/>
                <w:sz w:val="15"/>
                <w:szCs w:val="15"/>
                <w:highlight w:val="none"/>
                <w:lang w:eastAsia="zh-CN"/>
              </w:rPr>
              <w:t>其他</w:t>
            </w:r>
            <w:r>
              <w:rPr>
                <w:rFonts w:hint="eastAsia" w:ascii="宋体" w:hAnsi="宋体" w:eastAsia="宋体" w:cs="仿宋_GB2312"/>
                <w:color w:val="auto"/>
                <w:sz w:val="15"/>
                <w:szCs w:val="15"/>
                <w:highlight w:val="none"/>
              </w:rPr>
              <w:t>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r>
              <w:rPr>
                <w:rFonts w:hint="eastAsia" w:ascii="宋体" w:hAnsi="宋体" w:cs="仿宋_GB2312"/>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5C75EC8B">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cs="仿宋_GB2312"/>
                <w:color w:val="auto"/>
                <w:sz w:val="15"/>
                <w:szCs w:val="15"/>
                <w:highlight w:val="none"/>
                <w:lang w:eastAsia="zh-CN"/>
              </w:rPr>
              <w:t>情节</w:t>
            </w:r>
            <w:r>
              <w:rPr>
                <w:rFonts w:hint="eastAsia" w:ascii="宋体" w:hAnsi="宋体" w:eastAsia="宋体" w:cs="仿宋_GB2312"/>
                <w:color w:val="auto"/>
                <w:sz w:val="15"/>
                <w:szCs w:val="15"/>
                <w:highlight w:val="none"/>
              </w:rPr>
              <w:t>系数）</w:t>
            </w:r>
          </w:p>
        </w:tc>
        <w:tc>
          <w:tcPr>
            <w:tcW w:w="1982" w:type="dxa"/>
            <w:gridSpan w:val="2"/>
            <w:shd w:val="clear" w:color="auto" w:fill="auto"/>
            <w:vAlign w:val="center"/>
          </w:tcPr>
          <w:p w14:paraId="3F3CD9E3">
            <w:pPr>
              <w:spacing w:line="232" w:lineRule="exact"/>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tc>
      </w:tr>
      <w:tr w14:paraId="54E1B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33" w:hRule="atLeast"/>
          <w:jc w:val="center"/>
        </w:trPr>
        <w:tc>
          <w:tcPr>
            <w:tcW w:w="14203" w:type="dxa"/>
            <w:gridSpan w:val="13"/>
            <w:shd w:val="clear" w:color="auto" w:fill="auto"/>
            <w:vAlign w:val="center"/>
          </w:tcPr>
          <w:p w14:paraId="16507B79">
            <w:pPr>
              <w:pStyle w:val="3"/>
              <w:bidi w:val="0"/>
              <w:jc w:val="center"/>
              <w:rPr>
                <w:color w:val="auto"/>
                <w:highlight w:val="none"/>
              </w:rPr>
            </w:pPr>
            <w:bookmarkStart w:id="58" w:name="_Toc870328335"/>
            <w:r>
              <w:rPr>
                <w:rFonts w:hint="eastAsia"/>
                <w:color w:val="auto"/>
                <w:sz w:val="21"/>
                <w:szCs w:val="21"/>
                <w:highlight w:val="none"/>
              </w:rPr>
              <w:t>《城市道路管理条例》《北京市城市道路管理办法》案由16项</w:t>
            </w:r>
            <w:bookmarkEnd w:id="57"/>
            <w:bookmarkEnd w:id="58"/>
          </w:p>
        </w:tc>
      </w:tr>
      <w:tr w14:paraId="5AC2A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70" w:hRule="atLeast"/>
          <w:jc w:val="center"/>
        </w:trPr>
        <w:tc>
          <w:tcPr>
            <w:tcW w:w="610" w:type="dxa"/>
            <w:shd w:val="clear" w:color="auto" w:fill="auto"/>
            <w:vAlign w:val="center"/>
          </w:tcPr>
          <w:p w14:paraId="19F7A84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222502C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城市道路上设置的检查井、箱盖或者城市道路附属设施发生缺损未及时补缺或者修复</w:t>
            </w:r>
          </w:p>
        </w:tc>
        <w:tc>
          <w:tcPr>
            <w:tcW w:w="2789" w:type="dxa"/>
            <w:gridSpan w:val="2"/>
            <w:shd w:val="clear" w:color="auto" w:fill="auto"/>
            <w:vAlign w:val="center"/>
          </w:tcPr>
          <w:p w14:paraId="30AF1A4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违反条款：《条例》第二十三条；</w:t>
            </w:r>
          </w:p>
          <w:p w14:paraId="5088130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处罚条款：《条例》第四十二条第（一）项 责令限期改正，可以处以2万元以下的罚款。</w:t>
            </w:r>
          </w:p>
        </w:tc>
        <w:tc>
          <w:tcPr>
            <w:tcW w:w="851" w:type="dxa"/>
            <w:shd w:val="clear" w:color="auto" w:fill="auto"/>
            <w:vAlign w:val="center"/>
          </w:tcPr>
          <w:p w14:paraId="0A911F5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71295D2B">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7F2825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673EC0B5">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AA57278">
            <w:pPr>
              <w:spacing w:line="220" w:lineRule="exact"/>
              <w:jc w:val="lef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14:paraId="75BC8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79" w:hRule="atLeast"/>
          <w:jc w:val="center"/>
        </w:trPr>
        <w:tc>
          <w:tcPr>
            <w:tcW w:w="610" w:type="dxa"/>
            <w:shd w:val="clear" w:color="auto" w:fill="auto"/>
            <w:vAlign w:val="center"/>
          </w:tcPr>
          <w:p w14:paraId="191425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6E121373">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擅自占用、挖掘城市道路</w:t>
            </w:r>
          </w:p>
        </w:tc>
        <w:tc>
          <w:tcPr>
            <w:tcW w:w="2789" w:type="dxa"/>
            <w:gridSpan w:val="2"/>
            <w:shd w:val="clear" w:color="auto" w:fill="auto"/>
            <w:vAlign w:val="center"/>
          </w:tcPr>
          <w:p w14:paraId="6EE8737A">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违反条款：《条例》第二十七条第（一）项；处罚条款：《条例》第四十二条 责令限期改正，可以处以2万元以下的罚款。</w:t>
            </w:r>
          </w:p>
        </w:tc>
        <w:tc>
          <w:tcPr>
            <w:tcW w:w="851" w:type="dxa"/>
            <w:shd w:val="clear" w:color="auto" w:fill="auto"/>
            <w:vAlign w:val="center"/>
          </w:tcPr>
          <w:p w14:paraId="3110F47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5000</w:t>
            </w:r>
          </w:p>
        </w:tc>
        <w:tc>
          <w:tcPr>
            <w:tcW w:w="840" w:type="dxa"/>
            <w:shd w:val="clear" w:color="auto" w:fill="auto"/>
            <w:vAlign w:val="center"/>
          </w:tcPr>
          <w:p w14:paraId="1FEADD80">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335695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2.损毁地下管线或市政设施的，系数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3.造成行人伤亡或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3BE2A1B2">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DC8CF32">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r>
      <w:tr w14:paraId="177F8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39" w:hRule="atLeast"/>
          <w:jc w:val="center"/>
        </w:trPr>
        <w:tc>
          <w:tcPr>
            <w:tcW w:w="610" w:type="dxa"/>
            <w:shd w:val="clear" w:color="auto" w:fill="auto"/>
            <w:vAlign w:val="center"/>
          </w:tcPr>
          <w:p w14:paraId="5442224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122E6DF6">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城市道路养护、维修工程施工现场未设置明显标志和安全防围设施</w:t>
            </w:r>
          </w:p>
        </w:tc>
        <w:tc>
          <w:tcPr>
            <w:tcW w:w="2789" w:type="dxa"/>
            <w:gridSpan w:val="2"/>
            <w:shd w:val="clear" w:color="auto" w:fill="auto"/>
            <w:vAlign w:val="center"/>
          </w:tcPr>
          <w:p w14:paraId="0FEC647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违反条款：《条例》第二十四条；</w:t>
            </w:r>
          </w:p>
          <w:p w14:paraId="1B1E5B27">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14:paraId="70FA4AD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27EE52EE">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9AFD68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1.违法行为持续2天以上的，含2天，系数1</w:t>
            </w:r>
            <w:r>
              <w:rPr>
                <w:rFonts w:hint="eastAsia" w:cs="宋体" w:asciiTheme="minorEastAsia" w:hAnsiTheme="minorEastAsia" w:eastAsiaTheme="minorEastAsia"/>
                <w:color w:val="auto"/>
                <w:spacing w:val="-4"/>
                <w:kern w:val="0"/>
                <w:sz w:val="15"/>
                <w:szCs w:val="15"/>
                <w:highlight w:val="none"/>
                <w:lang w:eastAsia="zh-CN"/>
              </w:rPr>
              <w:t>。</w:t>
            </w:r>
            <w:r>
              <w:rPr>
                <w:rFonts w:hint="eastAsia" w:cs="宋体" w:asciiTheme="minorEastAsia" w:hAnsiTheme="minorEastAsia" w:eastAsiaTheme="minorEastAsia"/>
                <w:color w:val="auto"/>
                <w:spacing w:val="-4"/>
                <w:kern w:val="0"/>
                <w:sz w:val="15"/>
                <w:szCs w:val="15"/>
                <w:highlight w:val="none"/>
              </w:rPr>
              <w:t>2.违法地点位于人口相对集中地区或者交通路口等存在较大安全隐患的情形，系数2</w:t>
            </w:r>
            <w:r>
              <w:rPr>
                <w:rFonts w:hint="eastAsia" w:cs="宋体" w:asciiTheme="minorEastAsia" w:hAnsiTheme="minorEastAsia" w:eastAsiaTheme="minorEastAsia"/>
                <w:color w:val="auto"/>
                <w:spacing w:val="-4"/>
                <w:kern w:val="0"/>
                <w:sz w:val="15"/>
                <w:szCs w:val="15"/>
                <w:highlight w:val="none"/>
                <w:lang w:eastAsia="zh-CN"/>
              </w:rPr>
              <w:t>。</w:t>
            </w:r>
            <w:r>
              <w:rPr>
                <w:rFonts w:hint="eastAsia" w:cs="宋体" w:asciiTheme="minorEastAsia" w:hAnsiTheme="minorEastAsia" w:eastAsiaTheme="minorEastAsia"/>
                <w:color w:val="auto"/>
                <w:spacing w:val="-4"/>
                <w:kern w:val="0"/>
                <w:sz w:val="15"/>
                <w:szCs w:val="15"/>
                <w:highlight w:val="none"/>
              </w:rPr>
              <w:t>3.造成行人伤亡或</w:t>
            </w:r>
            <w:r>
              <w:rPr>
                <w:rFonts w:hint="eastAsia" w:cs="宋体" w:asciiTheme="minorEastAsia" w:hAnsiTheme="minorEastAsia" w:eastAsiaTheme="minorEastAsia"/>
                <w:color w:val="auto"/>
                <w:spacing w:val="-4"/>
                <w:kern w:val="0"/>
                <w:sz w:val="15"/>
                <w:szCs w:val="15"/>
                <w:highlight w:val="none"/>
                <w:lang w:eastAsia="zh-CN"/>
              </w:rPr>
              <w:t>其他</w:t>
            </w:r>
            <w:r>
              <w:rPr>
                <w:rFonts w:hint="eastAsia" w:cs="宋体" w:asciiTheme="minorEastAsia" w:hAnsiTheme="minorEastAsia" w:eastAsiaTheme="minorEastAsia"/>
                <w:color w:val="auto"/>
                <w:spacing w:val="-4"/>
                <w:kern w:val="0"/>
                <w:sz w:val="15"/>
                <w:szCs w:val="15"/>
                <w:highlight w:val="none"/>
              </w:rPr>
              <w:t>严重事故的，系数9。</w:t>
            </w:r>
            <w:r>
              <w:rPr>
                <w:rFonts w:hint="eastAsia" w:cs="宋体" w:asciiTheme="minorEastAsia" w:hAnsiTheme="minorEastAsia" w:eastAsiaTheme="minorEastAsia"/>
                <w:color w:val="auto"/>
                <w:spacing w:val="-4"/>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0A940BF7">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E6C8C26">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14:paraId="38CEE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68" w:hRule="atLeast"/>
          <w:jc w:val="center"/>
        </w:trPr>
        <w:tc>
          <w:tcPr>
            <w:tcW w:w="610" w:type="dxa"/>
            <w:shd w:val="clear" w:color="auto" w:fill="auto"/>
            <w:vAlign w:val="center"/>
          </w:tcPr>
          <w:p w14:paraId="533D1E3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50A3057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挖掘城市道路施工现场未设置明显标志和安全防围设施</w:t>
            </w:r>
          </w:p>
        </w:tc>
        <w:tc>
          <w:tcPr>
            <w:tcW w:w="2789" w:type="dxa"/>
            <w:gridSpan w:val="2"/>
            <w:shd w:val="clear" w:color="auto" w:fill="auto"/>
            <w:vAlign w:val="center"/>
          </w:tcPr>
          <w:p w14:paraId="52AB835A">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14:paraId="6B443D7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14:paraId="4CECCFB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0BE0182">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0732223">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1.违法行为持续2天以上的，含2天，系数1；2.违法地点位于人口相对集中地区或者交通路口等存在较大安全隐患的情形，系数2；3.造成行人伤亡或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0E0CBD00">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108C2D75">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14:paraId="7188B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12" w:hRule="atLeast"/>
          <w:jc w:val="center"/>
        </w:trPr>
        <w:tc>
          <w:tcPr>
            <w:tcW w:w="610" w:type="dxa"/>
            <w:shd w:val="clear" w:color="auto" w:fill="auto"/>
            <w:vAlign w:val="center"/>
          </w:tcPr>
          <w:p w14:paraId="22BEAA7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6D63F27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占用城市道路期满未及时清理现场</w:t>
            </w:r>
          </w:p>
        </w:tc>
        <w:tc>
          <w:tcPr>
            <w:tcW w:w="2789" w:type="dxa"/>
            <w:gridSpan w:val="2"/>
            <w:shd w:val="clear" w:color="auto" w:fill="auto"/>
            <w:vAlign w:val="center"/>
          </w:tcPr>
          <w:p w14:paraId="2A0DFF2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违反条款：《条例》第三十一条第二款；</w:t>
            </w:r>
          </w:p>
          <w:p w14:paraId="3A784214">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14:paraId="69F7D24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7DE8284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B60FF49">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04830A5B">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0D11EE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14:paraId="1331A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08" w:hRule="atLeast"/>
          <w:jc w:val="center"/>
        </w:trPr>
        <w:tc>
          <w:tcPr>
            <w:tcW w:w="610" w:type="dxa"/>
            <w:shd w:val="clear" w:color="auto" w:fill="auto"/>
            <w:vAlign w:val="center"/>
          </w:tcPr>
          <w:p w14:paraId="2872B64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220F58B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挖掘城市道路竣工未及时清理现场</w:t>
            </w:r>
          </w:p>
        </w:tc>
        <w:tc>
          <w:tcPr>
            <w:tcW w:w="2789" w:type="dxa"/>
            <w:gridSpan w:val="2"/>
            <w:shd w:val="clear" w:color="auto" w:fill="auto"/>
            <w:vAlign w:val="center"/>
          </w:tcPr>
          <w:p w14:paraId="58AB250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14:paraId="2413229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14:paraId="6D565D3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14E50C5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4B11FC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1.违法行为持续2天以上的，含2天，系数1；2.对通行秩序、市容秩序造成较大影响的，系数4；3.造成行人伤亡或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4E912FE0">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E80DC7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14:paraId="4975D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76" w:hRule="atLeast"/>
          <w:jc w:val="center"/>
        </w:trPr>
        <w:tc>
          <w:tcPr>
            <w:tcW w:w="610" w:type="dxa"/>
            <w:shd w:val="clear" w:color="auto" w:fill="auto"/>
            <w:vAlign w:val="center"/>
          </w:tcPr>
          <w:p w14:paraId="5D956B6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14:paraId="16F5471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紧急抢修埋设在城市道路下的管线，未按照规定补办批准手续</w:t>
            </w:r>
          </w:p>
        </w:tc>
        <w:tc>
          <w:tcPr>
            <w:tcW w:w="2789" w:type="dxa"/>
            <w:gridSpan w:val="2"/>
            <w:shd w:val="clear" w:color="auto" w:fill="auto"/>
            <w:vAlign w:val="center"/>
          </w:tcPr>
          <w:p w14:paraId="46530E2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违反条款：《条例》第三十四条；</w:t>
            </w:r>
          </w:p>
          <w:p w14:paraId="1D7C166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处罚条款：《条例》第四十二条第（五）项 责令限期改正，可以处以2万元以下的罚款。</w:t>
            </w:r>
          </w:p>
        </w:tc>
        <w:tc>
          <w:tcPr>
            <w:tcW w:w="851" w:type="dxa"/>
            <w:shd w:val="clear" w:color="auto" w:fill="auto"/>
            <w:vAlign w:val="center"/>
          </w:tcPr>
          <w:p w14:paraId="4874005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8DDFC1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07B41F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应在24小时内申请补办，逾期未申请补办的</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1天的，系数1；逾期2天的，系数2；逾期3天的，系数3；逾期4天的，系数4；逾期5天的，系数5；以此类推，逾期9天及以上的，系数9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2ADE63B6">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031306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14:paraId="08B19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45" w:hRule="atLeast"/>
          <w:jc w:val="center"/>
        </w:trPr>
        <w:tc>
          <w:tcPr>
            <w:tcW w:w="610" w:type="dxa"/>
            <w:shd w:val="clear" w:color="auto" w:fill="auto"/>
            <w:vAlign w:val="center"/>
          </w:tcPr>
          <w:p w14:paraId="581E88C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14:paraId="0C02263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未按照批准的要求占用或者挖掘城市道路</w:t>
            </w:r>
          </w:p>
        </w:tc>
        <w:tc>
          <w:tcPr>
            <w:tcW w:w="2789" w:type="dxa"/>
            <w:gridSpan w:val="2"/>
            <w:shd w:val="clear" w:color="auto" w:fill="auto"/>
            <w:vAlign w:val="center"/>
          </w:tcPr>
          <w:p w14:paraId="0D3C0D4F">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违反条款：《条例》第三十六条；</w:t>
            </w:r>
          </w:p>
          <w:p w14:paraId="60FE2994">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处罚条款：《条例》第四十二条第（六）项 责令限期改正，可以处以2万元以下的罚款。</w:t>
            </w:r>
          </w:p>
        </w:tc>
        <w:tc>
          <w:tcPr>
            <w:tcW w:w="851" w:type="dxa"/>
            <w:shd w:val="clear" w:color="auto" w:fill="auto"/>
            <w:vAlign w:val="center"/>
          </w:tcPr>
          <w:p w14:paraId="3245D15C">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D27D34E">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DB7DA18">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2.损毁地下管线或市政设施的，系数9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3.造成行人伤亡或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44A8B245">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69E7559">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14:paraId="67FF9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3" w:hRule="atLeast"/>
          <w:jc w:val="center"/>
        </w:trPr>
        <w:tc>
          <w:tcPr>
            <w:tcW w:w="610" w:type="dxa"/>
            <w:shd w:val="clear" w:color="auto" w:fill="auto"/>
            <w:vAlign w:val="center"/>
          </w:tcPr>
          <w:p w14:paraId="62A9EEF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14:paraId="4AE87F93">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履带车、铁轮车或者超重、超高、超长车辆未按规定在城市道路上行驶</w:t>
            </w:r>
          </w:p>
        </w:tc>
        <w:tc>
          <w:tcPr>
            <w:tcW w:w="2789" w:type="dxa"/>
            <w:gridSpan w:val="2"/>
            <w:shd w:val="clear" w:color="auto" w:fill="auto"/>
            <w:vAlign w:val="center"/>
          </w:tcPr>
          <w:p w14:paraId="4F0DC936">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违反条款：《条例》第二十七条第（二）项；处罚条款：《条例》第四十二条：责令限期改正，可以处以2万元以下的罚款。</w:t>
            </w:r>
          </w:p>
        </w:tc>
        <w:tc>
          <w:tcPr>
            <w:tcW w:w="851" w:type="dxa"/>
            <w:shd w:val="clear" w:color="auto" w:fill="auto"/>
            <w:vAlign w:val="center"/>
          </w:tcPr>
          <w:p w14:paraId="208D1F0A">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69A47D94">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C3FCF6C">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57017EC7">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394B2AD8">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14:paraId="21C60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69" w:hRule="atLeast"/>
          <w:jc w:val="center"/>
        </w:trPr>
        <w:tc>
          <w:tcPr>
            <w:tcW w:w="610" w:type="dxa"/>
            <w:shd w:val="clear" w:color="auto" w:fill="auto"/>
            <w:vAlign w:val="center"/>
          </w:tcPr>
          <w:p w14:paraId="34F0BAF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14:paraId="7D9253D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机动车在桥梁或者非指定的城市道路上试刹车</w:t>
            </w:r>
          </w:p>
        </w:tc>
        <w:tc>
          <w:tcPr>
            <w:tcW w:w="2789" w:type="dxa"/>
            <w:gridSpan w:val="2"/>
            <w:shd w:val="clear" w:color="auto" w:fill="auto"/>
            <w:vAlign w:val="center"/>
          </w:tcPr>
          <w:p w14:paraId="0B2E66B8">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违反条款：《条例》第二十七条第（三）项。处罚条款：《条例》第四十二条：责令限期改正，可以处以2万元以下的罚款。</w:t>
            </w:r>
          </w:p>
        </w:tc>
        <w:tc>
          <w:tcPr>
            <w:tcW w:w="851" w:type="dxa"/>
            <w:shd w:val="clear" w:color="auto" w:fill="auto"/>
            <w:vAlign w:val="center"/>
          </w:tcPr>
          <w:p w14:paraId="3AF2015A">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E668E2D">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096CB26">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2DB97ACE">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DBF8110">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14:paraId="00848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90" w:hRule="atLeast"/>
          <w:jc w:val="center"/>
        </w:trPr>
        <w:tc>
          <w:tcPr>
            <w:tcW w:w="610" w:type="dxa"/>
            <w:shd w:val="clear" w:color="auto" w:fill="auto"/>
            <w:vAlign w:val="center"/>
          </w:tcPr>
          <w:p w14:paraId="31FE099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14:paraId="5507418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擅自在城市道路上建设建筑物、搭建构筑物</w:t>
            </w:r>
          </w:p>
        </w:tc>
        <w:tc>
          <w:tcPr>
            <w:tcW w:w="2789" w:type="dxa"/>
            <w:gridSpan w:val="2"/>
            <w:shd w:val="clear" w:color="auto" w:fill="auto"/>
            <w:vAlign w:val="center"/>
          </w:tcPr>
          <w:p w14:paraId="3A08D82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违反条款：《条例》第二十七条第（四）项；处罚条款：《条例》第四十二条：责令限期改正，可以处以2万元以下的罚款。</w:t>
            </w:r>
          </w:p>
        </w:tc>
        <w:tc>
          <w:tcPr>
            <w:tcW w:w="851" w:type="dxa"/>
            <w:shd w:val="clear" w:color="auto" w:fill="auto"/>
            <w:vAlign w:val="center"/>
          </w:tcPr>
          <w:p w14:paraId="283FCC0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7765737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3927459">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37226FC0">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A54E7F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14:paraId="3B733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19" w:hRule="atLeast"/>
          <w:jc w:val="center"/>
        </w:trPr>
        <w:tc>
          <w:tcPr>
            <w:tcW w:w="610" w:type="dxa"/>
            <w:shd w:val="clear" w:color="auto" w:fill="auto"/>
            <w:vAlign w:val="center"/>
          </w:tcPr>
          <w:p w14:paraId="192F2A7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14:paraId="2CCE4CA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在桥梁上架设压力在4公斤/平方厘米（0.4兆帕）以上的煤气管道、10千伏以上的高压电线和</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易燃易爆管线</w:t>
            </w:r>
          </w:p>
        </w:tc>
        <w:tc>
          <w:tcPr>
            <w:tcW w:w="2789" w:type="dxa"/>
            <w:gridSpan w:val="2"/>
            <w:shd w:val="clear" w:color="auto" w:fill="auto"/>
            <w:vAlign w:val="center"/>
          </w:tcPr>
          <w:p w14:paraId="6C30FF59">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违反条款：《条例》第二十七条第（五）项；处罚条款：《条例》第四十二条 责令限期改正，可以处以2万元以下的罚款。</w:t>
            </w:r>
          </w:p>
        </w:tc>
        <w:tc>
          <w:tcPr>
            <w:tcW w:w="851" w:type="dxa"/>
            <w:shd w:val="clear" w:color="auto" w:fill="auto"/>
            <w:vAlign w:val="center"/>
          </w:tcPr>
          <w:p w14:paraId="7C44D917">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1ACCE7E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89F82C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1.造成人员伤亡或者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严重事故的，系数3；2.对桥梁造成损害影响使用的，系数3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4680F01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30526894">
            <w:pPr>
              <w:spacing w:line="24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default" w:cs="宋体" w:asciiTheme="minorEastAsia" w:hAnsiTheme="minorEastAsia" w:eastAsiaTheme="minorEastAsia"/>
                <w:color w:val="auto"/>
                <w:kern w:val="0"/>
                <w:sz w:val="15"/>
                <w:szCs w:val="15"/>
                <w:highlight w:val="none"/>
                <w:lang w:val="en-US"/>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r>
      <w:tr w14:paraId="13D60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3" w:hRule="atLeast"/>
          <w:jc w:val="center"/>
        </w:trPr>
        <w:tc>
          <w:tcPr>
            <w:tcW w:w="610" w:type="dxa"/>
            <w:shd w:val="clear" w:color="auto" w:fill="auto"/>
            <w:vAlign w:val="center"/>
          </w:tcPr>
          <w:p w14:paraId="194CE95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14:paraId="2ABB56E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擅自在桥梁或者路灯设施上设置广告牌或者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挂浮物</w:t>
            </w:r>
          </w:p>
        </w:tc>
        <w:tc>
          <w:tcPr>
            <w:tcW w:w="2789" w:type="dxa"/>
            <w:gridSpan w:val="2"/>
            <w:shd w:val="clear" w:color="auto" w:fill="auto"/>
            <w:vAlign w:val="center"/>
          </w:tcPr>
          <w:p w14:paraId="5E4D1D4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违反条款：《条例》第二十七条第（六）项；处罚条款：《条例》第四十二条 责令限期改正，可以处以2万元以下的罚款。</w:t>
            </w:r>
          </w:p>
        </w:tc>
        <w:tc>
          <w:tcPr>
            <w:tcW w:w="851" w:type="dxa"/>
            <w:shd w:val="clear" w:color="auto" w:fill="auto"/>
            <w:vAlign w:val="center"/>
          </w:tcPr>
          <w:p w14:paraId="0ECB4A56">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2FB94C7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7DE4C9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严重事故的，系数9；3.对桥梁、路灯设施造成损坏影响使用的，系数9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5E6A2B0B">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D03E45B">
            <w:pPr>
              <w:spacing w:line="24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14:paraId="75AAE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08" w:hRule="atLeast"/>
          <w:jc w:val="center"/>
        </w:trPr>
        <w:tc>
          <w:tcPr>
            <w:tcW w:w="610" w:type="dxa"/>
            <w:shd w:val="clear" w:color="auto" w:fill="auto"/>
            <w:vAlign w:val="center"/>
          </w:tcPr>
          <w:p w14:paraId="64B71479">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14:paraId="6420CEE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擅自依附城市道路、桥梁设置各种管线、杆线等设施</w:t>
            </w:r>
          </w:p>
        </w:tc>
        <w:tc>
          <w:tcPr>
            <w:tcW w:w="2789" w:type="dxa"/>
            <w:gridSpan w:val="2"/>
            <w:shd w:val="clear" w:color="auto" w:fill="auto"/>
            <w:vAlign w:val="center"/>
          </w:tcPr>
          <w:p w14:paraId="67824C8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违反条款：《条例》第二十九条；处罚条款：《条例》第四十二条第（四）项 责令限期改正，可以处以2万元以下的罚款。</w:t>
            </w:r>
          </w:p>
        </w:tc>
        <w:tc>
          <w:tcPr>
            <w:tcW w:w="851" w:type="dxa"/>
            <w:shd w:val="clear" w:color="auto" w:fill="auto"/>
            <w:vAlign w:val="center"/>
          </w:tcPr>
          <w:p w14:paraId="6BBFA09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7B7364A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E9BAD8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1.影响交通通行，或者造成</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安全隐患的，系数4；2.造成行人伤亡或者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p>
          <w:p w14:paraId="153D6DE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3.对桥梁造成损害影响使用的，系数9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2DDE6C93">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BD52AC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14:paraId="6DB0C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57" w:hRule="atLeast"/>
          <w:jc w:val="center"/>
        </w:trPr>
        <w:tc>
          <w:tcPr>
            <w:tcW w:w="610" w:type="dxa"/>
            <w:shd w:val="clear" w:color="auto" w:fill="auto"/>
            <w:vAlign w:val="center"/>
          </w:tcPr>
          <w:p w14:paraId="02C1154E">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14:paraId="2A9D76E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擅自拆改、移动城市道路设施或者设置障碍物</w:t>
            </w:r>
          </w:p>
        </w:tc>
        <w:tc>
          <w:tcPr>
            <w:tcW w:w="2789" w:type="dxa"/>
            <w:gridSpan w:val="2"/>
            <w:shd w:val="clear" w:color="auto" w:fill="auto"/>
            <w:vAlign w:val="center"/>
          </w:tcPr>
          <w:p w14:paraId="2779C64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shd w:val="clear" w:color="auto" w:fill="auto"/>
            <w:vAlign w:val="center"/>
          </w:tcPr>
          <w:p w14:paraId="5AB65EA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07C72B93">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852F1A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42F68ED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52128A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14:paraId="0BAFE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16" w:hRule="atLeast"/>
          <w:jc w:val="center"/>
        </w:trPr>
        <w:tc>
          <w:tcPr>
            <w:tcW w:w="610" w:type="dxa"/>
            <w:shd w:val="clear" w:color="auto" w:fill="auto"/>
            <w:vAlign w:val="center"/>
          </w:tcPr>
          <w:p w14:paraId="72FAD8B6">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14:paraId="2E3C0B1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利用城市桥梁进行牵拉、吊装等施工作业</w:t>
            </w:r>
          </w:p>
        </w:tc>
        <w:tc>
          <w:tcPr>
            <w:tcW w:w="2789" w:type="dxa"/>
            <w:gridSpan w:val="2"/>
            <w:shd w:val="clear" w:color="auto" w:fill="auto"/>
            <w:vAlign w:val="center"/>
          </w:tcPr>
          <w:p w14:paraId="79B5B0B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shd w:val="clear" w:color="auto" w:fill="auto"/>
            <w:vAlign w:val="center"/>
          </w:tcPr>
          <w:p w14:paraId="07E4E63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E27429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D39A5E0">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严重事故的，系数9；3.对桥梁造成损害影响使用的，系数9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2EA3B6F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AFD8B6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r>
      <w:tr w14:paraId="53D5A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33" w:hRule="atLeast"/>
          <w:jc w:val="center"/>
        </w:trPr>
        <w:tc>
          <w:tcPr>
            <w:tcW w:w="14203" w:type="dxa"/>
            <w:gridSpan w:val="13"/>
            <w:shd w:val="clear" w:color="auto" w:fill="auto"/>
            <w:vAlign w:val="center"/>
          </w:tcPr>
          <w:p w14:paraId="4E5E1BF0">
            <w:pPr>
              <w:pStyle w:val="3"/>
              <w:widowControl w:val="0"/>
              <w:spacing w:line="232" w:lineRule="exact"/>
              <w:jc w:val="center"/>
              <w:rPr>
                <w:rFonts w:asciiTheme="minorEastAsia" w:hAnsiTheme="minorEastAsia" w:eastAsiaTheme="minorEastAsia"/>
                <w:color w:val="auto"/>
                <w:sz w:val="15"/>
                <w:szCs w:val="15"/>
                <w:highlight w:val="none"/>
              </w:rPr>
            </w:pPr>
            <w:bookmarkStart w:id="59" w:name="_Toc1973624040"/>
            <w:bookmarkStart w:id="60" w:name="_Toc1235842021"/>
            <w:bookmarkStart w:id="61" w:name="_Toc110851455"/>
            <w:r>
              <w:rPr>
                <w:rFonts w:hint="eastAsia" w:asciiTheme="minorEastAsia" w:hAnsiTheme="minorEastAsia" w:eastAsiaTheme="minorEastAsia"/>
                <w:color w:val="auto"/>
                <w:sz w:val="21"/>
                <w:szCs w:val="21"/>
                <w:highlight w:val="none"/>
              </w:rPr>
              <w:t>《北京市地下设施检查井井盖管理规定》案由5项</w:t>
            </w:r>
            <w:bookmarkEnd w:id="59"/>
            <w:bookmarkEnd w:id="60"/>
            <w:bookmarkEnd w:id="61"/>
          </w:p>
        </w:tc>
      </w:tr>
      <w:tr w14:paraId="03CB6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1" w:hRule="atLeast"/>
          <w:jc w:val="center"/>
        </w:trPr>
        <w:tc>
          <w:tcPr>
            <w:tcW w:w="610" w:type="dxa"/>
            <w:shd w:val="clear" w:color="auto" w:fill="auto"/>
            <w:vAlign w:val="center"/>
          </w:tcPr>
          <w:p w14:paraId="725DF4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48B8A6AE">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井盖管理单位未建立管理制度</w:t>
            </w:r>
          </w:p>
        </w:tc>
        <w:tc>
          <w:tcPr>
            <w:tcW w:w="2789" w:type="dxa"/>
            <w:gridSpan w:val="2"/>
            <w:shd w:val="clear" w:color="auto" w:fill="auto"/>
            <w:vAlign w:val="center"/>
          </w:tcPr>
          <w:p w14:paraId="017D41DF">
            <w:pPr>
              <w:spacing w:line="22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违反条款：第九条第一款；处罚条款：第十一条第一款，责令限期改正，并可处200元以上2000元以下罚款。</w:t>
            </w:r>
          </w:p>
        </w:tc>
        <w:tc>
          <w:tcPr>
            <w:tcW w:w="851" w:type="dxa"/>
            <w:shd w:val="clear" w:color="auto" w:fill="auto"/>
            <w:vAlign w:val="center"/>
          </w:tcPr>
          <w:p w14:paraId="2D47764B">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62B222AE">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98750C2">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5AA2C6B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308C0FB3">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需要给予1000元以下处罚的，报案审会决定。</w:t>
            </w:r>
          </w:p>
        </w:tc>
      </w:tr>
      <w:tr w14:paraId="3DBF6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973" w:hRule="atLeast"/>
          <w:jc w:val="center"/>
        </w:trPr>
        <w:tc>
          <w:tcPr>
            <w:tcW w:w="610" w:type="dxa"/>
            <w:shd w:val="clear" w:color="auto" w:fill="auto"/>
            <w:vAlign w:val="center"/>
          </w:tcPr>
          <w:p w14:paraId="5BF21DB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5AB859EF">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未及时补装、维修或更换井盖</w:t>
            </w:r>
          </w:p>
        </w:tc>
        <w:tc>
          <w:tcPr>
            <w:tcW w:w="2789" w:type="dxa"/>
            <w:gridSpan w:val="2"/>
            <w:shd w:val="clear" w:color="auto" w:fill="auto"/>
            <w:vAlign w:val="center"/>
          </w:tcPr>
          <w:p w14:paraId="4D7FE6AE">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违反条款：第九条第二款；处罚条款：第十一条第一款</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责令限期改正，并可处200元以上2000元以下罚款。</w:t>
            </w:r>
          </w:p>
        </w:tc>
        <w:tc>
          <w:tcPr>
            <w:tcW w:w="851" w:type="dxa"/>
            <w:shd w:val="clear" w:color="auto" w:fill="auto"/>
            <w:vAlign w:val="center"/>
          </w:tcPr>
          <w:p w14:paraId="5E5B24EC">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72D0B2F9">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9D9FC56">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1；2.未在规定时间（城市主要道路、公共场所和居民居住区等地区4小时内，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4小时，系数4；延后5小时，系数5；</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712FC5FE">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E10DE6A">
            <w:pPr>
              <w:spacing w:line="220" w:lineRule="exact"/>
              <w:rPr>
                <w:rFonts w:cs="宋体" w:asciiTheme="minorEastAsia" w:hAnsiTheme="minorEastAsia" w:eastAsiaTheme="minorEastAsia"/>
                <w:color w:val="auto"/>
                <w:kern w:val="0"/>
                <w:sz w:val="15"/>
                <w:szCs w:val="15"/>
                <w:highlight w:val="none"/>
              </w:rPr>
            </w:pPr>
          </w:p>
        </w:tc>
      </w:tr>
      <w:tr w14:paraId="7B239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61" w:hRule="atLeast"/>
          <w:jc w:val="center"/>
        </w:trPr>
        <w:tc>
          <w:tcPr>
            <w:tcW w:w="610" w:type="dxa"/>
            <w:shd w:val="clear" w:color="auto" w:fill="auto"/>
            <w:vAlign w:val="center"/>
          </w:tcPr>
          <w:p w14:paraId="046FC54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44F3C6A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擅自移动井盖</w:t>
            </w:r>
          </w:p>
        </w:tc>
        <w:tc>
          <w:tcPr>
            <w:tcW w:w="2789" w:type="dxa"/>
            <w:gridSpan w:val="2"/>
            <w:shd w:val="clear" w:color="auto" w:fill="auto"/>
            <w:vAlign w:val="center"/>
          </w:tcPr>
          <w:p w14:paraId="1E5B21D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14:paraId="5DCB768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处罚条款：第十一条第一款：责令限期改正，并可处200元以上2000元以下罚款。</w:t>
            </w:r>
          </w:p>
        </w:tc>
        <w:tc>
          <w:tcPr>
            <w:tcW w:w="851" w:type="dxa"/>
            <w:shd w:val="clear" w:color="auto" w:fill="auto"/>
            <w:vAlign w:val="center"/>
          </w:tcPr>
          <w:p w14:paraId="748CD6B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3E07C84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725CB3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擅自移动车站、机场、居民小区、医院、学校、体育场馆、影剧院、繁华商业街区、旅游景区等人口集中地区井盖的，系数4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2.致人伤亡或者损害车辆等严重事故的，系数9。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0567B8F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C205DDD">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14:paraId="444E96FF">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14:paraId="74088A63">
            <w:pPr>
              <w:spacing w:line="232" w:lineRule="exact"/>
              <w:rPr>
                <w:rFonts w:cs="宋体" w:asciiTheme="minorEastAsia" w:hAnsiTheme="minorEastAsia" w:eastAsiaTheme="minorEastAsia"/>
                <w:color w:val="auto"/>
                <w:kern w:val="0"/>
                <w:sz w:val="15"/>
                <w:szCs w:val="15"/>
                <w:highlight w:val="none"/>
              </w:rPr>
            </w:pPr>
          </w:p>
        </w:tc>
      </w:tr>
      <w:tr w14:paraId="7E680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87" w:hRule="atLeast"/>
          <w:jc w:val="center"/>
        </w:trPr>
        <w:tc>
          <w:tcPr>
            <w:tcW w:w="610" w:type="dxa"/>
            <w:shd w:val="clear" w:color="auto" w:fill="auto"/>
            <w:vAlign w:val="center"/>
          </w:tcPr>
          <w:p w14:paraId="678660E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3C17E97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井盖作业未采取安全措施</w:t>
            </w:r>
          </w:p>
        </w:tc>
        <w:tc>
          <w:tcPr>
            <w:tcW w:w="2789" w:type="dxa"/>
            <w:gridSpan w:val="2"/>
            <w:shd w:val="clear" w:color="auto" w:fill="auto"/>
            <w:vAlign w:val="center"/>
          </w:tcPr>
          <w:p w14:paraId="011F4BB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14:paraId="36C44DF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14:paraId="7778A9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0E9CC31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56D878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2.致人伤亡或者损害车辆等严重事故的，系数9。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351F356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DCCEC9F">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14:paraId="5D9DC25E">
            <w:pPr>
              <w:spacing w:line="232" w:lineRule="exact"/>
              <w:rPr>
                <w:rFonts w:cs="宋体" w:asciiTheme="minorEastAsia" w:hAnsiTheme="minorEastAsia" w:eastAsiaTheme="minorEastAsia"/>
                <w:color w:val="auto"/>
                <w:kern w:val="0"/>
                <w:sz w:val="15"/>
                <w:szCs w:val="15"/>
                <w:highlight w:val="none"/>
              </w:rPr>
            </w:pPr>
          </w:p>
        </w:tc>
      </w:tr>
      <w:tr w14:paraId="2C87C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57" w:hRule="atLeast"/>
          <w:jc w:val="center"/>
        </w:trPr>
        <w:tc>
          <w:tcPr>
            <w:tcW w:w="610" w:type="dxa"/>
            <w:shd w:val="clear" w:color="auto" w:fill="auto"/>
            <w:vAlign w:val="center"/>
          </w:tcPr>
          <w:p w14:paraId="600BFE2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69FECA6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井盖作业完毕未及时清理现场、恢复原状</w:t>
            </w:r>
          </w:p>
        </w:tc>
        <w:tc>
          <w:tcPr>
            <w:tcW w:w="2789" w:type="dxa"/>
            <w:gridSpan w:val="2"/>
            <w:shd w:val="clear" w:color="auto" w:fill="auto"/>
            <w:vAlign w:val="center"/>
          </w:tcPr>
          <w:p w14:paraId="23A9069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14:paraId="5AA7F21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14:paraId="66F88FB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02E4DB9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C8C4B3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车站、机场、居民小区、医院、学校、体育场馆、影剧院、繁华商业街区、旅游景区等人口集中地区范围内的，系数4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2.致人伤亡或者损害车辆等严重事故的，系数9。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6ED9C6F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575E9B7">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区域台账与人口集中地区点位重叠时，不适用区域台账。</w:t>
            </w:r>
          </w:p>
          <w:p w14:paraId="1ED61BCE">
            <w:pPr>
              <w:spacing w:line="232" w:lineRule="exact"/>
              <w:rPr>
                <w:rFonts w:cs="宋体" w:asciiTheme="minorEastAsia" w:hAnsiTheme="minorEastAsia" w:eastAsiaTheme="minorEastAsia"/>
                <w:color w:val="auto"/>
                <w:kern w:val="0"/>
                <w:sz w:val="15"/>
                <w:szCs w:val="15"/>
                <w:highlight w:val="none"/>
              </w:rPr>
            </w:pPr>
          </w:p>
        </w:tc>
      </w:tr>
      <w:tr w14:paraId="45ED2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5" w:hRule="atLeast"/>
          <w:jc w:val="center"/>
        </w:trPr>
        <w:tc>
          <w:tcPr>
            <w:tcW w:w="14203" w:type="dxa"/>
            <w:gridSpan w:val="13"/>
            <w:shd w:val="clear" w:color="auto" w:fill="auto"/>
            <w:vAlign w:val="center"/>
          </w:tcPr>
          <w:p w14:paraId="7E0995C2">
            <w:pPr>
              <w:pStyle w:val="2"/>
              <w:keepNext w:val="0"/>
              <w:keepLines w:val="0"/>
              <w:rPr>
                <w:rFonts w:ascii="黑体" w:hAnsi="黑体" w:eastAsia="黑体"/>
                <w:b w:val="0"/>
                <w:color w:val="auto"/>
                <w:sz w:val="24"/>
                <w:szCs w:val="24"/>
                <w:highlight w:val="none"/>
              </w:rPr>
            </w:pPr>
            <w:bookmarkStart w:id="62" w:name="_Toc1832948651"/>
            <w:bookmarkStart w:id="63" w:name="_Toc1693504403"/>
            <w:bookmarkStart w:id="64" w:name="_Toc110851456"/>
            <w:r>
              <w:rPr>
                <w:rFonts w:hint="eastAsia" w:ascii="黑体" w:hAnsi="黑体" w:eastAsia="黑体"/>
                <w:b w:val="0"/>
                <w:color w:val="auto"/>
                <w:sz w:val="28"/>
                <w:szCs w:val="28"/>
                <w:highlight w:val="none"/>
              </w:rPr>
              <w:t>公用事业管理方面</w:t>
            </w:r>
            <w:bookmarkEnd w:id="62"/>
            <w:bookmarkEnd w:id="63"/>
            <w:bookmarkEnd w:id="64"/>
          </w:p>
        </w:tc>
      </w:tr>
      <w:tr w14:paraId="3FC09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54" w:hRule="atLeast"/>
          <w:jc w:val="center"/>
        </w:trPr>
        <w:tc>
          <w:tcPr>
            <w:tcW w:w="14203" w:type="dxa"/>
            <w:gridSpan w:val="13"/>
            <w:shd w:val="clear" w:color="auto" w:fill="auto"/>
            <w:vAlign w:val="center"/>
          </w:tcPr>
          <w:p w14:paraId="3CDA342F">
            <w:pPr>
              <w:pStyle w:val="3"/>
              <w:widowControl w:val="0"/>
              <w:spacing w:line="232" w:lineRule="exact"/>
              <w:jc w:val="center"/>
              <w:rPr>
                <w:rFonts w:asciiTheme="minorEastAsia" w:hAnsiTheme="minorEastAsia" w:eastAsiaTheme="minorEastAsia"/>
                <w:color w:val="auto"/>
                <w:sz w:val="15"/>
                <w:szCs w:val="15"/>
                <w:highlight w:val="none"/>
              </w:rPr>
            </w:pPr>
            <w:bookmarkStart w:id="65" w:name="_Toc1349825120"/>
            <w:bookmarkStart w:id="66" w:name="_Toc249493279"/>
            <w:bookmarkStart w:id="67" w:name="_Toc110851457"/>
            <w:r>
              <w:rPr>
                <w:rFonts w:hint="eastAsia" w:asciiTheme="minorEastAsia" w:hAnsiTheme="minorEastAsia" w:eastAsiaTheme="minorEastAsia"/>
                <w:color w:val="auto"/>
                <w:sz w:val="21"/>
                <w:szCs w:val="21"/>
                <w:highlight w:val="none"/>
              </w:rPr>
              <w:t>《城镇燃气管理条例》案由30项</w:t>
            </w:r>
            <w:bookmarkEnd w:id="65"/>
            <w:bookmarkEnd w:id="66"/>
            <w:bookmarkEnd w:id="67"/>
          </w:p>
        </w:tc>
      </w:tr>
      <w:tr w14:paraId="6D35C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79" w:hRule="atLeast"/>
          <w:jc w:val="center"/>
        </w:trPr>
        <w:tc>
          <w:tcPr>
            <w:tcW w:w="610" w:type="dxa"/>
            <w:shd w:val="clear" w:color="auto" w:fill="auto"/>
            <w:vAlign w:val="center"/>
          </w:tcPr>
          <w:p w14:paraId="6BFEEFF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082068A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未取得燃气经营许可从事经营活动</w:t>
            </w:r>
          </w:p>
        </w:tc>
        <w:tc>
          <w:tcPr>
            <w:tcW w:w="2789" w:type="dxa"/>
            <w:gridSpan w:val="2"/>
            <w:shd w:val="clear" w:color="auto" w:fill="auto"/>
            <w:vAlign w:val="center"/>
          </w:tcPr>
          <w:p w14:paraId="298150DE">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违反条款：第十五条第一款；处罚条款：第四十五条第一款 责令停止违法行为，处5万元以上50万元以下罚款。有违法所得的，没收违法所得。</w:t>
            </w:r>
          </w:p>
        </w:tc>
        <w:tc>
          <w:tcPr>
            <w:tcW w:w="851" w:type="dxa"/>
            <w:shd w:val="clear" w:color="auto" w:fill="auto"/>
            <w:vAlign w:val="center"/>
          </w:tcPr>
          <w:p w14:paraId="4B7C612C">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7FF61989">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E764EA0">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1.跨区级区域经营的或者违规经营规模较大(气瓶数量超过28个)，系数5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3366503D">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bottom w:val="single" w:color="auto" w:sz="4" w:space="0"/>
            </w:tcBorders>
            <w:shd w:val="clear" w:color="auto" w:fill="auto"/>
            <w:vAlign w:val="center"/>
          </w:tcPr>
          <w:p w14:paraId="51AD33B3">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p>
        </w:tc>
      </w:tr>
      <w:tr w14:paraId="514F8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970" w:hRule="atLeast"/>
          <w:jc w:val="center"/>
        </w:trPr>
        <w:tc>
          <w:tcPr>
            <w:tcW w:w="610" w:type="dxa"/>
            <w:shd w:val="clear" w:color="auto" w:fill="auto"/>
            <w:vAlign w:val="center"/>
          </w:tcPr>
          <w:p w14:paraId="5838495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46FAA6FC">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不按照燃气经营许可的规定从事经营活动</w:t>
            </w:r>
          </w:p>
        </w:tc>
        <w:tc>
          <w:tcPr>
            <w:tcW w:w="2789" w:type="dxa"/>
            <w:gridSpan w:val="2"/>
            <w:shd w:val="clear" w:color="auto" w:fill="auto"/>
            <w:vAlign w:val="center"/>
          </w:tcPr>
          <w:p w14:paraId="4E026D9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vAlign w:val="center"/>
          </w:tcPr>
          <w:p w14:paraId="7A221075">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14:paraId="7F5C3B0E">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10DAA30">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宋体" w:asciiTheme="minorEastAsia" w:hAnsiTheme="minorEastAsia" w:eastAsiaTheme="minorEastAsia"/>
                <w:color w:val="auto"/>
                <w:kern w:val="0"/>
                <w:sz w:val="15"/>
                <w:szCs w:val="15"/>
                <w:highlight w:val="none"/>
              </w:rPr>
              <w:t>，或者经营场所在人口集中地区、人员密集场所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tcBorders>
              <w:right w:val="single" w:color="auto" w:sz="4" w:space="0"/>
            </w:tcBorders>
            <w:shd w:val="clear" w:color="auto" w:fill="auto"/>
            <w:vAlign w:val="center"/>
          </w:tcPr>
          <w:p w14:paraId="4753CD8D">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360F19ED">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cs="宋体" w:asciiTheme="minorEastAsia" w:hAnsiTheme="minorEastAsia" w:eastAsiaTheme="minorEastAsia"/>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43988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96" w:hRule="atLeast"/>
          <w:jc w:val="center"/>
        </w:trPr>
        <w:tc>
          <w:tcPr>
            <w:tcW w:w="610" w:type="dxa"/>
            <w:shd w:val="clear" w:color="auto" w:fill="auto"/>
            <w:vAlign w:val="center"/>
          </w:tcPr>
          <w:p w14:paraId="0506BF9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2A79DF0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拒绝向市政燃气管网覆盖范围内符合用气条件的单位或者个人供气</w:t>
            </w:r>
          </w:p>
        </w:tc>
        <w:tc>
          <w:tcPr>
            <w:tcW w:w="2789" w:type="dxa"/>
            <w:gridSpan w:val="2"/>
            <w:shd w:val="clear" w:color="auto" w:fill="auto"/>
            <w:vAlign w:val="center"/>
          </w:tcPr>
          <w:p w14:paraId="53152F9A">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vAlign w:val="center"/>
          </w:tcPr>
          <w:p w14:paraId="661E7E2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56CE4F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75078F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1.断供超过12小时的，或影响1000户以上（含1000户）居民无法正常供气超过2小时的，系数9；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3E191E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top w:val="single" w:color="auto" w:sz="4" w:space="0"/>
            </w:tcBorders>
            <w:shd w:val="clear" w:color="auto" w:fill="FFFFFF"/>
            <w:vAlign w:val="center"/>
          </w:tcPr>
          <w:p w14:paraId="21A86DE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w:t>
            </w:r>
            <w:r>
              <w:rPr>
                <w:rFonts w:asciiTheme="minorEastAsia" w:hAnsiTheme="minorEastAsia" w:eastAsiaTheme="minorEastAsia"/>
                <w:color w:val="auto"/>
                <w:sz w:val="15"/>
                <w:szCs w:val="15"/>
                <w:highlight w:val="none"/>
              </w:rPr>
              <w:t>市政燃气管网覆盖范围内</w:t>
            </w:r>
            <w:r>
              <w:rPr>
                <w:rFonts w:hint="eastAsia" w:asciiTheme="minorEastAsia" w:hAnsiTheme="minorEastAsia" w:eastAsiaTheme="minorEastAsia"/>
                <w:color w:val="auto"/>
                <w:sz w:val="15"/>
                <w:szCs w:val="15"/>
                <w:highlight w:val="none"/>
              </w:rPr>
              <w:t>燃气断供超过12小时的，或影响1000户以上（含1000户）居民无法正常供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4FE28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740" w:hRule="atLeast"/>
          <w:jc w:val="center"/>
        </w:trPr>
        <w:tc>
          <w:tcPr>
            <w:tcW w:w="610" w:type="dxa"/>
            <w:shd w:val="clear" w:color="auto" w:fill="auto"/>
            <w:vAlign w:val="center"/>
          </w:tcPr>
          <w:p w14:paraId="2CC9FF3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24F28506">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倒卖、抵押、出租、出借、转让、涂改燃气经营许可证</w:t>
            </w:r>
          </w:p>
        </w:tc>
        <w:tc>
          <w:tcPr>
            <w:tcW w:w="2789" w:type="dxa"/>
            <w:gridSpan w:val="2"/>
            <w:shd w:val="clear" w:color="auto" w:fill="auto"/>
            <w:vAlign w:val="center"/>
          </w:tcPr>
          <w:p w14:paraId="34332C8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vAlign w:val="center"/>
          </w:tcPr>
          <w:p w14:paraId="2A60710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7BA622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1236BF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燃气安全隐患的，系数9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2F4817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14:paraId="1C33A27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0A102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685" w:hRule="atLeast"/>
          <w:jc w:val="center"/>
        </w:trPr>
        <w:tc>
          <w:tcPr>
            <w:tcW w:w="610" w:type="dxa"/>
            <w:shd w:val="clear" w:color="auto" w:fill="auto"/>
            <w:vAlign w:val="center"/>
          </w:tcPr>
          <w:p w14:paraId="0AE2B9D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39B57DA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擅自停止供气、调整供气量，或者擅自停业或者歇业</w:t>
            </w:r>
          </w:p>
        </w:tc>
        <w:tc>
          <w:tcPr>
            <w:tcW w:w="2789" w:type="dxa"/>
            <w:gridSpan w:val="2"/>
            <w:shd w:val="clear" w:color="auto" w:fill="auto"/>
            <w:vAlign w:val="center"/>
          </w:tcPr>
          <w:p w14:paraId="321FEF5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vAlign w:val="center"/>
          </w:tcPr>
          <w:p w14:paraId="5BB86A8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9C916C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9C47026">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1.断供超过12小时的，或者100户以上（含100户）居民无法正常用气超过24小时的；或影响1000户以上（含1000户）居民无法正常供气超过2小时的，系数9；</w:t>
            </w:r>
          </w:p>
          <w:p w14:paraId="45A4F2E0">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9FE0CBE">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14:paraId="1D95A64C">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 2.导致</w:t>
            </w:r>
            <w:r>
              <w:rPr>
                <w:rFonts w:asciiTheme="minorEastAsia" w:hAnsiTheme="minorEastAsia" w:eastAsiaTheme="minorEastAsia"/>
                <w:color w:val="auto"/>
                <w:sz w:val="15"/>
                <w:szCs w:val="15"/>
                <w:highlight w:val="none"/>
              </w:rPr>
              <w:t>燃气管网覆盖范围内</w:t>
            </w:r>
            <w:r>
              <w:rPr>
                <w:rFonts w:hint="eastAsia" w:asciiTheme="minorEastAsia" w:hAnsiTheme="minorEastAsia" w:eastAsiaTheme="minorEastAsia"/>
                <w:color w:val="auto"/>
                <w:sz w:val="15"/>
                <w:szCs w:val="15"/>
                <w:highlight w:val="none"/>
              </w:rPr>
              <w:t>燃气断供超过12小时，或者100户以上（含100户）居民无法正常用气超过24小时的；或影响1000户以上（含1000户）居民无法正常供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26CA6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71" w:hRule="atLeast"/>
          <w:jc w:val="center"/>
        </w:trPr>
        <w:tc>
          <w:tcPr>
            <w:tcW w:w="610" w:type="dxa"/>
            <w:shd w:val="clear" w:color="auto" w:fill="auto"/>
            <w:vAlign w:val="center"/>
          </w:tcPr>
          <w:p w14:paraId="7E59E10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6901763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向未取得燃气经营许可证的单位或者个人提供用于经营的燃气</w:t>
            </w:r>
          </w:p>
        </w:tc>
        <w:tc>
          <w:tcPr>
            <w:tcW w:w="2789" w:type="dxa"/>
            <w:gridSpan w:val="2"/>
            <w:shd w:val="clear" w:color="auto" w:fill="auto"/>
            <w:vAlign w:val="center"/>
          </w:tcPr>
          <w:p w14:paraId="0C2D4AC3">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vAlign w:val="center"/>
          </w:tcPr>
          <w:p w14:paraId="2E41832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C136C9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B25B2D9">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提供液化石油气瓶数量</w:t>
            </w:r>
            <w:r>
              <w:rPr>
                <w:rFonts w:hint="eastAsia" w:ascii="宋体" w:hAnsi="宋体" w:cs="宋体"/>
                <w:b w:val="0"/>
                <w:bCs w:val="0"/>
                <w:color w:val="auto"/>
                <w:kern w:val="0"/>
                <w:sz w:val="15"/>
                <w:szCs w:val="15"/>
                <w:highlight w:val="none"/>
                <w:lang w:val="en-US" w:eastAsia="zh-CN"/>
              </w:rPr>
              <w:t>5个及以上的，系数1；10个及以上的，系数2；15个及以上的，系数3；20个及以上的，系数4；25个及以上的，系数5；以此类推，45个及以上的，系数9。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.持续时间超过半年的，系数4；持续时间1年以上，系数9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293BE54D">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14:paraId="2E30150B">
            <w:pPr>
              <w:keepNext w:val="0"/>
              <w:keepLines w:val="0"/>
              <w:pageBreakBefore w:val="0"/>
              <w:widowControl w:val="0"/>
              <w:kinsoku/>
              <w:wordWrap/>
              <w:overflowPunct/>
              <w:topLinePunct w:val="0"/>
              <w:autoSpaceDE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4619A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935" w:hRule="atLeast"/>
          <w:jc w:val="center"/>
        </w:trPr>
        <w:tc>
          <w:tcPr>
            <w:tcW w:w="610" w:type="dxa"/>
            <w:shd w:val="clear" w:color="auto" w:fill="auto"/>
            <w:vAlign w:val="center"/>
          </w:tcPr>
          <w:p w14:paraId="77DAD2B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14:paraId="0B43FDC1">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燃气经营者在不具备安全条件的场所储存燃气</w:t>
            </w:r>
          </w:p>
        </w:tc>
        <w:tc>
          <w:tcPr>
            <w:tcW w:w="2789" w:type="dxa"/>
            <w:gridSpan w:val="2"/>
            <w:shd w:val="clear" w:color="auto" w:fill="auto"/>
            <w:vAlign w:val="center"/>
          </w:tcPr>
          <w:p w14:paraId="474442AD">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vAlign w:val="center"/>
          </w:tcPr>
          <w:p w14:paraId="7077BC87">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B248AA5">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CE9902D">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color w:val="auto"/>
                <w:kern w:val="0"/>
                <w:sz w:val="15"/>
                <w:szCs w:val="15"/>
                <w:highlight w:val="none"/>
                <w:lang w:val="en-US" w:eastAsia="zh-CN"/>
              </w:rPr>
              <w:t>2个及以上不合格安全条件的，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4个及以上的，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6个及以上的，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7；8个及以上的，系数9</w:t>
            </w:r>
            <w:r>
              <w:rPr>
                <w:rFonts w:hint="eastAsia" w:ascii="宋体" w:hAnsi="宋体" w:eastAsia="宋体" w:cs="宋体"/>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397A35D">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14:paraId="3E2FAF8D">
            <w:pPr>
              <w:keepNext w:val="0"/>
              <w:keepLines w:val="0"/>
              <w:pageBreakBefore w:val="0"/>
              <w:widowControl w:val="0"/>
              <w:kinsoku/>
              <w:wordWrap/>
              <w:overflowPunct/>
              <w:topLinePunct w:val="0"/>
              <w:autoSpaceDE w:val="0"/>
              <w:autoSpaceDN/>
              <w:bidi w:val="0"/>
              <w:adjustRightInd/>
              <w:snapToGrid/>
              <w:spacing w:line="210"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6A2FC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990" w:hRule="atLeast"/>
          <w:jc w:val="center"/>
        </w:trPr>
        <w:tc>
          <w:tcPr>
            <w:tcW w:w="610" w:type="dxa"/>
            <w:shd w:val="clear" w:color="auto" w:fill="auto"/>
            <w:vAlign w:val="center"/>
          </w:tcPr>
          <w:p w14:paraId="1FFDAF1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14:paraId="5B4C606A">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要求燃气用户购买其指定的产品或者接受其提供的服务</w:t>
            </w:r>
          </w:p>
        </w:tc>
        <w:tc>
          <w:tcPr>
            <w:tcW w:w="2789" w:type="dxa"/>
            <w:gridSpan w:val="2"/>
            <w:shd w:val="clear" w:color="auto" w:fill="auto"/>
            <w:vAlign w:val="center"/>
          </w:tcPr>
          <w:p w14:paraId="5173B0D8">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vAlign w:val="center"/>
          </w:tcPr>
          <w:p w14:paraId="367F5FC3">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72B5C1DB">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CBCCA0E">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涉及燃气非居民、居民用户</w:t>
            </w:r>
            <w:r>
              <w:rPr>
                <w:rFonts w:hint="eastAsia" w:ascii="宋体" w:hAnsi="宋体" w:cs="宋体"/>
                <w:b w:val="0"/>
                <w:bCs w:val="0"/>
                <w:color w:val="auto"/>
                <w:kern w:val="0"/>
                <w:sz w:val="15"/>
                <w:szCs w:val="15"/>
                <w:highlight w:val="none"/>
                <w:lang w:val="en-US" w:eastAsia="zh-CN"/>
              </w:rPr>
              <w:t>5户及以上的，系数1；10户及以上的，系数3；15户及以上的，系数5；20户及以上的，系数7；25户及以上的，系数9。2.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发生燃气安全事故，经事故调查部门认定，事故发生与其提供的产品或服务存在因果关系的，系数9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482A805">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14:paraId="20EF538D">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3F09E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6F6B082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14:paraId="735445A8">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未向燃气用户持续、稳定、安全供应符合国家质量标准的燃气，或者未对燃气用户的燃气设施定期进行安全检查</w:t>
            </w:r>
          </w:p>
        </w:tc>
        <w:tc>
          <w:tcPr>
            <w:tcW w:w="2789" w:type="dxa"/>
            <w:gridSpan w:val="2"/>
            <w:shd w:val="clear" w:color="auto" w:fill="auto"/>
            <w:vAlign w:val="center"/>
          </w:tcPr>
          <w:p w14:paraId="7481A1CA">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vAlign w:val="center"/>
          </w:tcPr>
          <w:p w14:paraId="3DAAF06E">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DEE0BCD">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EAA9054">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.发生燃气安全事故，经事故调查部门认定，事故发生与其提供的燃气质量不符合国家标准，或者未履行定期安全检查义务存在因果关系的，系数9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02354349">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FFFFFF"/>
            <w:vAlign w:val="center"/>
          </w:tcPr>
          <w:p w14:paraId="230BA17B">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4D393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20" w:hRule="atLeast"/>
          <w:jc w:val="center"/>
        </w:trPr>
        <w:tc>
          <w:tcPr>
            <w:tcW w:w="610" w:type="dxa"/>
            <w:shd w:val="clear" w:color="auto" w:fill="auto"/>
            <w:vAlign w:val="center"/>
          </w:tcPr>
          <w:p w14:paraId="58A5699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14:paraId="12A0B0A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销售充装单位擅自为非自有气瓶充装的瓶装燃气</w:t>
            </w:r>
          </w:p>
        </w:tc>
        <w:tc>
          <w:tcPr>
            <w:tcW w:w="2789" w:type="dxa"/>
            <w:gridSpan w:val="2"/>
            <w:shd w:val="clear" w:color="auto" w:fill="auto"/>
            <w:vAlign w:val="center"/>
          </w:tcPr>
          <w:p w14:paraId="6406B8E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违反条款：第十八条第（八）项；处罚条款：第四十七条第二款 责令改正，可以处1万元以下罚款</w:t>
            </w:r>
          </w:p>
        </w:tc>
        <w:tc>
          <w:tcPr>
            <w:tcW w:w="851" w:type="dxa"/>
            <w:shd w:val="clear" w:color="auto" w:fill="auto"/>
            <w:vAlign w:val="center"/>
          </w:tcPr>
          <w:p w14:paraId="125677D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69B7753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F8E5B5E">
            <w:pPr>
              <w:spacing w:line="232" w:lineRule="exact"/>
              <w:rPr>
                <w:rFonts w:cs="宋体" w:asciiTheme="minorEastAsia" w:hAnsiTheme="minorEastAsia" w:eastAsiaTheme="minorEastAsia"/>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cs="宋体"/>
                <w:b w:val="0"/>
                <w:bCs w:val="0"/>
                <w:color w:val="auto"/>
                <w:kern w:val="0"/>
                <w:sz w:val="15"/>
                <w:szCs w:val="15"/>
                <w:highlight w:val="none"/>
                <w:lang w:eastAsia="zh-CN"/>
              </w:rPr>
              <w:t>充装气瓶数量</w:t>
            </w:r>
            <w:r>
              <w:rPr>
                <w:rFonts w:hint="eastAsia" w:ascii="宋体" w:hAnsi="宋体" w:cs="宋体"/>
                <w:b w:val="0"/>
                <w:bCs w:val="0"/>
                <w:color w:val="auto"/>
                <w:kern w:val="0"/>
                <w:sz w:val="15"/>
                <w:szCs w:val="15"/>
                <w:highlight w:val="none"/>
                <w:lang w:val="en-US" w:eastAsia="zh-CN"/>
              </w:rPr>
              <w:t>5个及以上的，系数1；10个及以上的，系数2；15个及以上的，系数3；20个及以上的，系数4；25个及以上的，系数5；以此类推，45个及以上的，系数9。2.</w:t>
            </w:r>
            <w:r>
              <w:rPr>
                <w:rFonts w:hint="eastAsia" w:cs="宋体" w:asciiTheme="minorEastAsia" w:hAnsiTheme="minorEastAsia" w:eastAsiaTheme="minorEastAsia"/>
                <w:b w:val="0"/>
                <w:bCs w:val="0"/>
                <w:color w:val="auto"/>
                <w:kern w:val="0"/>
                <w:sz w:val="15"/>
                <w:szCs w:val="15"/>
                <w:highlight w:val="none"/>
              </w:rPr>
              <w:t>违法行为持续时间超过半年的，系数4；1年以上，系数9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.发生相关燃气安全事故的，系数9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3592262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24010D56">
            <w:pPr>
              <w:spacing w:line="232" w:lineRule="exact"/>
              <w:rPr>
                <w:rFonts w:cs="宋体" w:asciiTheme="minorEastAsia" w:hAnsiTheme="minorEastAsia" w:eastAsiaTheme="minorEastAsia"/>
                <w:color w:val="auto"/>
                <w:kern w:val="0"/>
                <w:sz w:val="15"/>
                <w:szCs w:val="15"/>
                <w:highlight w:val="none"/>
              </w:rPr>
            </w:pPr>
          </w:p>
        </w:tc>
      </w:tr>
      <w:tr w14:paraId="2B074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99" w:hRule="atLeast"/>
          <w:jc w:val="center"/>
        </w:trPr>
        <w:tc>
          <w:tcPr>
            <w:tcW w:w="610" w:type="dxa"/>
            <w:vMerge w:val="restart"/>
            <w:shd w:val="clear" w:color="auto" w:fill="auto"/>
            <w:vAlign w:val="center"/>
          </w:tcPr>
          <w:p w14:paraId="0B85C0F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vMerge w:val="restart"/>
            <w:shd w:val="clear" w:color="auto" w:fill="auto"/>
            <w:vAlign w:val="center"/>
          </w:tcPr>
          <w:p w14:paraId="6204AE3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未按规定设置燃气设施保护装置和安全警示标志</w:t>
            </w:r>
          </w:p>
        </w:tc>
        <w:tc>
          <w:tcPr>
            <w:tcW w:w="2789" w:type="dxa"/>
            <w:gridSpan w:val="2"/>
            <w:shd w:val="clear" w:color="auto" w:fill="auto"/>
            <w:vAlign w:val="center"/>
          </w:tcPr>
          <w:p w14:paraId="44E868FD">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《城镇燃气管理条例》违反条款：第三十五条；处罚条款：第四十八条 责令限期改正，处1万元以上10万元以下罚款。</w:t>
            </w:r>
          </w:p>
        </w:tc>
        <w:tc>
          <w:tcPr>
            <w:tcW w:w="851" w:type="dxa"/>
            <w:shd w:val="clear" w:color="auto" w:fill="auto"/>
            <w:vAlign w:val="center"/>
          </w:tcPr>
          <w:p w14:paraId="32D3B7F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C563D4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B3982A5">
            <w:pPr>
              <w:spacing w:line="232" w:lineRule="exact"/>
              <w:rPr>
                <w:rFonts w:cs="宋体" w:asciiTheme="minorEastAsia" w:hAnsiTheme="minorEastAsia" w:eastAsiaTheme="minorEastAsia"/>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未按规定设置燃气设施保护装置和安全警示标志</w:t>
            </w:r>
            <w:r>
              <w:rPr>
                <w:rFonts w:hint="eastAsia" w:ascii="宋体" w:hAnsi="宋体" w:eastAsia="宋体" w:cs="宋体"/>
                <w:b w:val="0"/>
                <w:bCs w:val="0"/>
                <w:color w:val="auto"/>
                <w:kern w:val="0"/>
                <w:sz w:val="15"/>
                <w:szCs w:val="15"/>
                <w:highlight w:val="none"/>
                <w:lang w:val="en-US" w:eastAsia="zh-CN"/>
              </w:rPr>
              <w:t>2处的，系数1；</w:t>
            </w:r>
            <w:r>
              <w:rPr>
                <w:rFonts w:hint="eastAsia" w:ascii="宋体" w:hAnsi="宋体" w:cs="宋体"/>
                <w:b w:val="0"/>
                <w:bCs w:val="0"/>
                <w:color w:val="auto"/>
                <w:kern w:val="0"/>
                <w:sz w:val="15"/>
                <w:szCs w:val="15"/>
                <w:highlight w:val="none"/>
                <w:lang w:val="en-US" w:eastAsia="zh-CN"/>
              </w:rPr>
              <w:t>3处的，系数2；</w:t>
            </w:r>
            <w:r>
              <w:rPr>
                <w:rFonts w:hint="eastAsia" w:ascii="宋体" w:hAnsi="宋体" w:eastAsia="宋体" w:cs="宋体"/>
                <w:b w:val="0"/>
                <w:bCs w:val="0"/>
                <w:color w:val="auto"/>
                <w:kern w:val="0"/>
                <w:sz w:val="15"/>
                <w:szCs w:val="15"/>
                <w:highlight w:val="none"/>
                <w:lang w:val="en-US" w:eastAsia="zh-CN"/>
              </w:rPr>
              <w:t>4处的，系数3；</w:t>
            </w:r>
            <w:r>
              <w:rPr>
                <w:rFonts w:hint="eastAsia" w:ascii="宋体" w:hAnsi="宋体" w:cs="宋体"/>
                <w:b w:val="0"/>
                <w:bCs w:val="0"/>
                <w:color w:val="auto"/>
                <w:kern w:val="0"/>
                <w:sz w:val="15"/>
                <w:szCs w:val="15"/>
                <w:highlight w:val="none"/>
                <w:lang w:val="en-US" w:eastAsia="zh-CN"/>
              </w:rPr>
              <w:t>5处的，系数4；6处的，系数5；</w:t>
            </w:r>
            <w:r>
              <w:rPr>
                <w:rFonts w:hint="eastAsia" w:ascii="宋体" w:hAnsi="宋体" w:eastAsia="宋体" w:cs="宋体"/>
                <w:b w:val="0"/>
                <w:bCs w:val="0"/>
                <w:color w:val="auto"/>
                <w:kern w:val="0"/>
                <w:sz w:val="15"/>
                <w:szCs w:val="15"/>
                <w:highlight w:val="none"/>
                <w:lang w:val="en-US" w:eastAsia="zh-CN"/>
              </w:rPr>
              <w:t>以此类推</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每增加1处，系数加1，10处及以上的，系数9。</w:t>
            </w:r>
            <w:r>
              <w:rPr>
                <w:rFonts w:hint="eastAsia" w:cs="宋体" w:asciiTheme="minorEastAsia" w:hAnsiTheme="minorEastAsia" w:eastAsiaTheme="minorEastAsia"/>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发生在人口集中地区或人员密集场所的，系数4</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D484D0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75E2ABF">
            <w:pPr>
              <w:spacing w:line="232" w:lineRule="exact"/>
              <w:rPr>
                <w:rFonts w:cs="宋体" w:asciiTheme="minorEastAsia" w:hAnsiTheme="minorEastAsia" w:eastAsiaTheme="minorEastAsia"/>
                <w:color w:val="auto"/>
                <w:kern w:val="0"/>
                <w:sz w:val="15"/>
                <w:szCs w:val="15"/>
                <w:highlight w:val="none"/>
              </w:rPr>
            </w:pPr>
          </w:p>
        </w:tc>
      </w:tr>
      <w:tr w14:paraId="2CAD3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751" w:hRule="atLeast"/>
          <w:jc w:val="center"/>
        </w:trPr>
        <w:tc>
          <w:tcPr>
            <w:tcW w:w="610" w:type="dxa"/>
            <w:vMerge w:val="continue"/>
            <w:shd w:val="clear" w:color="auto" w:fill="auto"/>
            <w:vAlign w:val="center"/>
          </w:tcPr>
          <w:p w14:paraId="2CD36554">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4B7E7DA8">
            <w:pPr>
              <w:spacing w:line="232" w:lineRule="exact"/>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14:paraId="2AD53AA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14:paraId="7FB592C5">
            <w:pPr>
              <w:spacing w:line="232" w:lineRule="exact"/>
              <w:rPr>
                <w:rFonts w:cs="宋体" w:asciiTheme="minorEastAsia" w:hAnsiTheme="minorEastAsia" w:eastAsiaTheme="minorEastAsia"/>
                <w:strike/>
                <w:dstrike w:val="0"/>
                <w:color w:val="auto"/>
                <w:kern w:val="0"/>
                <w:sz w:val="15"/>
                <w:szCs w:val="15"/>
                <w:highlight w:val="none"/>
              </w:rPr>
            </w:pPr>
          </w:p>
          <w:p w14:paraId="27BB8332">
            <w:pPr>
              <w:pStyle w:val="8"/>
              <w:rPr>
                <w:rFonts w:hint="eastAsia"/>
                <w:color w:val="auto"/>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14:paraId="66F31065">
            <w:pPr>
              <w:spacing w:line="232" w:lineRule="exact"/>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14:paraId="7BEDEC78">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对燃气经营者</w:t>
            </w:r>
            <w:r>
              <w:rPr>
                <w:rFonts w:hint="eastAsia" w:cs="宋体" w:asciiTheme="minorEastAsia" w:hAnsiTheme="minorEastAsia" w:eastAsiaTheme="minorEastAsia"/>
                <w:color w:val="auto"/>
                <w:kern w:val="0"/>
                <w:sz w:val="15"/>
                <w:szCs w:val="15"/>
                <w:highlight w:val="none"/>
              </w:rPr>
              <w:t>的</w:t>
            </w:r>
            <w:r>
              <w:rPr>
                <w:rFonts w:cs="宋体" w:asciiTheme="minorEastAsia" w:hAnsiTheme="minorEastAsia" w:eastAsiaTheme="minorEastAsia"/>
                <w:color w:val="auto"/>
                <w:kern w:val="0"/>
                <w:sz w:val="15"/>
                <w:szCs w:val="15"/>
                <w:highlight w:val="none"/>
              </w:rPr>
              <w:t>违法行为，适用《城镇燃气管理条例》处罚。逾期未改正的，应另行立案，适用《中华人民共和国安全生产法》“逾期未改正”情形处罚。</w:t>
            </w:r>
          </w:p>
        </w:tc>
      </w:tr>
      <w:tr w14:paraId="11DFE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24" w:hRule="atLeast"/>
          <w:jc w:val="center"/>
        </w:trPr>
        <w:tc>
          <w:tcPr>
            <w:tcW w:w="610" w:type="dxa"/>
            <w:shd w:val="clear" w:color="auto" w:fill="auto"/>
            <w:vAlign w:val="center"/>
          </w:tcPr>
          <w:p w14:paraId="3B5E7EC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14:paraId="6882DE3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燃气经营者未定期进行巡查、检测、维修和维护 </w:t>
            </w:r>
          </w:p>
        </w:tc>
        <w:tc>
          <w:tcPr>
            <w:tcW w:w="2789" w:type="dxa"/>
            <w:gridSpan w:val="2"/>
            <w:shd w:val="clear" w:color="auto" w:fill="auto"/>
            <w:vAlign w:val="center"/>
          </w:tcPr>
          <w:p w14:paraId="12BE0192">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违反条款：第三十五条；处罚条款：第四十八条 责令限期改正，处1万元以上10万元以下罚款。</w:t>
            </w:r>
          </w:p>
        </w:tc>
        <w:tc>
          <w:tcPr>
            <w:tcW w:w="851" w:type="dxa"/>
            <w:shd w:val="clear" w:color="auto" w:fill="auto"/>
            <w:vAlign w:val="center"/>
          </w:tcPr>
          <w:p w14:paraId="0C3BEB1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84F556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2D4767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 xml:space="preserve"> </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AD9441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4C5550E">
            <w:pPr>
              <w:spacing w:line="232" w:lineRule="exact"/>
              <w:rPr>
                <w:rFonts w:cs="宋体" w:asciiTheme="minorEastAsia" w:hAnsiTheme="minorEastAsia" w:eastAsiaTheme="minorEastAsia"/>
                <w:color w:val="auto"/>
                <w:kern w:val="0"/>
                <w:sz w:val="15"/>
                <w:szCs w:val="15"/>
                <w:highlight w:val="none"/>
              </w:rPr>
            </w:pPr>
          </w:p>
        </w:tc>
      </w:tr>
      <w:tr w14:paraId="6681A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14:paraId="72FB186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vMerge w:val="restart"/>
            <w:shd w:val="clear" w:color="auto" w:fill="auto"/>
            <w:vAlign w:val="center"/>
          </w:tcPr>
          <w:p w14:paraId="4048E39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未采取措施及时消除燃气安全事故隐患</w:t>
            </w:r>
          </w:p>
        </w:tc>
        <w:tc>
          <w:tcPr>
            <w:tcW w:w="2789" w:type="dxa"/>
            <w:gridSpan w:val="2"/>
            <w:shd w:val="clear" w:color="auto" w:fill="auto"/>
            <w:vAlign w:val="center"/>
          </w:tcPr>
          <w:p w14:paraId="66A860C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违反条款：《城镇燃气管理条例》第四十一条第一款；处罚条款：第四十八条 责令限期改正，处1万元以上10万元以下罚款。</w:t>
            </w:r>
          </w:p>
        </w:tc>
        <w:tc>
          <w:tcPr>
            <w:tcW w:w="851" w:type="dxa"/>
            <w:shd w:val="clear" w:color="auto" w:fill="auto"/>
            <w:vAlign w:val="center"/>
          </w:tcPr>
          <w:p w14:paraId="3E7409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2AB455C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BA739C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38FE7F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0ADEFB1">
            <w:pPr>
              <w:spacing w:line="232" w:lineRule="exact"/>
              <w:rPr>
                <w:rFonts w:asciiTheme="minorEastAsia" w:hAnsiTheme="minorEastAsia" w:eastAsiaTheme="minorEastAsia"/>
                <w:color w:val="auto"/>
                <w:sz w:val="15"/>
                <w:szCs w:val="15"/>
                <w:highlight w:val="none"/>
              </w:rPr>
            </w:pPr>
          </w:p>
          <w:p w14:paraId="4BB434A5">
            <w:pPr>
              <w:spacing w:line="232" w:lineRule="exact"/>
              <w:rPr>
                <w:color w:val="auto"/>
                <w:highlight w:val="none"/>
              </w:rPr>
            </w:pPr>
            <w:r>
              <w:rPr>
                <w:rFonts w:hint="eastAsia" w:asciiTheme="minorEastAsia" w:hAnsiTheme="minorEastAsia" w:eastAsiaTheme="minorEastAsia"/>
                <w:color w:val="auto"/>
                <w:sz w:val="15"/>
                <w:szCs w:val="15"/>
                <w:highlight w:val="none"/>
              </w:rPr>
              <w:t>对燃气经营者相关违法行为，适用《城镇燃气管理条例》处罚。拒不执行的，应另行立案，适用《中华人民共和国安全生产法》“拒不执行”情形处罚。</w:t>
            </w:r>
          </w:p>
          <w:p w14:paraId="2A77795F">
            <w:pPr>
              <w:pStyle w:val="22"/>
              <w:ind w:left="0" w:leftChars="0" w:firstLine="0" w:firstLineChars="0"/>
              <w:rPr>
                <w:color w:val="auto"/>
                <w:highlight w:val="none"/>
              </w:rPr>
            </w:pPr>
          </w:p>
        </w:tc>
      </w:tr>
      <w:tr w14:paraId="513DF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01" w:hRule="atLeast"/>
          <w:jc w:val="center"/>
        </w:trPr>
        <w:tc>
          <w:tcPr>
            <w:tcW w:w="610" w:type="dxa"/>
            <w:vMerge w:val="continue"/>
            <w:shd w:val="clear" w:color="auto" w:fill="auto"/>
            <w:vAlign w:val="center"/>
          </w:tcPr>
          <w:p w14:paraId="1610660A">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26786A8F">
            <w:pPr>
              <w:spacing w:line="232" w:lineRule="exact"/>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14:paraId="057B7E7D">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6992" w:type="dxa"/>
            <w:gridSpan w:val="5"/>
            <w:shd w:val="clear" w:color="auto" w:fill="auto"/>
            <w:vAlign w:val="center"/>
          </w:tcPr>
          <w:p w14:paraId="52508C9C">
            <w:pPr>
              <w:pStyle w:val="8"/>
              <w:rPr>
                <w:rFonts w:cs="宋体" w:asciiTheme="minorEastAsia" w:hAnsiTheme="minorEastAsia" w:eastAsiaTheme="minorEastAsia"/>
                <w:strike/>
                <w:dstrike w:val="0"/>
                <w:color w:val="auto"/>
                <w:kern w:val="0"/>
                <w:sz w:val="15"/>
                <w:szCs w:val="15"/>
                <w:highlight w:val="none"/>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02B689F2">
            <w:pPr>
              <w:spacing w:line="232" w:lineRule="exact"/>
              <w:ind w:firstLine="242"/>
              <w:rPr>
                <w:rFonts w:cs="宋体" w:asciiTheme="minorEastAsia" w:hAnsiTheme="minorEastAsia" w:eastAsiaTheme="minorEastAsia"/>
                <w:color w:val="auto"/>
                <w:kern w:val="0"/>
                <w:sz w:val="15"/>
                <w:szCs w:val="15"/>
                <w:highlight w:val="none"/>
              </w:rPr>
            </w:pPr>
          </w:p>
        </w:tc>
      </w:tr>
      <w:tr w14:paraId="02F67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15" w:hRule="atLeast"/>
          <w:jc w:val="center"/>
        </w:trPr>
        <w:tc>
          <w:tcPr>
            <w:tcW w:w="610" w:type="dxa"/>
            <w:shd w:val="clear" w:color="auto" w:fill="auto"/>
            <w:vAlign w:val="center"/>
          </w:tcPr>
          <w:p w14:paraId="72B7337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14:paraId="4DE4E8C6">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擅自操作公用燃气阀门</w:t>
            </w:r>
          </w:p>
        </w:tc>
        <w:tc>
          <w:tcPr>
            <w:tcW w:w="2789" w:type="dxa"/>
            <w:gridSpan w:val="2"/>
            <w:shd w:val="clear" w:color="auto" w:fill="auto"/>
            <w:vAlign w:val="center"/>
          </w:tcPr>
          <w:p w14:paraId="6779AF38">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1A79885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4227162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4ABA512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B41BDB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lang w:val="en-US" w:eastAsia="zh-CN"/>
              </w:rPr>
              <w:t>安</w:t>
            </w:r>
            <w:r>
              <w:rPr>
                <w:rFonts w:hint="eastAsia" w:cs="宋体" w:asciiTheme="minorEastAsia" w:hAnsiTheme="minorEastAsia" w:eastAsiaTheme="minorEastAsia"/>
                <w:color w:val="auto"/>
                <w:kern w:val="0"/>
                <w:sz w:val="15"/>
                <w:szCs w:val="15"/>
                <w:highlight w:val="none"/>
              </w:rPr>
              <w:t>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B4AEC4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1A40B2F9">
            <w:pPr>
              <w:spacing w:line="232"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14:paraId="1144988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14:paraId="30BE7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15" w:hRule="atLeast"/>
          <w:jc w:val="center"/>
        </w:trPr>
        <w:tc>
          <w:tcPr>
            <w:tcW w:w="610" w:type="dxa"/>
            <w:shd w:val="clear" w:color="auto" w:fill="auto"/>
            <w:vAlign w:val="center"/>
          </w:tcPr>
          <w:p w14:paraId="1002B69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14:paraId="4D2F52A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将燃气管道作为负重支架或者接地引线</w:t>
            </w:r>
          </w:p>
        </w:tc>
        <w:tc>
          <w:tcPr>
            <w:tcW w:w="2789" w:type="dxa"/>
            <w:gridSpan w:val="2"/>
            <w:shd w:val="clear" w:color="auto" w:fill="auto"/>
            <w:vAlign w:val="center"/>
          </w:tcPr>
          <w:p w14:paraId="14E614A1">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5D367C7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3EB33DF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7286EC0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8228D1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6199C91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5FE190F">
            <w:pPr>
              <w:spacing w:line="232"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14:paraId="4FA22DB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14:paraId="7EC6D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12" w:hRule="atLeast"/>
          <w:jc w:val="center"/>
        </w:trPr>
        <w:tc>
          <w:tcPr>
            <w:tcW w:w="610" w:type="dxa"/>
            <w:shd w:val="clear" w:color="auto" w:fill="auto"/>
            <w:vAlign w:val="center"/>
          </w:tcPr>
          <w:p w14:paraId="030C62D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14:paraId="38DBD4A7">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安装、使用不符合气源要求的燃气燃烧器具</w:t>
            </w:r>
          </w:p>
        </w:tc>
        <w:tc>
          <w:tcPr>
            <w:tcW w:w="2789" w:type="dxa"/>
            <w:gridSpan w:val="2"/>
            <w:shd w:val="clear" w:color="auto" w:fill="auto"/>
            <w:vAlign w:val="center"/>
          </w:tcPr>
          <w:p w14:paraId="7731D117">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41A1D5C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286F024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5AF9F8A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60E2F1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default" w:asciiTheme="minorEastAsia" w:hAnsiTheme="minorEastAsia" w:eastAsiaTheme="minorEastAsia"/>
                <w:color w:val="auto"/>
                <w:sz w:val="15"/>
                <w:szCs w:val="15"/>
                <w:highlight w:val="none"/>
                <w:lang w:val="en" w:eastAsia="zh-CN"/>
              </w:rPr>
              <w:t>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lang w:val="en-US" w:eastAsia="zh-CN"/>
              </w:rPr>
              <w:t>3</w:t>
            </w:r>
            <w:r>
              <w:rPr>
                <w:rFonts w:hint="default" w:asciiTheme="minorEastAsia" w:hAnsiTheme="minorEastAsia" w:eastAsiaTheme="minorEastAsia"/>
                <w:color w:val="auto"/>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DF8575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22C06CDE">
            <w:pPr>
              <w:spacing w:line="240"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14:paraId="33FFC472">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14:paraId="2C5BC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91" w:hRule="atLeast"/>
          <w:jc w:val="center"/>
        </w:trPr>
        <w:tc>
          <w:tcPr>
            <w:tcW w:w="610" w:type="dxa"/>
            <w:shd w:val="clear" w:color="auto" w:fill="auto"/>
            <w:vAlign w:val="center"/>
          </w:tcPr>
          <w:p w14:paraId="2EC9A5F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14:paraId="2B72D30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擅自安装、改装、拆除户内燃气设施和燃气计量装置</w:t>
            </w:r>
          </w:p>
        </w:tc>
        <w:tc>
          <w:tcPr>
            <w:tcW w:w="2789" w:type="dxa"/>
            <w:gridSpan w:val="2"/>
            <w:shd w:val="clear" w:color="auto" w:fill="auto"/>
            <w:vAlign w:val="center"/>
          </w:tcPr>
          <w:p w14:paraId="427609AA">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513C634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5B9ABC14">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4B1B7FB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592CA9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364C340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79A5CC5">
            <w:pPr>
              <w:spacing w:line="232" w:lineRule="exact"/>
              <w:rPr>
                <w:rFonts w:hint="eastAsia" w:asciiTheme="minorEastAsia" w:hAnsiTheme="minorEastAsia" w:eastAsiaTheme="minorEastAsia"/>
                <w:strike/>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14:paraId="50553946">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14:paraId="6A70A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66" w:hRule="atLeast"/>
          <w:jc w:val="center"/>
        </w:trPr>
        <w:tc>
          <w:tcPr>
            <w:tcW w:w="610" w:type="dxa"/>
            <w:shd w:val="clear" w:color="auto" w:fill="auto"/>
            <w:vAlign w:val="center"/>
          </w:tcPr>
          <w:p w14:paraId="7CEF07B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auto"/>
            <w:vAlign w:val="center"/>
          </w:tcPr>
          <w:p w14:paraId="207FF13A">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在不具备安全条件的场所使用、储存燃气</w:t>
            </w:r>
          </w:p>
        </w:tc>
        <w:tc>
          <w:tcPr>
            <w:tcW w:w="2789" w:type="dxa"/>
            <w:gridSpan w:val="2"/>
            <w:shd w:val="clear" w:color="auto" w:fill="auto"/>
            <w:vAlign w:val="center"/>
          </w:tcPr>
          <w:p w14:paraId="372AA54F">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77309F9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44E4151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5FB1A9AF">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1F0F50E">
            <w:pPr>
              <w:spacing w:line="240"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存在</w:t>
            </w:r>
            <w:r>
              <w:rPr>
                <w:rFonts w:hint="eastAsia" w:ascii="宋体" w:hAnsi="宋体" w:eastAsia="宋体" w:cs="宋体"/>
                <w:b w:val="0"/>
                <w:bCs w:val="0"/>
                <w:color w:val="auto"/>
                <w:kern w:val="0"/>
                <w:sz w:val="15"/>
                <w:szCs w:val="15"/>
                <w:highlight w:val="none"/>
                <w:lang w:val="en-US" w:eastAsia="zh-CN"/>
              </w:rPr>
              <w:t>2个及以上不合格安全条件的，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3</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val="en-US" w:eastAsia="zh-CN"/>
              </w:rPr>
              <w:t>4个及以上的，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5</w:t>
            </w:r>
            <w:r>
              <w:rPr>
                <w:rFonts w:hint="eastAsia" w:ascii="宋体" w:hAnsi="宋体" w:eastAsia="宋体" w:cs="宋体"/>
                <w:b w:val="0"/>
                <w:bCs w:val="0"/>
                <w:color w:val="auto"/>
                <w:kern w:val="0"/>
                <w:sz w:val="15"/>
                <w:szCs w:val="15"/>
                <w:highlight w:val="none"/>
              </w:rPr>
              <w:t>；</w:t>
            </w:r>
            <w:r>
              <w:rPr>
                <w:rFonts w:hint="eastAsia" w:ascii="宋体" w:hAnsi="宋体" w:eastAsia="宋体" w:cs="宋体"/>
                <w:b w:val="0"/>
                <w:bCs w:val="0"/>
                <w:color w:val="auto"/>
                <w:kern w:val="0"/>
                <w:sz w:val="15"/>
                <w:szCs w:val="15"/>
                <w:highlight w:val="none"/>
                <w:lang w:eastAsia="zh-CN"/>
              </w:rPr>
              <w:t>以此类推，</w:t>
            </w:r>
            <w:r>
              <w:rPr>
                <w:rFonts w:hint="eastAsia" w:ascii="宋体" w:hAnsi="宋体" w:eastAsia="宋体" w:cs="宋体"/>
                <w:b w:val="0"/>
                <w:bCs w:val="0"/>
                <w:color w:val="auto"/>
                <w:kern w:val="0"/>
                <w:sz w:val="15"/>
                <w:szCs w:val="15"/>
                <w:highlight w:val="none"/>
                <w:lang w:val="en-US" w:eastAsia="zh-CN"/>
              </w:rPr>
              <w:t>8个及以上的，</w:t>
            </w:r>
            <w:r>
              <w:rPr>
                <w:rFonts w:hint="eastAsia" w:ascii="宋体" w:hAnsi="宋体" w:eastAsia="宋体" w:cs="宋体"/>
                <w:b w:val="0"/>
                <w:bCs w:val="0"/>
                <w:color w:val="auto"/>
                <w:kern w:val="0"/>
                <w:sz w:val="15"/>
                <w:szCs w:val="15"/>
                <w:highlight w:val="none"/>
              </w:rPr>
              <w:t>系数</w:t>
            </w:r>
            <w:r>
              <w:rPr>
                <w:rFonts w:hint="eastAsia" w:ascii="宋体" w:hAnsi="宋体" w:eastAsia="宋体" w:cs="宋体"/>
                <w:b w:val="0"/>
                <w:bCs w:val="0"/>
                <w:color w:val="auto"/>
                <w:kern w:val="0"/>
                <w:sz w:val="15"/>
                <w:szCs w:val="15"/>
                <w:highlight w:val="none"/>
                <w:lang w:val="en-US" w:eastAsia="zh-CN"/>
              </w:rPr>
              <w:t>9</w:t>
            </w:r>
            <w:r>
              <w:rPr>
                <w:rFonts w:hint="eastAsia" w:ascii="宋体" w:hAnsi="宋体" w:eastAsia="宋体" w:cs="宋体"/>
                <w:b w:val="0"/>
                <w:bCs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AEF151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DD00A19">
            <w:pPr>
              <w:spacing w:line="240"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14:paraId="66E680B5">
            <w:pPr>
              <w:spacing w:line="24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14:paraId="55C4F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89" w:hRule="atLeast"/>
          <w:jc w:val="center"/>
        </w:trPr>
        <w:tc>
          <w:tcPr>
            <w:tcW w:w="610" w:type="dxa"/>
            <w:shd w:val="clear" w:color="auto" w:fill="auto"/>
            <w:vAlign w:val="center"/>
          </w:tcPr>
          <w:p w14:paraId="34158BC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830" w:type="dxa"/>
            <w:gridSpan w:val="3"/>
            <w:shd w:val="clear" w:color="auto" w:fill="auto"/>
            <w:vAlign w:val="center"/>
          </w:tcPr>
          <w:p w14:paraId="513B1D8B">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改变燃气用途或者转供燃气</w:t>
            </w:r>
          </w:p>
        </w:tc>
        <w:tc>
          <w:tcPr>
            <w:tcW w:w="2789" w:type="dxa"/>
            <w:gridSpan w:val="2"/>
            <w:shd w:val="clear" w:color="auto" w:fill="auto"/>
            <w:vAlign w:val="center"/>
          </w:tcPr>
          <w:p w14:paraId="3F6F36B2">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shd w:val="clear" w:color="auto" w:fill="auto"/>
            <w:vAlign w:val="center"/>
          </w:tcPr>
          <w:p w14:paraId="7C6B17D0">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2BC23BC1">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63E347DF">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2A74B4F">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73C8E6E">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1238D96">
            <w:pPr>
              <w:spacing w:line="212"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14:paraId="644C5FDB">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14:paraId="0FE3A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23" w:hRule="atLeast"/>
          <w:jc w:val="center"/>
        </w:trPr>
        <w:tc>
          <w:tcPr>
            <w:tcW w:w="610" w:type="dxa"/>
            <w:shd w:val="clear" w:color="auto" w:fill="auto"/>
            <w:vAlign w:val="center"/>
          </w:tcPr>
          <w:p w14:paraId="012E0F0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830" w:type="dxa"/>
            <w:gridSpan w:val="3"/>
            <w:shd w:val="clear" w:color="auto" w:fill="auto"/>
            <w:vAlign w:val="center"/>
          </w:tcPr>
          <w:p w14:paraId="368B6FCB">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未设立售后服务站点或者未配备经考核合格的燃气燃烧器具安装、维修人员</w:t>
            </w:r>
          </w:p>
        </w:tc>
        <w:tc>
          <w:tcPr>
            <w:tcW w:w="2789" w:type="dxa"/>
            <w:gridSpan w:val="2"/>
            <w:shd w:val="clear" w:color="auto" w:fill="auto"/>
            <w:vAlign w:val="center"/>
          </w:tcPr>
          <w:p w14:paraId="101D80E7">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shd w:val="clear" w:color="auto" w:fill="auto"/>
            <w:vAlign w:val="center"/>
          </w:tcPr>
          <w:p w14:paraId="5D56576E">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096A3B55">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29DA1C46">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C82C68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2E3AA84A">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2FAA887D">
            <w:pPr>
              <w:spacing w:line="212" w:lineRule="exact"/>
              <w:rPr>
                <w:rFonts w:hint="eastAsia" w:asciiTheme="minorEastAsia" w:hAnsiTheme="minorEastAsia" w:eastAsiaTheme="minorEastAsia"/>
                <w:color w:val="auto"/>
                <w:sz w:val="15"/>
                <w:szCs w:val="15"/>
                <w:highlight w:val="none"/>
              </w:rPr>
            </w:pPr>
          </w:p>
          <w:p w14:paraId="1F941C93">
            <w:pPr>
              <w:spacing w:line="212"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14:paraId="1F124BEC">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14:paraId="796EB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12" w:hRule="atLeast"/>
          <w:jc w:val="center"/>
        </w:trPr>
        <w:tc>
          <w:tcPr>
            <w:tcW w:w="610" w:type="dxa"/>
            <w:shd w:val="clear" w:color="auto" w:fill="auto"/>
            <w:vAlign w:val="center"/>
          </w:tcPr>
          <w:p w14:paraId="20EED16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830" w:type="dxa"/>
            <w:gridSpan w:val="3"/>
            <w:shd w:val="clear" w:color="auto" w:fill="auto"/>
            <w:vAlign w:val="center"/>
          </w:tcPr>
          <w:p w14:paraId="60F7974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燃气燃烧器具的安装、维修不符合国家有关标准</w:t>
            </w:r>
          </w:p>
        </w:tc>
        <w:tc>
          <w:tcPr>
            <w:tcW w:w="2789" w:type="dxa"/>
            <w:gridSpan w:val="2"/>
            <w:shd w:val="clear" w:color="auto" w:fill="auto"/>
            <w:vAlign w:val="center"/>
          </w:tcPr>
          <w:p w14:paraId="08A882DA">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shd w:val="clear" w:color="auto" w:fill="auto"/>
            <w:vAlign w:val="center"/>
          </w:tcPr>
          <w:p w14:paraId="75CAB0DF">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763F56D0">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1539D845">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A1E551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25D18609">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CE4595B">
            <w:pPr>
              <w:spacing w:line="212" w:lineRule="exact"/>
              <w:rPr>
                <w:rFonts w:hint="eastAsia" w:cs="仿宋_GB2312" w:asciiTheme="minorEastAsia" w:hAnsiTheme="minorEastAsia" w:eastAsiaTheme="minorEastAsia"/>
                <w:strike w:val="0"/>
                <w:dstrike w:val="0"/>
                <w:color w:val="auto"/>
                <w:sz w:val="15"/>
                <w:szCs w:val="15"/>
                <w:highlight w:val="none"/>
              </w:rPr>
            </w:pPr>
            <w:r>
              <w:rPr>
                <w:rFonts w:hint="eastAsia" w:cs="仿宋_GB2312" w:asciiTheme="minorEastAsia" w:hAnsiTheme="minorEastAsia" w:eastAsiaTheme="minorEastAsia"/>
                <w:strike w:val="0"/>
                <w:dstrike w:val="0"/>
                <w:color w:val="auto"/>
                <w:sz w:val="15"/>
                <w:szCs w:val="15"/>
                <w:highlight w:val="none"/>
              </w:rPr>
              <w:t>逾期不改正的情形，不</w:t>
            </w:r>
            <w:r>
              <w:rPr>
                <w:rFonts w:hint="eastAsia" w:cs="仿宋_GB2312" w:asciiTheme="minorEastAsia" w:hAnsiTheme="minorEastAsia" w:eastAsiaTheme="minorEastAsia"/>
                <w:strike w:val="0"/>
                <w:dstrike w:val="0"/>
                <w:color w:val="auto"/>
                <w:sz w:val="15"/>
                <w:szCs w:val="15"/>
                <w:highlight w:val="none"/>
                <w:lang w:eastAsia="zh-CN"/>
              </w:rPr>
              <w:t>计入</w:t>
            </w:r>
            <w:r>
              <w:rPr>
                <w:rFonts w:hint="eastAsia" w:cs="仿宋_GB2312" w:asciiTheme="minorEastAsia" w:hAnsiTheme="minorEastAsia" w:eastAsiaTheme="minorEastAsia"/>
                <w:strike w:val="0"/>
                <w:dstrike w:val="0"/>
                <w:color w:val="auto"/>
                <w:sz w:val="15"/>
                <w:szCs w:val="15"/>
                <w:highlight w:val="none"/>
              </w:rPr>
              <w:t>本项</w:t>
            </w:r>
            <w:r>
              <w:rPr>
                <w:rFonts w:hint="eastAsia" w:cs="仿宋_GB2312" w:asciiTheme="minorEastAsia" w:hAnsiTheme="minorEastAsia" w:eastAsiaTheme="minorEastAsia"/>
                <w:strike w:val="0"/>
                <w:dstrike w:val="0"/>
                <w:color w:val="auto"/>
                <w:sz w:val="15"/>
                <w:szCs w:val="15"/>
                <w:highlight w:val="none"/>
                <w:lang w:eastAsia="zh-CN"/>
              </w:rPr>
              <w:t>情节系数</w:t>
            </w:r>
            <w:r>
              <w:rPr>
                <w:rFonts w:hint="eastAsia" w:cs="仿宋_GB2312" w:asciiTheme="minorEastAsia" w:hAnsiTheme="minorEastAsia" w:eastAsiaTheme="minorEastAsia"/>
                <w:strike w:val="0"/>
                <w:dstrike w:val="0"/>
                <w:color w:val="auto"/>
                <w:sz w:val="15"/>
                <w:szCs w:val="15"/>
                <w:highlight w:val="none"/>
              </w:rPr>
              <w:t>。</w:t>
            </w:r>
          </w:p>
          <w:p w14:paraId="74EBB8D5">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r>
      <w:tr w14:paraId="211BB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62" w:hRule="atLeast"/>
          <w:jc w:val="center"/>
        </w:trPr>
        <w:tc>
          <w:tcPr>
            <w:tcW w:w="610" w:type="dxa"/>
            <w:vMerge w:val="restart"/>
            <w:shd w:val="clear" w:color="auto" w:fill="auto"/>
            <w:vAlign w:val="center"/>
          </w:tcPr>
          <w:p w14:paraId="10E151F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830" w:type="dxa"/>
            <w:gridSpan w:val="3"/>
            <w:vMerge w:val="restart"/>
            <w:shd w:val="clear" w:color="auto" w:fill="auto"/>
            <w:vAlign w:val="center"/>
          </w:tcPr>
          <w:p w14:paraId="24A3613E">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在燃气设施保护范围内进行爆破取土等作业或者动用明火</w:t>
            </w:r>
          </w:p>
        </w:tc>
        <w:tc>
          <w:tcPr>
            <w:tcW w:w="2789" w:type="dxa"/>
            <w:gridSpan w:val="2"/>
            <w:vMerge w:val="restart"/>
            <w:shd w:val="clear" w:color="auto" w:fill="auto"/>
            <w:vAlign w:val="center"/>
          </w:tcPr>
          <w:p w14:paraId="45F8994C">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违反条款：第三十三条第二款第（二）项；处罚条款：第五十条第一款第（一）项 责令停止违法行为，限期恢复原状或者采取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补救措施，对单位处5万元以上10万元以下罚款，对个人处5000元以上5万元以下罚款</w:t>
            </w:r>
          </w:p>
        </w:tc>
        <w:tc>
          <w:tcPr>
            <w:tcW w:w="851" w:type="dxa"/>
            <w:shd w:val="clear" w:color="auto" w:fill="auto"/>
            <w:vAlign w:val="center"/>
          </w:tcPr>
          <w:p w14:paraId="12C6F956">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689475EA">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274A38C3">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C4A507D">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影响用气情形的，系数0.5；</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严重影响用气情形的，系数1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AF1F95F">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43044AE0">
            <w:pPr>
              <w:spacing w:line="232" w:lineRule="exact"/>
              <w:rPr>
                <w:rFonts w:cs="宋体" w:asciiTheme="minorEastAsia" w:hAnsiTheme="minorEastAsia" w:eastAsiaTheme="minorEastAsia"/>
                <w:color w:val="auto"/>
                <w:kern w:val="0"/>
                <w:sz w:val="15"/>
                <w:szCs w:val="15"/>
                <w:highlight w:val="none"/>
              </w:rPr>
            </w:pPr>
          </w:p>
        </w:tc>
      </w:tr>
      <w:tr w14:paraId="11451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22" w:hRule="atLeast"/>
          <w:jc w:val="center"/>
        </w:trPr>
        <w:tc>
          <w:tcPr>
            <w:tcW w:w="610" w:type="dxa"/>
            <w:vMerge w:val="continue"/>
            <w:shd w:val="clear" w:color="auto" w:fill="auto"/>
            <w:vAlign w:val="center"/>
          </w:tcPr>
          <w:p w14:paraId="27AC7D70">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48BD2B5F">
            <w:pPr>
              <w:spacing w:line="190"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07E89E7E">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3ABCB5E8">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1894495E">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0948D6F6">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05DB5C6">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燃气设施为高压管线，系数4</w:t>
            </w:r>
            <w:r>
              <w:rPr>
                <w:rFonts w:hint="eastAsia" w:ascii="宋体" w:hAnsi="宋体" w:cs="宋体"/>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.损坏燃气设施或者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影响用气情形的，系数7；</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1F91DDB">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2014845D">
            <w:pPr>
              <w:spacing w:line="232" w:lineRule="exact"/>
              <w:rPr>
                <w:rFonts w:cs="宋体" w:asciiTheme="minorEastAsia" w:hAnsiTheme="minorEastAsia" w:eastAsiaTheme="minorEastAsia"/>
                <w:color w:val="auto"/>
                <w:kern w:val="0"/>
                <w:sz w:val="15"/>
                <w:szCs w:val="15"/>
                <w:highlight w:val="none"/>
              </w:rPr>
            </w:pPr>
          </w:p>
        </w:tc>
      </w:tr>
      <w:tr w14:paraId="36F57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57" w:hRule="atLeast"/>
          <w:jc w:val="center"/>
        </w:trPr>
        <w:tc>
          <w:tcPr>
            <w:tcW w:w="610" w:type="dxa"/>
            <w:vMerge w:val="restart"/>
            <w:shd w:val="clear" w:color="auto" w:fill="auto"/>
            <w:vAlign w:val="center"/>
          </w:tcPr>
          <w:p w14:paraId="220F9CF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830" w:type="dxa"/>
            <w:gridSpan w:val="3"/>
            <w:vMerge w:val="restart"/>
            <w:shd w:val="clear" w:color="auto" w:fill="auto"/>
            <w:vAlign w:val="center"/>
          </w:tcPr>
          <w:p w14:paraId="23806D96">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在燃气设施保护范围内倾倒、排放腐蚀性物质</w:t>
            </w:r>
          </w:p>
        </w:tc>
        <w:tc>
          <w:tcPr>
            <w:tcW w:w="2789" w:type="dxa"/>
            <w:gridSpan w:val="2"/>
            <w:vMerge w:val="restart"/>
            <w:shd w:val="clear" w:color="auto" w:fill="auto"/>
            <w:vAlign w:val="center"/>
          </w:tcPr>
          <w:p w14:paraId="28830CD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违反条款：第三十三条第二款第（三）项；处罚条款：第五十条第一款第（二）项 责令停止违法行为，限期恢复原状或者采取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补救措施，对单位处5万元以上10万元以下罚款，对个人处5000元以上5万元以下罚款</w:t>
            </w:r>
          </w:p>
        </w:tc>
        <w:tc>
          <w:tcPr>
            <w:tcW w:w="851" w:type="dxa"/>
            <w:shd w:val="clear" w:color="auto" w:fill="auto"/>
            <w:vAlign w:val="center"/>
          </w:tcPr>
          <w:p w14:paraId="7F28489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44A51D5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3B4A5F5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A4311E6">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1.损坏燃气设施或者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影响用气情形的，系数0.5；</w:t>
            </w:r>
            <w:r>
              <w:rPr>
                <w:rFonts w:hint="eastAsia" w:cs="宋体" w:asciiTheme="minorEastAsia" w:hAnsiTheme="minorEastAsia" w:eastAsiaTheme="minorEastAsia"/>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lang w:val="en-US" w:eastAsia="zh-CN"/>
              </w:rPr>
              <w:t>燃气设施为高压管线，系数0.5</w:t>
            </w:r>
            <w:r>
              <w:rPr>
                <w:rFonts w:hint="eastAsia" w:ascii="宋体" w:hAnsi="宋体" w:cs="宋体"/>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严重影响用气情形的，系数1。</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3BD7CCC4">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3C2ADB2">
            <w:pPr>
              <w:spacing w:line="232" w:lineRule="exact"/>
              <w:rPr>
                <w:rFonts w:cs="宋体" w:asciiTheme="minorEastAsia" w:hAnsiTheme="minorEastAsia" w:eastAsiaTheme="minorEastAsia"/>
                <w:color w:val="auto"/>
                <w:kern w:val="0"/>
                <w:sz w:val="15"/>
                <w:szCs w:val="15"/>
                <w:highlight w:val="none"/>
              </w:rPr>
            </w:pPr>
          </w:p>
        </w:tc>
      </w:tr>
      <w:tr w14:paraId="05E9D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15" w:hRule="atLeast"/>
          <w:jc w:val="center"/>
        </w:trPr>
        <w:tc>
          <w:tcPr>
            <w:tcW w:w="610" w:type="dxa"/>
            <w:vMerge w:val="continue"/>
            <w:shd w:val="clear" w:color="auto" w:fill="auto"/>
            <w:vAlign w:val="center"/>
          </w:tcPr>
          <w:p w14:paraId="46C2FDA6">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1F4EE7C2">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414149F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55F8EC0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1C20FC4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1DF901D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404E6EF">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val="0"/>
                <w:bCs w:val="0"/>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，系数4</w:t>
            </w:r>
            <w:r>
              <w:rPr>
                <w:rFonts w:hint="eastAsia" w:ascii="宋体" w:hAnsi="宋体" w:cs="宋体"/>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.损坏燃气设施或者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影响用气情形的，系数7；</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6607BE9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6D4825A">
            <w:pPr>
              <w:spacing w:line="232" w:lineRule="exact"/>
              <w:rPr>
                <w:rFonts w:cs="宋体" w:asciiTheme="minorEastAsia" w:hAnsiTheme="minorEastAsia" w:eastAsiaTheme="minorEastAsia"/>
                <w:color w:val="auto"/>
                <w:kern w:val="0"/>
                <w:sz w:val="15"/>
                <w:szCs w:val="15"/>
                <w:highlight w:val="none"/>
              </w:rPr>
            </w:pPr>
          </w:p>
        </w:tc>
      </w:tr>
      <w:tr w14:paraId="4DBE9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22" w:hRule="atLeast"/>
          <w:jc w:val="center"/>
        </w:trPr>
        <w:tc>
          <w:tcPr>
            <w:tcW w:w="610" w:type="dxa"/>
            <w:vMerge w:val="restart"/>
            <w:shd w:val="clear" w:color="auto" w:fill="auto"/>
            <w:vAlign w:val="center"/>
          </w:tcPr>
          <w:p w14:paraId="70890BA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830" w:type="dxa"/>
            <w:gridSpan w:val="3"/>
            <w:vMerge w:val="restart"/>
            <w:shd w:val="clear" w:color="auto" w:fill="auto"/>
            <w:vAlign w:val="center"/>
          </w:tcPr>
          <w:p w14:paraId="25B33A4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在燃气设施保护范围内放置易燃易爆物品或者种植深根植物</w:t>
            </w:r>
          </w:p>
        </w:tc>
        <w:tc>
          <w:tcPr>
            <w:tcW w:w="2789" w:type="dxa"/>
            <w:gridSpan w:val="2"/>
            <w:vMerge w:val="restart"/>
            <w:shd w:val="clear" w:color="auto" w:fill="auto"/>
            <w:vAlign w:val="center"/>
          </w:tcPr>
          <w:p w14:paraId="6EB8B9A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违反条款：第三十三条第二款第（四）项；处罚条款：第五十条第一款第（三）项 责令停止违法行为，限期恢复原状或者采取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补救措施，对单位处5万元以上10万元以下罚款，对个人处5000元以上5万元以下罚款</w:t>
            </w:r>
          </w:p>
        </w:tc>
        <w:tc>
          <w:tcPr>
            <w:tcW w:w="851" w:type="dxa"/>
            <w:shd w:val="clear" w:color="auto" w:fill="auto"/>
            <w:vAlign w:val="center"/>
          </w:tcPr>
          <w:p w14:paraId="430751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6739AC3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5ABC9BD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48465D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影响用气情形的，系数0.5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cs="宋体"/>
                <w:b w:val="0"/>
                <w:bCs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严重影响用气情形的，系数1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ACF66F9">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2A1A2811">
            <w:pPr>
              <w:spacing w:line="170" w:lineRule="exact"/>
              <w:rPr>
                <w:rFonts w:cs="宋体" w:asciiTheme="minorEastAsia" w:hAnsiTheme="minorEastAsia" w:eastAsiaTheme="minorEastAsia"/>
                <w:color w:val="auto"/>
                <w:kern w:val="0"/>
                <w:sz w:val="15"/>
                <w:szCs w:val="15"/>
                <w:highlight w:val="none"/>
              </w:rPr>
            </w:pPr>
          </w:p>
        </w:tc>
      </w:tr>
      <w:tr w14:paraId="0BE6E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86" w:hRule="atLeast"/>
          <w:jc w:val="center"/>
        </w:trPr>
        <w:tc>
          <w:tcPr>
            <w:tcW w:w="610" w:type="dxa"/>
            <w:vMerge w:val="continue"/>
            <w:shd w:val="clear" w:color="auto" w:fill="auto"/>
            <w:vAlign w:val="center"/>
          </w:tcPr>
          <w:p w14:paraId="44327ABE">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760A3A20">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0F87264A">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14:paraId="39D28A5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029DE29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63C9E3A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9A9C5A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，系数4</w:t>
            </w:r>
            <w:r>
              <w:rPr>
                <w:rFonts w:hint="eastAsia" w:ascii="宋体" w:hAnsi="宋体" w:cs="宋体"/>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损坏燃气设施或者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影响用气情形的，系数7；</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严重影响用气情形的，系数9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EE7C6A4">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E24455B">
            <w:pPr>
              <w:spacing w:line="170" w:lineRule="exact"/>
              <w:rPr>
                <w:rFonts w:cs="宋体" w:asciiTheme="minorEastAsia" w:hAnsiTheme="minorEastAsia" w:eastAsiaTheme="minorEastAsia"/>
                <w:color w:val="auto"/>
                <w:kern w:val="0"/>
                <w:sz w:val="15"/>
                <w:szCs w:val="15"/>
                <w:highlight w:val="none"/>
              </w:rPr>
            </w:pPr>
          </w:p>
        </w:tc>
      </w:tr>
      <w:tr w14:paraId="62232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6" w:hRule="atLeast"/>
          <w:jc w:val="center"/>
        </w:trPr>
        <w:tc>
          <w:tcPr>
            <w:tcW w:w="610" w:type="dxa"/>
            <w:vMerge w:val="restart"/>
            <w:shd w:val="clear" w:color="auto" w:fill="auto"/>
            <w:vAlign w:val="center"/>
          </w:tcPr>
          <w:p w14:paraId="50EFE33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830" w:type="dxa"/>
            <w:gridSpan w:val="3"/>
            <w:vMerge w:val="restart"/>
            <w:shd w:val="clear" w:color="auto" w:fill="auto"/>
            <w:vAlign w:val="center"/>
          </w:tcPr>
          <w:p w14:paraId="26B3E14F">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在燃气设施保护范围内擅自从事敷设管道、打桩、顶进、挖掘、钻探等可能影响燃气设施安全活动</w:t>
            </w:r>
          </w:p>
        </w:tc>
        <w:tc>
          <w:tcPr>
            <w:tcW w:w="2789" w:type="dxa"/>
            <w:gridSpan w:val="2"/>
            <w:vMerge w:val="restart"/>
            <w:shd w:val="clear" w:color="auto" w:fill="auto"/>
            <w:vAlign w:val="center"/>
          </w:tcPr>
          <w:p w14:paraId="4A80FCD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违反条款：第三十四条；处罚条款：第五十条第一款第（四）项 责令停止违法行为，限期恢复原状或者采取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补救措施，对单位处5万元以上10万元以下罚款，对个人处5000元以上5万元以下罚款。</w:t>
            </w:r>
          </w:p>
        </w:tc>
        <w:tc>
          <w:tcPr>
            <w:tcW w:w="851" w:type="dxa"/>
            <w:shd w:val="clear" w:color="auto" w:fill="auto"/>
            <w:vAlign w:val="center"/>
          </w:tcPr>
          <w:p w14:paraId="5BD38CF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5D1EA11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41145CA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3C955E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1.损坏燃气设施或者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影响用气情形的，系数0.5；</w:t>
            </w:r>
            <w:r>
              <w:rPr>
                <w:rFonts w:hint="eastAsia" w:cs="宋体" w:asciiTheme="minorEastAsia" w:hAnsiTheme="minorEastAsia" w:eastAsiaTheme="minorEastAsia"/>
                <w:b w:val="0"/>
                <w:bCs w:val="0"/>
                <w:color w:val="auto"/>
                <w:kern w:val="0"/>
                <w:sz w:val="15"/>
                <w:szCs w:val="15"/>
                <w:highlight w:val="none"/>
                <w:lang w:val="en-US" w:eastAsia="zh-CN"/>
              </w:rPr>
              <w:t>2.</w:t>
            </w:r>
            <w:r>
              <w:rPr>
                <w:rFonts w:hint="eastAsia" w:ascii="宋体" w:hAnsi="宋体" w:eastAsia="宋体" w:cs="宋体"/>
                <w:b w:val="0"/>
                <w:bCs w:val="0"/>
                <w:color w:val="auto"/>
                <w:kern w:val="0"/>
                <w:sz w:val="15"/>
                <w:szCs w:val="15"/>
                <w:highlight w:val="none"/>
                <w:lang w:val="en-US" w:eastAsia="zh-CN"/>
              </w:rPr>
              <w:t>燃气设施为高压管线</w:t>
            </w:r>
            <w:r>
              <w:rPr>
                <w:rFonts w:hint="eastAsia" w:ascii="宋体" w:hAnsi="宋体" w:cs="宋体"/>
                <w:b w:val="0"/>
                <w:bCs w:val="0"/>
                <w:color w:val="auto"/>
                <w:kern w:val="0"/>
                <w:sz w:val="15"/>
                <w:szCs w:val="15"/>
                <w:highlight w:val="none"/>
                <w:lang w:val="en-US" w:eastAsia="zh-CN"/>
              </w:rPr>
              <w:t>的</w:t>
            </w:r>
            <w:r>
              <w:rPr>
                <w:rFonts w:hint="eastAsia" w:ascii="宋体" w:hAnsi="宋体" w:eastAsia="宋体" w:cs="宋体"/>
                <w:b w:val="0"/>
                <w:bCs w:val="0"/>
                <w:color w:val="auto"/>
                <w:kern w:val="0"/>
                <w:sz w:val="15"/>
                <w:szCs w:val="15"/>
                <w:highlight w:val="none"/>
                <w:lang w:val="en-US" w:eastAsia="zh-CN"/>
              </w:rPr>
              <w:t>，系数0.5</w:t>
            </w:r>
            <w:r>
              <w:rPr>
                <w:rFonts w:hint="eastAsia" w:ascii="宋体" w:hAnsi="宋体" w:cs="宋体"/>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31B9E6D7">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E3C1572">
            <w:pPr>
              <w:spacing w:line="170" w:lineRule="exact"/>
              <w:rPr>
                <w:rFonts w:hint="eastAsia" w:cs="宋体" w:asciiTheme="minorEastAsia" w:hAnsiTheme="minorEastAsia" w:eastAsiaTheme="minorEastAsia"/>
                <w:strike w:val="0"/>
                <w:dstrike w:val="0"/>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lang w:eastAsia="zh-CN"/>
              </w:rPr>
              <w:t>造成燃气设施损坏的，优先适用“</w:t>
            </w:r>
            <w:r>
              <w:rPr>
                <w:rFonts w:hint="eastAsia" w:asciiTheme="minorEastAsia" w:hAnsiTheme="minorEastAsia" w:eastAsiaTheme="minorEastAsia"/>
                <w:strike w:val="0"/>
                <w:dstrike w:val="0"/>
                <w:color w:val="auto"/>
                <w:sz w:val="15"/>
                <w:szCs w:val="15"/>
                <w:highlight w:val="none"/>
              </w:rPr>
              <w:t>侵占、毁损、擅自拆除、移动燃气设施</w:t>
            </w:r>
            <w:r>
              <w:rPr>
                <w:rFonts w:hint="eastAsia" w:cs="宋体" w:asciiTheme="minorEastAsia" w:hAnsiTheme="minorEastAsia" w:eastAsiaTheme="minorEastAsia"/>
                <w:strike w:val="0"/>
                <w:dstrike w:val="0"/>
                <w:color w:val="auto"/>
                <w:kern w:val="0"/>
                <w:sz w:val="15"/>
                <w:szCs w:val="15"/>
                <w:highlight w:val="none"/>
                <w:lang w:eastAsia="zh-CN"/>
              </w:rPr>
              <w:t>”案由。</w:t>
            </w:r>
          </w:p>
        </w:tc>
      </w:tr>
      <w:tr w14:paraId="0908B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35" w:hRule="atLeast"/>
          <w:jc w:val="center"/>
        </w:trPr>
        <w:tc>
          <w:tcPr>
            <w:tcW w:w="610" w:type="dxa"/>
            <w:vMerge w:val="continue"/>
            <w:shd w:val="clear" w:color="auto" w:fill="auto"/>
            <w:vAlign w:val="center"/>
          </w:tcPr>
          <w:p w14:paraId="6E3A5CE5">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40D69BD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74EAADE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4CDBDA4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51542B4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4B40D13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D11EC49">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val="en-US" w:eastAsia="zh-CN"/>
              </w:rPr>
              <w:t>燃气设施为高压管线，系数4</w:t>
            </w:r>
            <w:r>
              <w:rPr>
                <w:rFonts w:hint="eastAsia" w:ascii="宋体" w:hAnsi="宋体" w:cs="宋体"/>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.损坏燃气设施或者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影响用气情形的，系数7；</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严重影响用气情形的，系数9</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0AC49F7">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9FBFA5C">
            <w:pPr>
              <w:spacing w:line="170" w:lineRule="exact"/>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lang w:eastAsia="zh-CN"/>
              </w:rPr>
              <w:t>造成燃气设施损坏的，优先适用“</w:t>
            </w:r>
            <w:r>
              <w:rPr>
                <w:rFonts w:hint="eastAsia" w:asciiTheme="minorEastAsia" w:hAnsiTheme="minorEastAsia" w:eastAsiaTheme="minorEastAsia"/>
                <w:strike w:val="0"/>
                <w:dstrike w:val="0"/>
                <w:color w:val="auto"/>
                <w:sz w:val="15"/>
                <w:szCs w:val="15"/>
                <w:highlight w:val="none"/>
              </w:rPr>
              <w:t>侵占、毁损、擅自拆除、移动燃气设施</w:t>
            </w:r>
            <w:r>
              <w:rPr>
                <w:rFonts w:hint="eastAsia" w:cs="宋体" w:asciiTheme="minorEastAsia" w:hAnsiTheme="minorEastAsia" w:eastAsiaTheme="minorEastAsia"/>
                <w:strike w:val="0"/>
                <w:dstrike w:val="0"/>
                <w:color w:val="auto"/>
                <w:kern w:val="0"/>
                <w:sz w:val="15"/>
                <w:szCs w:val="15"/>
                <w:highlight w:val="none"/>
                <w:lang w:eastAsia="zh-CN"/>
              </w:rPr>
              <w:t>”案由。</w:t>
            </w:r>
          </w:p>
        </w:tc>
      </w:tr>
      <w:tr w14:paraId="50A5D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06" w:hRule="atLeast"/>
          <w:jc w:val="center"/>
        </w:trPr>
        <w:tc>
          <w:tcPr>
            <w:tcW w:w="610" w:type="dxa"/>
            <w:vMerge w:val="restart"/>
            <w:shd w:val="clear" w:color="auto" w:fill="auto"/>
            <w:vAlign w:val="center"/>
          </w:tcPr>
          <w:p w14:paraId="004118C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830" w:type="dxa"/>
            <w:gridSpan w:val="3"/>
            <w:vMerge w:val="restart"/>
            <w:shd w:val="clear" w:color="auto" w:fill="auto"/>
            <w:vAlign w:val="center"/>
          </w:tcPr>
          <w:p w14:paraId="6CA906C1">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侵占、毁损、擅自拆除、移动燃气设施</w:t>
            </w:r>
          </w:p>
        </w:tc>
        <w:tc>
          <w:tcPr>
            <w:tcW w:w="2789" w:type="dxa"/>
            <w:gridSpan w:val="2"/>
            <w:vMerge w:val="restart"/>
            <w:shd w:val="clear" w:color="auto" w:fill="auto"/>
            <w:vAlign w:val="center"/>
          </w:tcPr>
          <w:p w14:paraId="7608B203">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违反条款：第三十六条第一款；处罚条款：第五十一条第一款 责令限期改正，恢复原状或者采取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补救措施，对单位处5万元以上10万元以下罚款，对个人处5000元以上5万元以下罚款。</w:t>
            </w:r>
          </w:p>
        </w:tc>
        <w:tc>
          <w:tcPr>
            <w:tcW w:w="851" w:type="dxa"/>
            <w:shd w:val="clear" w:color="auto" w:fill="auto"/>
            <w:vAlign w:val="center"/>
          </w:tcPr>
          <w:p w14:paraId="6E9D65B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497D9BB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00D457B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7A16FBB">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的，系数1；2</w:t>
            </w:r>
            <w:r>
              <w:rPr>
                <w:rFonts w:hint="eastAsia" w:ascii="宋体" w:hAnsi="宋体" w:cs="宋体"/>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strike w:val="0"/>
                <w:dstrike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strike w:val="0"/>
                <w:dstrike w:val="0"/>
                <w:color w:val="auto"/>
                <w:kern w:val="0"/>
                <w:sz w:val="15"/>
                <w:szCs w:val="15"/>
                <w:highlight w:val="none"/>
              </w:rPr>
              <w:t>安全隐患</w:t>
            </w:r>
            <w:r>
              <w:rPr>
                <w:rFonts w:hint="eastAsia" w:cs="宋体" w:asciiTheme="minorEastAsia" w:hAnsiTheme="minorEastAsia" w:eastAsiaTheme="minorEastAsia"/>
                <w:b w:val="0"/>
                <w:bCs w:val="0"/>
                <w:strike w:val="0"/>
                <w:dstrike w:val="0"/>
                <w:color w:val="auto"/>
                <w:kern w:val="0"/>
                <w:sz w:val="15"/>
                <w:szCs w:val="15"/>
                <w:highlight w:val="none"/>
                <w:lang w:eastAsia="zh-CN"/>
              </w:rPr>
              <w:t>，</w:t>
            </w:r>
            <w:r>
              <w:rPr>
                <w:rFonts w:hint="eastAsia" w:cs="宋体" w:asciiTheme="minorEastAsia" w:hAnsiTheme="minorEastAsia" w:eastAsiaTheme="minorEastAsia"/>
                <w:b w:val="0"/>
                <w:bCs w:val="0"/>
                <w:strike w:val="0"/>
                <w:dstrike w:val="0"/>
                <w:color w:val="auto"/>
                <w:kern w:val="0"/>
                <w:sz w:val="15"/>
                <w:szCs w:val="15"/>
                <w:highlight w:val="none"/>
              </w:rPr>
              <w:t>或者</w:t>
            </w:r>
            <w:r>
              <w:rPr>
                <w:rFonts w:hint="eastAsia" w:cs="宋体" w:asciiTheme="minorEastAsia" w:hAnsiTheme="minorEastAsia" w:eastAsiaTheme="minorEastAsia"/>
                <w:b w:val="0"/>
                <w:bCs w:val="0"/>
                <w:strike w:val="0"/>
                <w:dstrike w:val="0"/>
                <w:color w:val="auto"/>
                <w:kern w:val="0"/>
                <w:sz w:val="15"/>
                <w:szCs w:val="15"/>
                <w:highlight w:val="none"/>
                <w:lang w:eastAsia="zh-CN"/>
              </w:rPr>
              <w:t>其他</w:t>
            </w:r>
            <w:r>
              <w:rPr>
                <w:rFonts w:hint="eastAsia" w:cs="宋体" w:asciiTheme="minorEastAsia" w:hAnsiTheme="minorEastAsia" w:eastAsiaTheme="minorEastAsia"/>
                <w:b w:val="0"/>
                <w:bCs w:val="0"/>
                <w:strike w:val="0"/>
                <w:dstrike w:val="0"/>
                <w:color w:val="auto"/>
                <w:kern w:val="0"/>
                <w:sz w:val="15"/>
                <w:szCs w:val="15"/>
                <w:highlight w:val="none"/>
              </w:rPr>
              <w:t>严重</w:t>
            </w:r>
            <w:r>
              <w:rPr>
                <w:rFonts w:hint="eastAsia" w:cs="宋体" w:asciiTheme="minorEastAsia" w:hAnsiTheme="minorEastAsia" w:eastAsiaTheme="minorEastAsia"/>
                <w:b w:val="0"/>
                <w:bCs w:val="0"/>
                <w:color w:val="auto"/>
                <w:kern w:val="0"/>
                <w:sz w:val="15"/>
                <w:szCs w:val="15"/>
                <w:highlight w:val="none"/>
              </w:rPr>
              <w:t>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48ED775">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3EDD246">
            <w:pPr>
              <w:spacing w:line="232" w:lineRule="exact"/>
              <w:rPr>
                <w:rFonts w:hint="default" w:cs="宋体" w:asciiTheme="minorEastAsia" w:hAnsiTheme="minorEastAsia" w:eastAsiaTheme="minorEastAsia"/>
                <w:color w:val="auto"/>
                <w:kern w:val="0"/>
                <w:sz w:val="15"/>
                <w:szCs w:val="15"/>
                <w:highlight w:val="none"/>
                <w:lang w:val="en-US" w:eastAsia="zh-CN"/>
              </w:rPr>
            </w:pPr>
          </w:p>
        </w:tc>
      </w:tr>
      <w:tr w14:paraId="159C2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94" w:hRule="atLeast"/>
          <w:jc w:val="center"/>
        </w:trPr>
        <w:tc>
          <w:tcPr>
            <w:tcW w:w="610" w:type="dxa"/>
            <w:vMerge w:val="continue"/>
            <w:shd w:val="clear" w:color="auto" w:fill="auto"/>
            <w:vAlign w:val="center"/>
          </w:tcPr>
          <w:p w14:paraId="19958A04">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6DFF4C8B">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7FCF4947">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373B211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74C611C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2DBA42E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9F6549D">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燃气管道为高压管线或者停气时间超过10小时的</w:t>
            </w:r>
            <w:r>
              <w:rPr>
                <w:rFonts w:hint="eastAsia" w:cs="宋体" w:asciiTheme="minorEastAsia" w:hAnsiTheme="minorEastAsia" w:eastAsiaTheme="minorEastAsia"/>
                <w:b w:val="0"/>
                <w:bCs w:val="0"/>
                <w:color w:val="auto"/>
                <w:kern w:val="0"/>
                <w:sz w:val="15"/>
                <w:szCs w:val="15"/>
                <w:highlight w:val="none"/>
                <w:lang w:val="en-US" w:eastAsia="zh-CN"/>
              </w:rPr>
              <w:t>，系数9；2.</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w:t>
            </w:r>
            <w:r>
              <w:rPr>
                <w:rFonts w:hint="eastAsia" w:cs="宋体" w:asciiTheme="minorEastAsia" w:hAnsiTheme="minorEastAsia" w:eastAsiaTheme="minorEastAsia"/>
                <w:b w:val="0"/>
                <w:bCs w:val="0"/>
                <w:color w:val="auto"/>
                <w:kern w:val="0"/>
                <w:sz w:val="15"/>
                <w:szCs w:val="15"/>
                <w:highlight w:val="none"/>
                <w:lang w:val="en-US" w:eastAsia="zh-CN"/>
              </w:rPr>
              <w:t>9；3</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2BE317E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10CD06A6">
            <w:pPr>
              <w:spacing w:line="232" w:lineRule="exact"/>
              <w:rPr>
                <w:rFonts w:cs="宋体" w:asciiTheme="minorEastAsia" w:hAnsiTheme="minorEastAsia" w:eastAsiaTheme="minorEastAsia"/>
                <w:color w:val="auto"/>
                <w:kern w:val="0"/>
                <w:sz w:val="15"/>
                <w:szCs w:val="15"/>
                <w:highlight w:val="none"/>
              </w:rPr>
            </w:pPr>
          </w:p>
        </w:tc>
      </w:tr>
      <w:tr w14:paraId="03C6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93" w:hRule="atLeast"/>
          <w:jc w:val="center"/>
        </w:trPr>
        <w:tc>
          <w:tcPr>
            <w:tcW w:w="610" w:type="dxa"/>
            <w:vMerge w:val="restart"/>
            <w:shd w:val="clear" w:color="auto" w:fill="auto"/>
            <w:vAlign w:val="center"/>
          </w:tcPr>
          <w:p w14:paraId="6B162DE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830" w:type="dxa"/>
            <w:gridSpan w:val="3"/>
            <w:vMerge w:val="restart"/>
            <w:shd w:val="clear" w:color="auto" w:fill="auto"/>
            <w:vAlign w:val="center"/>
          </w:tcPr>
          <w:p w14:paraId="725456EB">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擅自改动市政燃气设施</w:t>
            </w:r>
          </w:p>
        </w:tc>
        <w:tc>
          <w:tcPr>
            <w:tcW w:w="2789" w:type="dxa"/>
            <w:gridSpan w:val="2"/>
            <w:shd w:val="clear" w:color="auto" w:fill="auto"/>
            <w:vAlign w:val="center"/>
          </w:tcPr>
          <w:p w14:paraId="4CBC67A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w:t>
            </w:r>
            <w:r>
              <w:rPr>
                <w:rFonts w:hint="eastAsia" w:asciiTheme="minorEastAsia" w:hAnsiTheme="minorEastAsia" w:eastAsiaTheme="minorEastAsia"/>
                <w:color w:val="auto"/>
                <w:spacing w:val="-4"/>
                <w:sz w:val="15"/>
                <w:szCs w:val="15"/>
                <w:highlight w:val="none"/>
                <w:lang w:eastAsia="zh-CN"/>
              </w:rPr>
              <w:t>其他</w:t>
            </w:r>
            <w:r>
              <w:rPr>
                <w:rFonts w:hint="eastAsia" w:asciiTheme="minorEastAsia" w:hAnsiTheme="minorEastAsia" w:eastAsiaTheme="minorEastAsia"/>
                <w:color w:val="auto"/>
                <w:spacing w:val="-4"/>
                <w:sz w:val="15"/>
                <w:szCs w:val="15"/>
                <w:highlight w:val="none"/>
              </w:rPr>
              <w:t>补救措施，对单位处5万元以上10万元以下罚款，对个人处5000元以上5万元以下罚款</w:t>
            </w:r>
          </w:p>
        </w:tc>
        <w:tc>
          <w:tcPr>
            <w:tcW w:w="851" w:type="dxa"/>
            <w:shd w:val="clear" w:color="auto" w:fill="auto"/>
            <w:vAlign w:val="center"/>
          </w:tcPr>
          <w:p w14:paraId="4D290C1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05EB2CD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65CD75E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FD8974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燃气管道为高压管线或者停气时间超过10小时的</w:t>
            </w:r>
            <w:r>
              <w:rPr>
                <w:rFonts w:hint="eastAsia" w:cs="宋体" w:asciiTheme="minorEastAsia" w:hAnsiTheme="minorEastAsia" w:eastAsiaTheme="minorEastAsia"/>
                <w:b w:val="0"/>
                <w:bCs w:val="0"/>
                <w:color w:val="auto"/>
                <w:kern w:val="0"/>
                <w:sz w:val="15"/>
                <w:szCs w:val="15"/>
                <w:highlight w:val="none"/>
                <w:lang w:val="en-US" w:eastAsia="zh-CN"/>
              </w:rPr>
              <w:t>，系数1；2</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strike w:val="0"/>
                <w:dstrike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strike w:val="0"/>
                <w:dstrike w:val="0"/>
                <w:color w:val="auto"/>
                <w:kern w:val="0"/>
                <w:sz w:val="15"/>
                <w:szCs w:val="15"/>
                <w:highlight w:val="none"/>
              </w:rPr>
              <w:t>安全隐患</w:t>
            </w:r>
            <w:r>
              <w:rPr>
                <w:rFonts w:hint="eastAsia" w:cs="宋体" w:asciiTheme="minorEastAsia" w:hAnsiTheme="minorEastAsia" w:eastAsiaTheme="minorEastAsia"/>
                <w:b w:val="0"/>
                <w:bCs w:val="0"/>
                <w:strike w:val="0"/>
                <w:dstrike w:val="0"/>
                <w:color w:val="auto"/>
                <w:kern w:val="0"/>
                <w:sz w:val="15"/>
                <w:szCs w:val="15"/>
                <w:highlight w:val="none"/>
                <w:lang w:eastAsia="zh-CN"/>
              </w:rPr>
              <w:t>，</w:t>
            </w:r>
            <w:r>
              <w:rPr>
                <w:rFonts w:hint="eastAsia" w:cs="宋体" w:asciiTheme="minorEastAsia" w:hAnsiTheme="minorEastAsia" w:eastAsiaTheme="minorEastAsia"/>
                <w:b w:val="0"/>
                <w:bCs w:val="0"/>
                <w:strike w:val="0"/>
                <w:dstrike w:val="0"/>
                <w:color w:val="auto"/>
                <w:kern w:val="0"/>
                <w:sz w:val="15"/>
                <w:szCs w:val="15"/>
                <w:highlight w:val="none"/>
              </w:rPr>
              <w:t>或者</w:t>
            </w:r>
            <w:r>
              <w:rPr>
                <w:rFonts w:hint="eastAsia" w:cs="宋体" w:asciiTheme="minorEastAsia" w:hAnsiTheme="minorEastAsia" w:eastAsiaTheme="minorEastAsia"/>
                <w:b w:val="0"/>
                <w:bCs w:val="0"/>
                <w:strike w:val="0"/>
                <w:dstrike w:val="0"/>
                <w:color w:val="auto"/>
                <w:kern w:val="0"/>
                <w:sz w:val="15"/>
                <w:szCs w:val="15"/>
                <w:highlight w:val="none"/>
                <w:lang w:eastAsia="zh-CN"/>
              </w:rPr>
              <w:t>其他</w:t>
            </w:r>
            <w:r>
              <w:rPr>
                <w:rFonts w:hint="eastAsia" w:cs="宋体" w:asciiTheme="minorEastAsia" w:hAnsiTheme="minorEastAsia" w:eastAsiaTheme="minorEastAsia"/>
                <w:b w:val="0"/>
                <w:bCs w:val="0"/>
                <w:strike w:val="0"/>
                <w:dstrike w:val="0"/>
                <w:color w:val="auto"/>
                <w:kern w:val="0"/>
                <w:sz w:val="15"/>
                <w:szCs w:val="15"/>
                <w:highlight w:val="none"/>
              </w:rPr>
              <w:t>严重</w:t>
            </w:r>
            <w:r>
              <w:rPr>
                <w:rFonts w:hint="eastAsia" w:cs="宋体" w:asciiTheme="minorEastAsia" w:hAnsiTheme="minorEastAsia" w:eastAsiaTheme="minorEastAsia"/>
                <w:b w:val="0"/>
                <w:bCs w:val="0"/>
                <w:color w:val="auto"/>
                <w:kern w:val="0"/>
                <w:sz w:val="15"/>
                <w:szCs w:val="15"/>
                <w:highlight w:val="none"/>
              </w:rPr>
              <w:t>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F987CD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0C457FC">
            <w:pPr>
              <w:pStyle w:val="22"/>
              <w:ind w:left="0" w:leftChars="0" w:firstLine="0" w:firstLineChars="0"/>
              <w:rPr>
                <w:rFonts w:cs="宋体" w:asciiTheme="minorEastAsia" w:hAnsiTheme="minorEastAsia" w:eastAsiaTheme="minorEastAsia"/>
                <w:color w:val="auto"/>
                <w:kern w:val="0"/>
                <w:sz w:val="15"/>
                <w:szCs w:val="15"/>
                <w:highlight w:val="none"/>
              </w:rPr>
            </w:pPr>
          </w:p>
        </w:tc>
      </w:tr>
      <w:tr w14:paraId="17476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14:paraId="1CCC5156">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1D9168CB">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14:paraId="0CDBE10E">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w:t>
            </w:r>
            <w:r>
              <w:rPr>
                <w:rFonts w:hint="eastAsia" w:asciiTheme="minorEastAsia" w:hAnsiTheme="minorEastAsia" w:eastAsiaTheme="minorEastAsia"/>
                <w:color w:val="auto"/>
                <w:spacing w:val="-4"/>
                <w:sz w:val="15"/>
                <w:szCs w:val="15"/>
                <w:highlight w:val="none"/>
                <w:lang w:eastAsia="zh-CN"/>
              </w:rPr>
              <w:t>其他</w:t>
            </w:r>
            <w:r>
              <w:rPr>
                <w:rFonts w:hint="eastAsia" w:asciiTheme="minorEastAsia" w:hAnsiTheme="minorEastAsia" w:eastAsiaTheme="minorEastAsia"/>
                <w:color w:val="auto"/>
                <w:spacing w:val="-4"/>
                <w:sz w:val="15"/>
                <w:szCs w:val="15"/>
                <w:highlight w:val="none"/>
              </w:rPr>
              <w:t>补救措施，对单位处5万元以上10万元以下罚款，对个人处5000元以上5万元以下罚款</w:t>
            </w:r>
          </w:p>
        </w:tc>
        <w:tc>
          <w:tcPr>
            <w:tcW w:w="851" w:type="dxa"/>
            <w:shd w:val="clear" w:color="auto" w:fill="auto"/>
            <w:vAlign w:val="center"/>
          </w:tcPr>
          <w:p w14:paraId="42C9656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14:paraId="3ABA8FE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18714A1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A7B6E4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燃气管道为高压管线或者停气时间超过10小时的</w:t>
            </w:r>
            <w:r>
              <w:rPr>
                <w:rFonts w:hint="eastAsia" w:cs="宋体" w:asciiTheme="minorEastAsia" w:hAnsiTheme="minorEastAsia" w:eastAsiaTheme="minorEastAsia"/>
                <w:b w:val="0"/>
                <w:bCs w:val="0"/>
                <w:color w:val="auto"/>
                <w:kern w:val="0"/>
                <w:sz w:val="15"/>
                <w:szCs w:val="15"/>
                <w:highlight w:val="none"/>
                <w:lang w:val="en-US" w:eastAsia="zh-CN"/>
              </w:rPr>
              <w:t>，系数9；2.</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color w:val="auto"/>
                <w:kern w:val="0"/>
                <w:sz w:val="15"/>
                <w:szCs w:val="15"/>
                <w:highlight w:val="none"/>
              </w:rPr>
              <w:t>安全隐患</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或者</w:t>
            </w:r>
            <w:r>
              <w:rPr>
                <w:rFonts w:hint="eastAsia" w:cs="宋体" w:asciiTheme="minorEastAsia" w:hAnsiTheme="minorEastAsia" w:eastAsiaTheme="minorEastAsia"/>
                <w:b w:val="0"/>
                <w:bCs w:val="0"/>
                <w:color w:val="auto"/>
                <w:kern w:val="0"/>
                <w:sz w:val="15"/>
                <w:szCs w:val="15"/>
                <w:highlight w:val="none"/>
                <w:lang w:eastAsia="zh-CN"/>
              </w:rPr>
              <w:t>其他</w:t>
            </w:r>
            <w:r>
              <w:rPr>
                <w:rFonts w:hint="eastAsia" w:cs="宋体" w:asciiTheme="minorEastAsia" w:hAnsiTheme="minorEastAsia" w:eastAsiaTheme="minorEastAsia"/>
                <w:b w:val="0"/>
                <w:bCs w:val="0"/>
                <w:color w:val="auto"/>
                <w:kern w:val="0"/>
                <w:sz w:val="15"/>
                <w:szCs w:val="15"/>
                <w:highlight w:val="none"/>
              </w:rPr>
              <w:t>严重影响用气情形的，系数</w:t>
            </w:r>
            <w:r>
              <w:rPr>
                <w:rFonts w:hint="eastAsia" w:cs="宋体" w:asciiTheme="minorEastAsia" w:hAnsiTheme="minorEastAsia" w:eastAsiaTheme="minorEastAsia"/>
                <w:b w:val="0"/>
                <w:bCs w:val="0"/>
                <w:color w:val="auto"/>
                <w:kern w:val="0"/>
                <w:sz w:val="15"/>
                <w:szCs w:val="15"/>
                <w:highlight w:val="none"/>
                <w:lang w:val="en-US" w:eastAsia="zh-CN"/>
              </w:rPr>
              <w:t>9；3</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65D4C05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4C421B7B">
            <w:pPr>
              <w:spacing w:line="232" w:lineRule="exact"/>
              <w:rPr>
                <w:rFonts w:cs="宋体" w:asciiTheme="minorEastAsia" w:hAnsiTheme="minorEastAsia" w:eastAsiaTheme="minorEastAsia"/>
                <w:color w:val="auto"/>
                <w:kern w:val="0"/>
                <w:sz w:val="15"/>
                <w:szCs w:val="15"/>
                <w:highlight w:val="none"/>
              </w:rPr>
            </w:pPr>
          </w:p>
        </w:tc>
      </w:tr>
      <w:tr w14:paraId="2AC5F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3" w:hRule="atLeast"/>
          <w:jc w:val="center"/>
        </w:trPr>
        <w:tc>
          <w:tcPr>
            <w:tcW w:w="610" w:type="dxa"/>
            <w:shd w:val="clear" w:color="auto" w:fill="auto"/>
            <w:vAlign w:val="center"/>
          </w:tcPr>
          <w:p w14:paraId="2A0CAA8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830" w:type="dxa"/>
            <w:gridSpan w:val="3"/>
            <w:shd w:val="clear" w:color="auto" w:fill="auto"/>
            <w:vAlign w:val="center"/>
          </w:tcPr>
          <w:p w14:paraId="1EF1445C">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毁损、覆盖、涂改、擅自拆除或者移动燃气设施安全警示标志</w:t>
            </w:r>
          </w:p>
        </w:tc>
        <w:tc>
          <w:tcPr>
            <w:tcW w:w="2789" w:type="dxa"/>
            <w:gridSpan w:val="2"/>
            <w:shd w:val="clear" w:color="auto" w:fill="auto"/>
            <w:vAlign w:val="center"/>
          </w:tcPr>
          <w:p w14:paraId="6DD736D7">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违反条款：第三十六条第一款；处罚条款：第五十一条第二款 责令限期改正，恢复原状，可以处5000元以下罚款</w:t>
            </w:r>
          </w:p>
        </w:tc>
        <w:tc>
          <w:tcPr>
            <w:tcW w:w="851" w:type="dxa"/>
            <w:shd w:val="clear" w:color="auto" w:fill="auto"/>
            <w:vAlign w:val="center"/>
          </w:tcPr>
          <w:p w14:paraId="373B83C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6B41370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D16ECF8">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cs="宋体"/>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涉及安全警示标志</w:t>
            </w:r>
            <w:r>
              <w:rPr>
                <w:rFonts w:hint="eastAsia" w:ascii="宋体" w:hAnsi="宋体" w:eastAsia="宋体" w:cs="宋体"/>
                <w:b w:val="0"/>
                <w:bCs w:val="0"/>
                <w:color w:val="auto"/>
                <w:kern w:val="0"/>
                <w:sz w:val="15"/>
                <w:szCs w:val="15"/>
                <w:highlight w:val="none"/>
                <w:lang w:val="en-US" w:eastAsia="zh-CN"/>
              </w:rPr>
              <w:t>2处及以上的，系数1；4处及以上的，系数2；6处及以上的，系数4</w:t>
            </w:r>
            <w:r>
              <w:rPr>
                <w:rFonts w:hint="eastAsia" w:ascii="宋体" w:hAnsi="宋体" w:cs="宋体"/>
                <w:b w:val="0"/>
                <w:bCs w:val="0"/>
                <w:color w:val="auto"/>
                <w:kern w:val="0"/>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发生在人口集中地区或人员密集场所的，系数2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.导致相关燃气安全事故的，系数4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A30E15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68EC3D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处以1000元以下的罚款。按照办法规定和实际情况执行。</w:t>
            </w:r>
          </w:p>
        </w:tc>
      </w:tr>
      <w:tr w14:paraId="1E750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23" w:hRule="atLeast"/>
          <w:jc w:val="center"/>
        </w:trPr>
        <w:tc>
          <w:tcPr>
            <w:tcW w:w="610" w:type="dxa"/>
            <w:shd w:val="clear" w:color="auto" w:fill="auto"/>
            <w:vAlign w:val="center"/>
          </w:tcPr>
          <w:p w14:paraId="63029F6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830" w:type="dxa"/>
            <w:gridSpan w:val="3"/>
            <w:shd w:val="clear" w:color="auto" w:fill="auto"/>
            <w:vAlign w:val="center"/>
          </w:tcPr>
          <w:p w14:paraId="5B99AFAE">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建设单位未会同施工单位与管道燃气经营者共同制定燃气设施保护方案</w:t>
            </w:r>
          </w:p>
        </w:tc>
        <w:tc>
          <w:tcPr>
            <w:tcW w:w="2789" w:type="dxa"/>
            <w:gridSpan w:val="2"/>
            <w:shd w:val="clear" w:color="auto" w:fill="auto"/>
            <w:vAlign w:val="center"/>
          </w:tcPr>
          <w:p w14:paraId="7E175D30">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14:paraId="4AADFE4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901036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FD2E8DE">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 发生在人口集中地区或人员密集场所的，系数2</w:t>
            </w:r>
            <w:r>
              <w:rPr>
                <w:rFonts w:hint="eastAsia" w:ascii="宋体" w:hAnsi="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造成燃气设施毁损的，</w:t>
            </w:r>
            <w:r>
              <w:rPr>
                <w:rFonts w:hint="eastAsia" w:ascii="宋体" w:hAnsi="宋体" w:eastAsia="宋体" w:cs="宋体"/>
                <w:b w:val="0"/>
                <w:bCs w:val="0"/>
                <w:color w:val="auto"/>
                <w:kern w:val="0"/>
                <w:sz w:val="15"/>
                <w:szCs w:val="15"/>
                <w:highlight w:val="none"/>
                <w:lang w:val="en-US" w:eastAsia="zh-CN"/>
              </w:rPr>
              <w:t>影响居民用户200户（含200户）-500户或者非居民用户达到3户（含3户）-5户的，系数4；影响居民用户达到500户（含500户）或者非居民用户达到5户（含5户）的，系数9</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default" w:ascii="宋体" w:hAnsi="宋体" w:eastAsia="宋体" w:cs="宋体"/>
                <w:color w:val="auto"/>
                <w:kern w:val="0"/>
                <w:sz w:val="15"/>
                <w:szCs w:val="15"/>
                <w:highlight w:val="none"/>
                <w:lang w:val="en" w:eastAsia="zh-CN"/>
              </w:rPr>
              <w:t>.</w:t>
            </w:r>
            <w:r>
              <w:rPr>
                <w:rFonts w:hint="eastAsia" w:ascii="宋体" w:hAnsi="宋体" w:eastAsia="宋体" w:cs="宋体"/>
                <w:color w:val="auto"/>
                <w:kern w:val="0"/>
                <w:sz w:val="15"/>
                <w:szCs w:val="15"/>
                <w:highlight w:val="none"/>
                <w:lang w:eastAsia="zh-CN"/>
              </w:rPr>
              <w:t>导致</w:t>
            </w:r>
            <w:r>
              <w:rPr>
                <w:rFonts w:hint="eastAsia" w:ascii="宋体" w:hAnsi="宋体" w:eastAsia="宋体" w:cs="宋体"/>
                <w:color w:val="auto"/>
                <w:kern w:val="0"/>
                <w:sz w:val="15"/>
                <w:szCs w:val="15"/>
                <w:highlight w:val="none"/>
              </w:rPr>
              <w:t>相关燃气安全事故的，系数</w:t>
            </w:r>
            <w:r>
              <w:rPr>
                <w:rFonts w:hint="eastAsia" w:ascii="宋体" w:hAnsi="宋体" w:eastAsia="宋体" w:cs="宋体"/>
                <w:color w:val="auto"/>
                <w:kern w:val="0"/>
                <w:sz w:val="15"/>
                <w:szCs w:val="15"/>
                <w:highlight w:val="none"/>
                <w:lang w:val="en-US" w:eastAsia="zh-CN"/>
              </w:rPr>
              <w:t>9</w:t>
            </w:r>
            <w:r>
              <w:rPr>
                <w:rFonts w:hint="eastAsia" w:ascii="宋体" w:hAnsi="宋体" w:eastAsia="宋体" w:cs="宋体"/>
                <w:color w:val="auto"/>
                <w:kern w:val="0"/>
                <w:sz w:val="15"/>
                <w:szCs w:val="15"/>
                <w:highlight w:val="none"/>
              </w:rPr>
              <w:t>。</w:t>
            </w:r>
          </w:p>
          <w:p w14:paraId="3E2B2D83">
            <w:pPr>
              <w:keepNext w:val="0"/>
              <w:keepLines w:val="0"/>
              <w:pageBreakBefore w:val="0"/>
              <w:widowControl w:val="0"/>
              <w:numPr>
                <w:ilvl w:val="0"/>
                <w:numId w:val="0"/>
              </w:numPr>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ascii="宋体" w:hAnsi="宋体" w:cs="宋体"/>
                <w:b w:val="0"/>
                <w:bCs w:val="0"/>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0056EE3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DAC815D">
            <w:pPr>
              <w:spacing w:line="232" w:lineRule="exact"/>
              <w:rPr>
                <w:rFonts w:cs="宋体" w:asciiTheme="minorEastAsia" w:hAnsiTheme="minorEastAsia" w:eastAsiaTheme="minorEastAsia"/>
                <w:color w:val="auto"/>
                <w:kern w:val="0"/>
                <w:sz w:val="15"/>
                <w:szCs w:val="15"/>
                <w:highlight w:val="none"/>
              </w:rPr>
            </w:pPr>
          </w:p>
        </w:tc>
      </w:tr>
      <w:tr w14:paraId="511B8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94" w:hRule="atLeast"/>
          <w:jc w:val="center"/>
        </w:trPr>
        <w:tc>
          <w:tcPr>
            <w:tcW w:w="610" w:type="dxa"/>
            <w:shd w:val="clear" w:color="auto" w:fill="auto"/>
            <w:vAlign w:val="center"/>
          </w:tcPr>
          <w:p w14:paraId="7C54705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830" w:type="dxa"/>
            <w:gridSpan w:val="3"/>
            <w:shd w:val="clear" w:color="auto" w:fill="auto"/>
            <w:vAlign w:val="center"/>
          </w:tcPr>
          <w:p w14:paraId="2263F879">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建设单位、施工单位未采取安全保护措施，确保燃气设施运行安全</w:t>
            </w:r>
          </w:p>
        </w:tc>
        <w:tc>
          <w:tcPr>
            <w:tcW w:w="2789" w:type="dxa"/>
            <w:gridSpan w:val="2"/>
            <w:shd w:val="clear" w:color="auto" w:fill="auto"/>
            <w:vAlign w:val="center"/>
          </w:tcPr>
          <w:p w14:paraId="7C385443">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14:paraId="1917E78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FCC6F9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397403C">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发生在人口集中地区或人员密集场所的，系数2</w:t>
            </w:r>
            <w:r>
              <w:rPr>
                <w:rFonts w:hint="eastAsia" w:ascii="宋体" w:hAnsi="宋体" w:cs="宋体"/>
                <w:color w:val="auto"/>
                <w:kern w:val="0"/>
                <w:sz w:val="15"/>
                <w:szCs w:val="15"/>
                <w:highlight w:val="none"/>
                <w:lang w:eastAsia="zh-CN"/>
              </w:rPr>
              <w:t>。</w:t>
            </w:r>
            <w:r>
              <w:rPr>
                <w:rFonts w:hint="eastAsia" w:ascii="宋体" w:hAnsi="宋体" w:eastAsia="宋体" w:cs="宋体"/>
                <w:b w:val="0"/>
                <w:bCs w:val="0"/>
                <w:color w:val="auto"/>
                <w:kern w:val="0"/>
                <w:sz w:val="15"/>
                <w:szCs w:val="15"/>
                <w:highlight w:val="none"/>
              </w:rPr>
              <w:t>2.</w:t>
            </w:r>
            <w:r>
              <w:rPr>
                <w:rFonts w:hint="eastAsia" w:ascii="宋体" w:hAnsi="宋体" w:eastAsia="宋体" w:cs="宋体"/>
                <w:b w:val="0"/>
                <w:bCs w:val="0"/>
                <w:color w:val="auto"/>
                <w:kern w:val="0"/>
                <w:sz w:val="15"/>
                <w:szCs w:val="15"/>
                <w:highlight w:val="none"/>
                <w:lang w:eastAsia="zh-CN"/>
              </w:rPr>
              <w:t>造成燃气设施毁损的，</w:t>
            </w:r>
            <w:r>
              <w:rPr>
                <w:rFonts w:hint="eastAsia" w:ascii="宋体" w:hAnsi="宋体" w:eastAsia="宋体" w:cs="宋体"/>
                <w:b w:val="0"/>
                <w:bCs w:val="0"/>
                <w:color w:val="auto"/>
                <w:kern w:val="0"/>
                <w:sz w:val="15"/>
                <w:szCs w:val="15"/>
                <w:highlight w:val="none"/>
                <w:lang w:val="en-US" w:eastAsia="zh-CN"/>
              </w:rPr>
              <w:t>影响居民用户200户（含200户）-500户或者非居民用户达到3户（含3户）-5户的，系数4；影响居民用户达到500户（含500户）或者非居民用户达到5户（含5户）的，系数9</w:t>
            </w:r>
            <w:r>
              <w:rPr>
                <w:rFonts w:hint="eastAsia" w:ascii="宋体" w:hAnsi="宋体" w:cs="宋体"/>
                <w:b w:val="0"/>
                <w:bCs w:val="0"/>
                <w:color w:val="auto"/>
                <w:kern w:val="0"/>
                <w:sz w:val="15"/>
                <w:szCs w:val="15"/>
                <w:highlight w:val="none"/>
                <w:lang w:val="en-US"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导致</w:t>
            </w:r>
            <w:r>
              <w:rPr>
                <w:rFonts w:hint="eastAsia" w:ascii="宋体" w:hAnsi="宋体" w:eastAsia="宋体" w:cs="宋体"/>
                <w:color w:val="auto"/>
                <w:kern w:val="0"/>
                <w:sz w:val="15"/>
                <w:szCs w:val="15"/>
                <w:highlight w:val="none"/>
              </w:rPr>
              <w:t>相关燃气安全事故的，系数9。</w:t>
            </w:r>
          </w:p>
          <w:p w14:paraId="09F83ADD">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0E7FCAF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4224D346">
            <w:pPr>
              <w:spacing w:line="232" w:lineRule="exact"/>
              <w:rPr>
                <w:rFonts w:hint="eastAsia" w:cs="宋体" w:asciiTheme="minorEastAsia" w:hAnsiTheme="minorEastAsia" w:eastAsiaTheme="minorEastAsia"/>
                <w:color w:val="auto"/>
                <w:kern w:val="0"/>
                <w:sz w:val="15"/>
                <w:szCs w:val="15"/>
                <w:highlight w:val="none"/>
                <w:lang w:eastAsia="zh-CN"/>
              </w:rPr>
            </w:pPr>
          </w:p>
        </w:tc>
      </w:tr>
      <w:tr w14:paraId="4079F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16" w:hRule="atLeast"/>
          <w:jc w:val="center"/>
        </w:trPr>
        <w:tc>
          <w:tcPr>
            <w:tcW w:w="14203" w:type="dxa"/>
            <w:gridSpan w:val="13"/>
            <w:shd w:val="clear" w:color="auto" w:fill="auto"/>
            <w:vAlign w:val="center"/>
          </w:tcPr>
          <w:p w14:paraId="40D0E3D6">
            <w:pPr>
              <w:pStyle w:val="3"/>
              <w:widowControl w:val="0"/>
              <w:spacing w:line="232" w:lineRule="exact"/>
              <w:jc w:val="center"/>
              <w:rPr>
                <w:rFonts w:asciiTheme="minorEastAsia" w:hAnsiTheme="minorEastAsia" w:eastAsiaTheme="minorEastAsia"/>
                <w:color w:val="auto"/>
                <w:sz w:val="15"/>
                <w:szCs w:val="15"/>
                <w:highlight w:val="none"/>
              </w:rPr>
            </w:pPr>
            <w:bookmarkStart w:id="68" w:name="_Toc933264002"/>
            <w:bookmarkStart w:id="69" w:name="_Toc110851458"/>
            <w:bookmarkStart w:id="70" w:name="_Toc1968530984"/>
            <w:r>
              <w:rPr>
                <w:rFonts w:hint="eastAsia" w:asciiTheme="minorEastAsia" w:hAnsiTheme="minorEastAsia" w:eastAsiaTheme="minorEastAsia"/>
                <w:color w:val="auto"/>
                <w:sz w:val="21"/>
                <w:szCs w:val="21"/>
                <w:highlight w:val="none"/>
              </w:rPr>
              <w:t>《北京市燃气管理条例》案由26项</w:t>
            </w:r>
            <w:bookmarkEnd w:id="68"/>
            <w:bookmarkEnd w:id="69"/>
            <w:bookmarkEnd w:id="70"/>
          </w:p>
        </w:tc>
      </w:tr>
      <w:tr w14:paraId="71B47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6776AA45">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w:t>
            </w:r>
          </w:p>
        </w:tc>
        <w:tc>
          <w:tcPr>
            <w:tcW w:w="1830" w:type="dxa"/>
            <w:gridSpan w:val="3"/>
            <w:shd w:val="clear" w:color="auto" w:fill="auto"/>
            <w:vAlign w:val="center"/>
          </w:tcPr>
          <w:p w14:paraId="605A8C4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未取得燃气经营许可从事燃气经营活动</w:t>
            </w:r>
          </w:p>
        </w:tc>
        <w:tc>
          <w:tcPr>
            <w:tcW w:w="2789" w:type="dxa"/>
            <w:gridSpan w:val="2"/>
            <w:shd w:val="clear" w:color="auto" w:fill="auto"/>
            <w:vAlign w:val="center"/>
          </w:tcPr>
          <w:p w14:paraId="783F89EA">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违反条款：第十六条第一款；</w:t>
            </w:r>
          </w:p>
          <w:p w14:paraId="5BEEC36F">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处罚条款：第五十五条第一款 责令停止违法行为，处五万元以上五十万元以下罚款；有违法所得的，没收违法所得。</w:t>
            </w:r>
          </w:p>
        </w:tc>
        <w:tc>
          <w:tcPr>
            <w:tcW w:w="851" w:type="dxa"/>
            <w:shd w:val="clear" w:color="auto" w:fill="auto"/>
            <w:vAlign w:val="center"/>
          </w:tcPr>
          <w:p w14:paraId="1B500A1A">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14:paraId="29A4C6F8">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62366972">
            <w:pPr>
              <w:numPr>
                <w:ilvl w:val="0"/>
                <w:numId w:val="0"/>
              </w:num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1.跨区级区域经营或者违规经营规模较大(气瓶数量超过28个)，系数5；</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发生燃气安全事故的，系数9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42E9EBA">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85B5E9A">
            <w:pPr>
              <w:spacing w:line="232" w:lineRule="exact"/>
              <w:rPr>
                <w:rFonts w:cs="仿宋_GB2312" w:asciiTheme="minorEastAsia" w:hAnsiTheme="minorEastAsia" w:eastAsiaTheme="minorEastAsia"/>
                <w:color w:val="auto"/>
                <w:kern w:val="0"/>
                <w:sz w:val="15"/>
                <w:szCs w:val="15"/>
                <w:highlight w:val="none"/>
              </w:rPr>
            </w:pPr>
          </w:p>
        </w:tc>
      </w:tr>
      <w:tr w14:paraId="6AF1E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42E3DE12">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2</w:t>
            </w:r>
          </w:p>
        </w:tc>
        <w:tc>
          <w:tcPr>
            <w:tcW w:w="1830" w:type="dxa"/>
            <w:gridSpan w:val="3"/>
            <w:shd w:val="clear" w:color="auto" w:fill="auto"/>
            <w:vAlign w:val="center"/>
          </w:tcPr>
          <w:p w14:paraId="460C86E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燃气供应企业不按照燃气经营许可决定的要求从事燃气经营活动</w:t>
            </w:r>
          </w:p>
        </w:tc>
        <w:tc>
          <w:tcPr>
            <w:tcW w:w="2789" w:type="dxa"/>
            <w:gridSpan w:val="2"/>
            <w:shd w:val="clear" w:color="auto" w:fill="auto"/>
            <w:vAlign w:val="center"/>
          </w:tcPr>
          <w:p w14:paraId="24C53685">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违反条款：第十六条第四款；</w:t>
            </w:r>
          </w:p>
          <w:p w14:paraId="07842DE5">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14:paraId="619BEA9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14:paraId="5892A61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49657AA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，系数6</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8CCF55E">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p w14:paraId="16EB9F89">
            <w:pPr>
              <w:spacing w:line="232" w:lineRule="exact"/>
              <w:rPr>
                <w:rFonts w:cs="仿宋_GB2312"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5893439E">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35E04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60" w:hRule="atLeast"/>
          <w:jc w:val="center"/>
        </w:trPr>
        <w:tc>
          <w:tcPr>
            <w:tcW w:w="610" w:type="dxa"/>
            <w:shd w:val="clear" w:color="auto" w:fill="auto"/>
            <w:vAlign w:val="center"/>
          </w:tcPr>
          <w:p w14:paraId="4314AC40">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3</w:t>
            </w:r>
          </w:p>
        </w:tc>
        <w:tc>
          <w:tcPr>
            <w:tcW w:w="1830" w:type="dxa"/>
            <w:gridSpan w:val="3"/>
            <w:shd w:val="clear" w:color="auto" w:fill="auto"/>
            <w:vAlign w:val="center"/>
          </w:tcPr>
          <w:p w14:paraId="0F67B489">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燃气供应企业不符合燃气经营许可条件要求从事燃气经营活动</w:t>
            </w:r>
          </w:p>
        </w:tc>
        <w:tc>
          <w:tcPr>
            <w:tcW w:w="2789" w:type="dxa"/>
            <w:gridSpan w:val="2"/>
            <w:shd w:val="clear" w:color="auto" w:fill="auto"/>
            <w:vAlign w:val="center"/>
          </w:tcPr>
          <w:p w14:paraId="5168D455">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违反条款：第十六条第二款；</w:t>
            </w:r>
          </w:p>
          <w:p w14:paraId="0079C58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14:paraId="1241BC96">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14:paraId="56215FD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500C347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安全隐患的，系数6</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69690CA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57F2D12">
            <w:pPr>
              <w:autoSpaceDE w:val="0"/>
              <w:spacing w:before="100" w:beforeAutospacing="1" w:after="100" w:afterAutospacing="1"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2B113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00" w:hRule="atLeast"/>
          <w:jc w:val="center"/>
        </w:trPr>
        <w:tc>
          <w:tcPr>
            <w:tcW w:w="610" w:type="dxa"/>
            <w:shd w:val="clear" w:color="auto" w:fill="auto"/>
            <w:vAlign w:val="center"/>
          </w:tcPr>
          <w:p w14:paraId="3E5807C8">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4</w:t>
            </w:r>
          </w:p>
        </w:tc>
        <w:tc>
          <w:tcPr>
            <w:tcW w:w="1830" w:type="dxa"/>
            <w:gridSpan w:val="3"/>
            <w:shd w:val="clear" w:color="auto" w:fill="auto"/>
            <w:vAlign w:val="center"/>
          </w:tcPr>
          <w:p w14:paraId="15D72770">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燃气供应企业违反规定情形与非居民用户签订供用气合同（进行供气）</w:t>
            </w:r>
          </w:p>
        </w:tc>
        <w:tc>
          <w:tcPr>
            <w:tcW w:w="2789" w:type="dxa"/>
            <w:gridSpan w:val="2"/>
            <w:shd w:val="clear" w:color="auto" w:fill="auto"/>
            <w:vAlign w:val="center"/>
          </w:tcPr>
          <w:p w14:paraId="1F01D481">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第二十条（一）（二）（三）项（根据实际情况选择适用）；</w:t>
            </w:r>
          </w:p>
          <w:p w14:paraId="2C1E0848">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4B9EB620">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0F392CA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77E7126E">
            <w:pPr>
              <w:spacing w:line="212" w:lineRule="exact"/>
              <w:rPr>
                <w:rFonts w:cs="仿宋_GB2312"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kern w:val="0"/>
                <w:sz w:val="15"/>
                <w:szCs w:val="15"/>
                <w:highlight w:val="none"/>
              </w:rPr>
              <w:t>1.存在第二十条第（二）项违法行为的，系数1；2.同时违反第二十条第（一）（二）（三）项中两项违法行为的，系数2；两项以上违法行为的，系数3-4；3.发生燃气事故，或者</w:t>
            </w:r>
            <w:r>
              <w:rPr>
                <w:rFonts w:hint="eastAsia" w:cs="仿宋_GB2312" w:asciiTheme="minorEastAsia" w:hAnsiTheme="minorEastAsia" w:eastAsiaTheme="minorEastAsia"/>
                <w:color w:val="auto"/>
                <w:spacing w:val="-4"/>
                <w:kern w:val="0"/>
                <w:sz w:val="15"/>
                <w:szCs w:val="15"/>
                <w:highlight w:val="none"/>
                <w:lang w:eastAsia="zh-CN"/>
              </w:rPr>
              <w:t>其他</w:t>
            </w:r>
            <w:r>
              <w:rPr>
                <w:rFonts w:hint="eastAsia" w:cs="仿宋_GB2312" w:asciiTheme="minorEastAsia" w:hAnsiTheme="minorEastAsia" w:eastAsiaTheme="minorEastAsia"/>
                <w:color w:val="auto"/>
                <w:spacing w:val="-4"/>
                <w:kern w:val="0"/>
                <w:sz w:val="15"/>
                <w:szCs w:val="15"/>
                <w:highlight w:val="none"/>
              </w:rPr>
              <w:t>严重影响用气情形的，系数4</w:t>
            </w:r>
            <w:r>
              <w:rPr>
                <w:rFonts w:hint="eastAsia" w:cs="仿宋_GB2312" w:asciiTheme="minorEastAsia" w:hAnsiTheme="minorEastAsia" w:eastAsiaTheme="minorEastAsia"/>
                <w:color w:val="auto"/>
                <w:spacing w:val="-4"/>
                <w:kern w:val="0"/>
                <w:sz w:val="15"/>
                <w:szCs w:val="15"/>
                <w:highlight w:val="none"/>
                <w:lang w:eastAsia="zh-CN"/>
              </w:rPr>
              <w:t>；</w:t>
            </w:r>
            <w:r>
              <w:rPr>
                <w:rFonts w:hint="eastAsia" w:cs="仿宋_GB2312" w:asciiTheme="minorEastAsia" w:hAnsiTheme="minorEastAsia" w:eastAsiaTheme="minorEastAsia"/>
                <w:color w:val="auto"/>
                <w:spacing w:val="-4"/>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D50E03A">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3124D3F">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p w14:paraId="159AA7A0">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p>
        </w:tc>
      </w:tr>
      <w:tr w14:paraId="7B123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42FB7143">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5</w:t>
            </w:r>
          </w:p>
        </w:tc>
        <w:tc>
          <w:tcPr>
            <w:tcW w:w="1830" w:type="dxa"/>
            <w:gridSpan w:val="3"/>
            <w:shd w:val="clear" w:color="auto" w:fill="auto"/>
            <w:vAlign w:val="center"/>
          </w:tcPr>
          <w:p w14:paraId="545503BA">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燃气供应企业未向用户提供安全、稳定、质量合格和价格合理的服务</w:t>
            </w:r>
          </w:p>
        </w:tc>
        <w:tc>
          <w:tcPr>
            <w:tcW w:w="2789" w:type="dxa"/>
            <w:gridSpan w:val="2"/>
            <w:shd w:val="clear" w:color="auto" w:fill="auto"/>
            <w:vAlign w:val="center"/>
          </w:tcPr>
          <w:p w14:paraId="00A457FD">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违反条款：第二十一条第一款；</w:t>
            </w:r>
          </w:p>
          <w:p w14:paraId="1C17F137">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5BE1BCBA">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1828DCAB">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0AB058A0">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的，系数2；2.未按燃气管理部门要求整改，或整改后再次发生类似违法行为的，系数4；3.发生燃气安全事故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F53CC6F">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1D00B949">
            <w:pPr>
              <w:spacing w:line="17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3B3BC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53" w:hRule="atLeast"/>
          <w:jc w:val="center"/>
        </w:trPr>
        <w:tc>
          <w:tcPr>
            <w:tcW w:w="610" w:type="dxa"/>
            <w:shd w:val="clear" w:color="auto" w:fill="auto"/>
            <w:vAlign w:val="center"/>
          </w:tcPr>
          <w:p w14:paraId="5EAA72E5">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6</w:t>
            </w:r>
          </w:p>
        </w:tc>
        <w:tc>
          <w:tcPr>
            <w:tcW w:w="1830" w:type="dxa"/>
            <w:gridSpan w:val="3"/>
            <w:shd w:val="clear" w:color="auto" w:fill="auto"/>
            <w:vAlign w:val="center"/>
          </w:tcPr>
          <w:p w14:paraId="3E3B252C">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燃气供应企业未建立和完善安全保障制度并遵守相关规定</w:t>
            </w:r>
          </w:p>
        </w:tc>
        <w:tc>
          <w:tcPr>
            <w:tcW w:w="2789" w:type="dxa"/>
            <w:gridSpan w:val="2"/>
            <w:shd w:val="clear" w:color="auto" w:fill="auto"/>
            <w:vAlign w:val="center"/>
          </w:tcPr>
          <w:p w14:paraId="0EA075FF">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违反条款：第二十二条第（一）（二）（三）（四）（五）（六）（七）（八）项（根据实际违法情形选择）；</w:t>
            </w:r>
          </w:p>
          <w:p w14:paraId="18FCAA43">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787AEE70">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E7B9FFF">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782B43FF">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w:t>
            </w:r>
            <w:r>
              <w:rPr>
                <w:rFonts w:hint="eastAsia" w:cs="仿宋_GB2312" w:asciiTheme="minorEastAsia" w:hAnsiTheme="minorEastAsia" w:eastAsiaTheme="minorEastAsia"/>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w:t>
            </w:r>
            <w:r>
              <w:rPr>
                <w:rFonts w:hint="eastAsia" w:cs="仿宋_GB2312" w:asciiTheme="minorEastAsia" w:hAnsiTheme="minorEastAsia" w:eastAsiaTheme="minorEastAsia"/>
                <w:color w:val="auto"/>
                <w:kern w:val="0"/>
                <w:sz w:val="15"/>
                <w:szCs w:val="15"/>
                <w:highlight w:val="none"/>
                <w:shd w:val="clear" w:color="auto" w:fill="FFFFFF"/>
                <w:lang w:eastAsia="zh-CN"/>
              </w:rPr>
              <w:t>其他</w:t>
            </w:r>
            <w:r>
              <w:rPr>
                <w:rFonts w:hint="eastAsia" w:cs="仿宋_GB2312" w:asciiTheme="minorEastAsia" w:hAnsiTheme="minorEastAsia" w:eastAsiaTheme="minorEastAsia"/>
                <w:color w:val="auto"/>
                <w:kern w:val="0"/>
                <w:sz w:val="15"/>
                <w:szCs w:val="15"/>
                <w:highlight w:val="none"/>
                <w:shd w:val="clear" w:color="auto" w:fill="FFFFFF"/>
              </w:rPr>
              <w:t>严重影响用气情形的，系数4</w:t>
            </w:r>
            <w:r>
              <w:rPr>
                <w:rFonts w:hint="eastAsia" w:cs="仿宋_GB2312" w:asciiTheme="minorEastAsia" w:hAnsiTheme="minorEastAsia" w:eastAsiaTheme="minorEastAsia"/>
                <w:color w:val="auto"/>
                <w:kern w:val="0"/>
                <w:sz w:val="15"/>
                <w:szCs w:val="15"/>
                <w:highlight w:val="none"/>
                <w:shd w:val="clear" w:color="auto" w:fill="FFFFFF"/>
                <w:lang w:eastAsia="zh-CN"/>
              </w:rPr>
              <w:t>；</w:t>
            </w:r>
            <w:r>
              <w:rPr>
                <w:rFonts w:hint="eastAsia" w:cs="仿宋_GB2312" w:asciiTheme="minorEastAsia" w:hAnsiTheme="minorEastAsia" w:eastAsiaTheme="minorEastAsia"/>
                <w:color w:val="auto"/>
                <w:kern w:val="0"/>
                <w:sz w:val="15"/>
                <w:szCs w:val="15"/>
                <w:highlight w:val="none"/>
                <w:shd w:val="clear" w:color="auto" w:fill="FFFFFF"/>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7ACBD51">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21E066AB">
            <w:pPr>
              <w:keepNext w:val="0"/>
              <w:keepLines w:val="0"/>
              <w:pageBreakBefore w:val="0"/>
              <w:widowControl w:val="0"/>
              <w:kinsoku/>
              <w:wordWrap/>
              <w:overflowPunct/>
              <w:topLinePunct w:val="0"/>
              <w:autoSpaceDE/>
              <w:autoSpaceDN/>
              <w:bidi w:val="0"/>
              <w:adjustRightInd/>
              <w:snapToGrid/>
              <w:spacing w:line="17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415E2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916" w:hRule="atLeast"/>
          <w:jc w:val="center"/>
        </w:trPr>
        <w:tc>
          <w:tcPr>
            <w:tcW w:w="610" w:type="dxa"/>
            <w:shd w:val="clear" w:color="auto" w:fill="auto"/>
            <w:vAlign w:val="center"/>
          </w:tcPr>
          <w:p w14:paraId="4DC324ED">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7</w:t>
            </w:r>
          </w:p>
        </w:tc>
        <w:tc>
          <w:tcPr>
            <w:tcW w:w="1830" w:type="dxa"/>
            <w:gridSpan w:val="3"/>
            <w:shd w:val="clear" w:color="auto" w:fill="auto"/>
            <w:vAlign w:val="center"/>
          </w:tcPr>
          <w:p w14:paraId="41B9A93C">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燃气供应企业未建立健全用户服务制度、规范服务行为并遵守相关规定</w:t>
            </w:r>
          </w:p>
        </w:tc>
        <w:tc>
          <w:tcPr>
            <w:tcW w:w="2789" w:type="dxa"/>
            <w:gridSpan w:val="2"/>
            <w:shd w:val="clear" w:color="auto" w:fill="auto"/>
            <w:vAlign w:val="center"/>
          </w:tcPr>
          <w:p w14:paraId="704D914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违反条款：第二十三条第（一）（二）（三）（四）（五）（六）（七）项（根据实际违法情形选择）；</w:t>
            </w:r>
          </w:p>
          <w:p w14:paraId="0BD8D6F2">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1B07CA4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6ED4E5D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5DDF537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A4CE75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F32EFFA">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auto"/>
                <w:kern w:val="0"/>
                <w:sz w:val="15"/>
                <w:szCs w:val="15"/>
                <w:highlight w:val="none"/>
                <w:lang w:eastAsia="zh-CN"/>
              </w:rPr>
              <w:t>做好</w:t>
            </w:r>
            <w:r>
              <w:rPr>
                <w:rFonts w:hint="eastAsia" w:cs="仿宋_GB2312" w:asciiTheme="minorEastAsia" w:hAnsiTheme="minorEastAsia" w:eastAsiaTheme="minorEastAsia"/>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0AB8F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12" w:hRule="atLeast"/>
          <w:jc w:val="center"/>
        </w:trPr>
        <w:tc>
          <w:tcPr>
            <w:tcW w:w="610" w:type="dxa"/>
            <w:shd w:val="clear" w:color="auto" w:fill="auto"/>
            <w:vAlign w:val="center"/>
          </w:tcPr>
          <w:p w14:paraId="6C90F210">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8</w:t>
            </w:r>
          </w:p>
        </w:tc>
        <w:tc>
          <w:tcPr>
            <w:tcW w:w="1830" w:type="dxa"/>
            <w:gridSpan w:val="3"/>
            <w:shd w:val="clear" w:color="auto" w:fill="auto"/>
            <w:vAlign w:val="center"/>
          </w:tcPr>
          <w:p w14:paraId="2229C2C1">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燃气供应企业销售瓶装液化石油气未如实记录用户基本信息以及用户持有气瓶的数量、定期检验周期和报废期限等情况</w:t>
            </w:r>
          </w:p>
        </w:tc>
        <w:tc>
          <w:tcPr>
            <w:tcW w:w="2789" w:type="dxa"/>
            <w:gridSpan w:val="2"/>
            <w:shd w:val="clear" w:color="auto" w:fill="auto"/>
            <w:vAlign w:val="center"/>
          </w:tcPr>
          <w:p w14:paraId="498B1C9D">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违反条款：第二十四条第一款；</w:t>
            </w:r>
          </w:p>
          <w:p w14:paraId="2C2D1CBE">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0F0A6580">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F9A1E1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0D41C6F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8337C54">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1355D284">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7AE5F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04" w:hRule="atLeast"/>
          <w:jc w:val="center"/>
        </w:trPr>
        <w:tc>
          <w:tcPr>
            <w:tcW w:w="610" w:type="dxa"/>
            <w:shd w:val="clear" w:color="auto" w:fill="auto"/>
            <w:vAlign w:val="center"/>
          </w:tcPr>
          <w:p w14:paraId="07B00810">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9</w:t>
            </w:r>
          </w:p>
        </w:tc>
        <w:tc>
          <w:tcPr>
            <w:tcW w:w="1830" w:type="dxa"/>
            <w:gridSpan w:val="3"/>
            <w:shd w:val="clear" w:color="auto" w:fill="auto"/>
            <w:vAlign w:val="center"/>
          </w:tcPr>
          <w:p w14:paraId="1C5BB7E5">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燃气供应企业未在用户持有的气瓶定期检验周期、报废期限到期前三十日内通知用户将气瓶送交处理</w:t>
            </w:r>
          </w:p>
        </w:tc>
        <w:tc>
          <w:tcPr>
            <w:tcW w:w="2789" w:type="dxa"/>
            <w:gridSpan w:val="2"/>
            <w:shd w:val="clear" w:color="auto" w:fill="auto"/>
            <w:vAlign w:val="center"/>
          </w:tcPr>
          <w:p w14:paraId="0411E174">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违反条款：第二十四条第二款；</w:t>
            </w:r>
          </w:p>
          <w:p w14:paraId="715BE930">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1A7F391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1EA4403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7040B113">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1.未在气瓶报废期限到期前通知用户的，系数3-4；2.两次以上未在定期检验周期到期前通知用户的，系数2-4；3.发生燃气事故，或者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4136E9F">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2EFAFCD">
            <w:pPr>
              <w:spacing w:line="232" w:lineRule="exact"/>
              <w:rPr>
                <w:rFonts w:cs="仿宋_GB2312"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62CE5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04" w:hRule="atLeast"/>
          <w:jc w:val="center"/>
        </w:trPr>
        <w:tc>
          <w:tcPr>
            <w:tcW w:w="610" w:type="dxa"/>
            <w:shd w:val="clear" w:color="auto" w:fill="auto"/>
            <w:vAlign w:val="center"/>
          </w:tcPr>
          <w:p w14:paraId="1EDBDDF0">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10</w:t>
            </w:r>
          </w:p>
        </w:tc>
        <w:tc>
          <w:tcPr>
            <w:tcW w:w="1830" w:type="dxa"/>
            <w:gridSpan w:val="3"/>
            <w:shd w:val="clear" w:color="auto" w:fill="auto"/>
            <w:vAlign w:val="center"/>
          </w:tcPr>
          <w:p w14:paraId="0DCBCDF2">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燃气供应企业对非居民用户未直接配送、安装气瓶，并对其用气场所、燃气设施和用气设备进行安全检查</w:t>
            </w:r>
          </w:p>
        </w:tc>
        <w:tc>
          <w:tcPr>
            <w:tcW w:w="2789" w:type="dxa"/>
            <w:gridSpan w:val="2"/>
            <w:shd w:val="clear" w:color="auto" w:fill="auto"/>
            <w:vAlign w:val="center"/>
          </w:tcPr>
          <w:p w14:paraId="073D293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违反条款：第二十五条第一款；</w:t>
            </w:r>
          </w:p>
          <w:p w14:paraId="359D869E">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65108E8E">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7E0CCCC7">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29F001F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1.同时存在未直接配送、安装、进行安全检查两种情形的，系数1；同时存在三种情形的，系数2-4；2.发生燃气事故，或者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AF42390">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2A75085">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629CA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72055CBB">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11</w:t>
            </w:r>
          </w:p>
        </w:tc>
        <w:tc>
          <w:tcPr>
            <w:tcW w:w="1830" w:type="dxa"/>
            <w:gridSpan w:val="3"/>
            <w:shd w:val="clear" w:color="auto" w:fill="auto"/>
            <w:vAlign w:val="center"/>
          </w:tcPr>
          <w:p w14:paraId="163E1643">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燃气供应企业未对直接配送瓶装液化石油气居民用户的用气场所、燃气设施和用气设备进行安全检查</w:t>
            </w:r>
          </w:p>
        </w:tc>
        <w:tc>
          <w:tcPr>
            <w:tcW w:w="2789" w:type="dxa"/>
            <w:gridSpan w:val="2"/>
            <w:shd w:val="clear" w:color="auto" w:fill="auto"/>
            <w:vAlign w:val="center"/>
          </w:tcPr>
          <w:p w14:paraId="3390FB39">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违反条款：第二十五条第二款；</w:t>
            </w:r>
          </w:p>
          <w:p w14:paraId="108EBC29">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151E26D3">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6D56C454">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41D19091">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1.两次未进行安全检查，系数2-3；三次及以上未进行安全检查，系数4；2.影响正常用气的，系数2-3；3.发生燃气事故，或者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0E0BAD9">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E16770A">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464A2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37" w:hRule="atLeast"/>
          <w:jc w:val="center"/>
        </w:trPr>
        <w:tc>
          <w:tcPr>
            <w:tcW w:w="610" w:type="dxa"/>
            <w:shd w:val="clear" w:color="auto" w:fill="auto"/>
            <w:vAlign w:val="center"/>
          </w:tcPr>
          <w:p w14:paraId="18C37EBA">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12</w:t>
            </w:r>
          </w:p>
        </w:tc>
        <w:tc>
          <w:tcPr>
            <w:tcW w:w="1830" w:type="dxa"/>
            <w:gridSpan w:val="3"/>
            <w:shd w:val="clear" w:color="auto" w:fill="auto"/>
            <w:vAlign w:val="center"/>
          </w:tcPr>
          <w:p w14:paraId="1D1C609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燃气供应企业销售瓶装燃气未遵守相关规定</w:t>
            </w:r>
          </w:p>
        </w:tc>
        <w:tc>
          <w:tcPr>
            <w:tcW w:w="2789" w:type="dxa"/>
            <w:gridSpan w:val="2"/>
            <w:shd w:val="clear" w:color="auto" w:fill="auto"/>
            <w:vAlign w:val="center"/>
          </w:tcPr>
          <w:p w14:paraId="7CF001B6">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违反条款：第二十六条第一款第(一) (四)（五）(六)项（根据实际违法情形选择）；</w:t>
            </w:r>
          </w:p>
          <w:p w14:paraId="23E0B8EF">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34E0A92A">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7EED8EDC">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4A461627">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930356E">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46B75921">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23601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573" w:hRule="atLeast"/>
          <w:jc w:val="center"/>
        </w:trPr>
        <w:tc>
          <w:tcPr>
            <w:tcW w:w="610" w:type="dxa"/>
            <w:shd w:val="clear" w:color="auto" w:fill="auto"/>
            <w:vAlign w:val="center"/>
          </w:tcPr>
          <w:p w14:paraId="7A903ACC">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13</w:t>
            </w:r>
          </w:p>
        </w:tc>
        <w:tc>
          <w:tcPr>
            <w:tcW w:w="1830" w:type="dxa"/>
            <w:gridSpan w:val="3"/>
            <w:shd w:val="clear" w:color="auto" w:fill="auto"/>
            <w:vAlign w:val="center"/>
          </w:tcPr>
          <w:p w14:paraId="03DF95DA">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燃气供应企业未按要求对燃气用户暂停供气或者限制购气并进行报告</w:t>
            </w:r>
          </w:p>
        </w:tc>
        <w:tc>
          <w:tcPr>
            <w:tcW w:w="2789" w:type="dxa"/>
            <w:gridSpan w:val="2"/>
            <w:shd w:val="clear" w:color="auto" w:fill="auto"/>
            <w:vAlign w:val="center"/>
          </w:tcPr>
          <w:p w14:paraId="17BCEEC4">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违反条款：第三十一条第（一）（二）项（根据实际违法情形选择）；</w:t>
            </w:r>
          </w:p>
          <w:p w14:paraId="4BB3242E">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14:paraId="6CA1C38E">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3AD7B74F">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76C30D9C">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DB2A6CD">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11E8AFB2">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r>
      <w:tr w14:paraId="01E01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43" w:hRule="atLeast"/>
          <w:jc w:val="center"/>
        </w:trPr>
        <w:tc>
          <w:tcPr>
            <w:tcW w:w="610" w:type="dxa"/>
            <w:shd w:val="clear" w:color="auto" w:fill="auto"/>
            <w:vAlign w:val="center"/>
          </w:tcPr>
          <w:p w14:paraId="109A6975">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14</w:t>
            </w:r>
          </w:p>
        </w:tc>
        <w:tc>
          <w:tcPr>
            <w:tcW w:w="1830" w:type="dxa"/>
            <w:gridSpan w:val="3"/>
            <w:shd w:val="clear" w:color="auto" w:fill="auto"/>
            <w:vAlign w:val="center"/>
          </w:tcPr>
          <w:p w14:paraId="4E313A39">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燃气非居民用户未安装、使用符合要求的燃气燃烧器具及其连接管、燃气泄漏报警装置</w:t>
            </w:r>
          </w:p>
        </w:tc>
        <w:tc>
          <w:tcPr>
            <w:tcW w:w="2789" w:type="dxa"/>
            <w:gridSpan w:val="2"/>
            <w:shd w:val="clear" w:color="auto" w:fill="auto"/>
            <w:vAlign w:val="center"/>
          </w:tcPr>
          <w:p w14:paraId="5A43FEFF">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违反条款：第二十七条第一款；</w:t>
            </w:r>
          </w:p>
          <w:p w14:paraId="2C06483D">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处罚条款：第五十九条 责令限期改正；逾期不改正的，处二万元以上十万元以下罚款。</w:t>
            </w:r>
          </w:p>
        </w:tc>
        <w:tc>
          <w:tcPr>
            <w:tcW w:w="851" w:type="dxa"/>
            <w:shd w:val="clear" w:color="auto" w:fill="auto"/>
            <w:vAlign w:val="center"/>
          </w:tcPr>
          <w:p w14:paraId="0A96B8CC">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4FE862C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0B0763ED">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9EECB6E">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C8BF631">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逾期不改正的情形，不纳入本案由</w:t>
            </w:r>
            <w:r>
              <w:rPr>
                <w:rFonts w:hint="eastAsia" w:cs="仿宋_GB2312" w:asciiTheme="minorEastAsia" w:hAnsiTheme="minorEastAsia" w:eastAsiaTheme="minorEastAsia"/>
                <w:color w:val="auto"/>
                <w:kern w:val="0"/>
                <w:sz w:val="15"/>
                <w:szCs w:val="15"/>
                <w:highlight w:val="none"/>
                <w:lang w:eastAsia="zh-CN"/>
              </w:rPr>
              <w:t>情节系数</w:t>
            </w:r>
            <w:r>
              <w:rPr>
                <w:rFonts w:hint="eastAsia" w:cs="仿宋_GB2312" w:asciiTheme="minorEastAsia" w:hAnsiTheme="minorEastAsia" w:eastAsiaTheme="minorEastAsia"/>
                <w:color w:val="auto"/>
                <w:kern w:val="0"/>
                <w:sz w:val="15"/>
                <w:szCs w:val="15"/>
                <w:highlight w:val="none"/>
              </w:rPr>
              <w:t>。</w:t>
            </w:r>
          </w:p>
          <w:p w14:paraId="274F1E5C">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r>
      <w:tr w14:paraId="4765D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27" w:hRule="atLeast"/>
          <w:jc w:val="center"/>
        </w:trPr>
        <w:tc>
          <w:tcPr>
            <w:tcW w:w="610" w:type="dxa"/>
            <w:shd w:val="clear" w:color="auto" w:fill="auto"/>
            <w:vAlign w:val="center"/>
          </w:tcPr>
          <w:p w14:paraId="6D18ED64">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15</w:t>
            </w:r>
          </w:p>
        </w:tc>
        <w:tc>
          <w:tcPr>
            <w:tcW w:w="1830" w:type="dxa"/>
            <w:gridSpan w:val="3"/>
            <w:shd w:val="clear" w:color="auto" w:fill="auto"/>
            <w:vAlign w:val="center"/>
          </w:tcPr>
          <w:p w14:paraId="3E0E4CF1">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非居民用户存在燃气使用禁止的行为</w:t>
            </w:r>
          </w:p>
        </w:tc>
        <w:tc>
          <w:tcPr>
            <w:tcW w:w="2789" w:type="dxa"/>
            <w:gridSpan w:val="2"/>
            <w:shd w:val="clear" w:color="auto" w:fill="auto"/>
            <w:vAlign w:val="center"/>
          </w:tcPr>
          <w:p w14:paraId="7AC83A4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违反条款：第三十条第一款第（一）至（十二）项、第二款（根据实际违法情形选择）；</w:t>
            </w:r>
          </w:p>
          <w:p w14:paraId="14AE914A">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处罚条款：第六十条第一款 责令限期改正；逾期不改正的，处二万元以上十万元以下罚款。</w:t>
            </w:r>
          </w:p>
        </w:tc>
        <w:tc>
          <w:tcPr>
            <w:tcW w:w="851" w:type="dxa"/>
            <w:shd w:val="clear" w:color="auto" w:fill="auto"/>
            <w:vAlign w:val="center"/>
          </w:tcPr>
          <w:p w14:paraId="2ED8FA6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77914B64">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18FE32DB">
            <w:pPr>
              <w:spacing w:line="21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9DED4B0">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02A878A">
            <w:pPr>
              <w:spacing w:line="232" w:lineRule="exact"/>
              <w:rPr>
                <w:rFonts w:cs="仿宋_GB2312" w:asciiTheme="minorEastAsia" w:hAnsiTheme="minorEastAsia" w:eastAsiaTheme="minorEastAsia"/>
                <w:color w:val="auto"/>
                <w:kern w:val="0"/>
                <w:sz w:val="15"/>
                <w:szCs w:val="15"/>
                <w:highlight w:val="none"/>
              </w:rPr>
            </w:pPr>
          </w:p>
        </w:tc>
      </w:tr>
      <w:tr w14:paraId="03B66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47" w:hRule="atLeast"/>
          <w:jc w:val="center"/>
        </w:trPr>
        <w:tc>
          <w:tcPr>
            <w:tcW w:w="610" w:type="dxa"/>
            <w:shd w:val="clear" w:color="auto" w:fill="auto"/>
            <w:vAlign w:val="center"/>
          </w:tcPr>
          <w:p w14:paraId="3DED9F3E">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16</w:t>
            </w:r>
          </w:p>
        </w:tc>
        <w:tc>
          <w:tcPr>
            <w:tcW w:w="1830" w:type="dxa"/>
            <w:gridSpan w:val="3"/>
            <w:shd w:val="clear" w:color="auto" w:fill="auto"/>
            <w:vAlign w:val="center"/>
          </w:tcPr>
          <w:p w14:paraId="2760A3EE">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居民用户存在燃气使用禁止的行为</w:t>
            </w:r>
          </w:p>
        </w:tc>
        <w:tc>
          <w:tcPr>
            <w:tcW w:w="2789" w:type="dxa"/>
            <w:gridSpan w:val="2"/>
            <w:shd w:val="clear" w:color="auto" w:fill="auto"/>
            <w:vAlign w:val="center"/>
          </w:tcPr>
          <w:p w14:paraId="29024BAC">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违反条款：第三十条第一款第(一)项至第(九)项、第(十一)项、第(十二)项（根据实际违法情形选择）；</w:t>
            </w:r>
          </w:p>
          <w:p w14:paraId="4DFBF7AE">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处罚条款：第六十条第二款 责令限期改正；逾期不改正的，处一千元以下罚款。</w:t>
            </w:r>
          </w:p>
        </w:tc>
        <w:tc>
          <w:tcPr>
            <w:tcW w:w="851" w:type="dxa"/>
            <w:shd w:val="clear" w:color="auto" w:fill="auto"/>
            <w:vAlign w:val="center"/>
          </w:tcPr>
          <w:p w14:paraId="04AE1731">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w:t>
            </w:r>
          </w:p>
        </w:tc>
        <w:tc>
          <w:tcPr>
            <w:tcW w:w="840" w:type="dxa"/>
            <w:shd w:val="clear" w:color="auto" w:fill="auto"/>
            <w:vAlign w:val="center"/>
          </w:tcPr>
          <w:p w14:paraId="7FAD96E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4949011F">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B86DDE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414CF6A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需要作出200元以下罚款决定的，</w:t>
            </w:r>
            <w:r>
              <w:rPr>
                <w:rFonts w:hint="eastAsia" w:cs="仿宋_GB2312" w:asciiTheme="minorEastAsia" w:hAnsiTheme="minorEastAsia" w:eastAsiaTheme="minorEastAsia"/>
                <w:color w:val="auto"/>
                <w:kern w:val="0"/>
                <w:sz w:val="15"/>
                <w:szCs w:val="15"/>
                <w:highlight w:val="none"/>
                <w:lang w:eastAsia="zh-CN"/>
              </w:rPr>
              <w:t>由执法人员在案卷中说明理由，</w:t>
            </w:r>
            <w:r>
              <w:rPr>
                <w:rFonts w:hint="eastAsia" w:cs="仿宋_GB2312" w:asciiTheme="minorEastAsia" w:hAnsiTheme="minorEastAsia" w:eastAsiaTheme="minorEastAsia"/>
                <w:color w:val="auto"/>
                <w:kern w:val="0"/>
                <w:sz w:val="15"/>
                <w:szCs w:val="15"/>
                <w:highlight w:val="none"/>
              </w:rPr>
              <w:t>并自行决定。</w:t>
            </w:r>
          </w:p>
        </w:tc>
      </w:tr>
      <w:tr w14:paraId="7B9D7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36" w:hRule="atLeast"/>
          <w:jc w:val="center"/>
        </w:trPr>
        <w:tc>
          <w:tcPr>
            <w:tcW w:w="610" w:type="dxa"/>
            <w:shd w:val="clear" w:color="auto" w:fill="auto"/>
            <w:vAlign w:val="center"/>
          </w:tcPr>
          <w:p w14:paraId="1D5C3BD7">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17</w:t>
            </w:r>
          </w:p>
        </w:tc>
        <w:tc>
          <w:tcPr>
            <w:tcW w:w="1830" w:type="dxa"/>
            <w:gridSpan w:val="3"/>
            <w:shd w:val="clear" w:color="auto" w:fill="auto"/>
            <w:vAlign w:val="center"/>
          </w:tcPr>
          <w:p w14:paraId="0C40E3E9">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管道燃气供应企业未按照规范维修、安装、改装、移动或者拆除居民用户专有部分的燃气设施</w:t>
            </w:r>
          </w:p>
        </w:tc>
        <w:tc>
          <w:tcPr>
            <w:tcW w:w="2789" w:type="dxa"/>
            <w:gridSpan w:val="2"/>
            <w:shd w:val="clear" w:color="auto" w:fill="auto"/>
            <w:vAlign w:val="center"/>
          </w:tcPr>
          <w:p w14:paraId="2D732E3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违反条款：第三十三条第一款；</w:t>
            </w:r>
          </w:p>
          <w:p w14:paraId="2BE853C5">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shd w:val="clear" w:color="auto" w:fill="auto"/>
            <w:vAlign w:val="center"/>
          </w:tcPr>
          <w:p w14:paraId="4CB83CD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0ACC857">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3C440304">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严重影响用气情形的，系数4</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3978123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8149683">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r>
      <w:tr w14:paraId="5BA63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97" w:hRule="atLeast"/>
          <w:jc w:val="center"/>
        </w:trPr>
        <w:tc>
          <w:tcPr>
            <w:tcW w:w="610" w:type="dxa"/>
            <w:shd w:val="clear" w:color="auto" w:fill="auto"/>
            <w:vAlign w:val="center"/>
          </w:tcPr>
          <w:p w14:paraId="148C06D1">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18</w:t>
            </w:r>
          </w:p>
        </w:tc>
        <w:tc>
          <w:tcPr>
            <w:tcW w:w="1830" w:type="dxa"/>
            <w:gridSpan w:val="3"/>
            <w:shd w:val="clear" w:color="auto" w:fill="auto"/>
            <w:vAlign w:val="center"/>
          </w:tcPr>
          <w:p w14:paraId="3000D78C">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单位侵占、毁损，擅自拆除、改装、安装、移动燃气设施</w:t>
            </w:r>
          </w:p>
        </w:tc>
        <w:tc>
          <w:tcPr>
            <w:tcW w:w="2789" w:type="dxa"/>
            <w:gridSpan w:val="2"/>
            <w:shd w:val="clear" w:color="auto" w:fill="auto"/>
            <w:vAlign w:val="center"/>
          </w:tcPr>
          <w:p w14:paraId="75DFCEA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14:paraId="71BAB127">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14:paraId="2B7861B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14:paraId="4C90C16E">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744EE976">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0959D246">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的，系数1；2.</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strike w:val="0"/>
                <w:dstrike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strike w:val="0"/>
                <w:dstrike w:val="0"/>
                <w:color w:val="auto"/>
                <w:kern w:val="0"/>
                <w:sz w:val="15"/>
                <w:szCs w:val="15"/>
                <w:highlight w:val="none"/>
              </w:rPr>
              <w:t>安全隐患</w:t>
            </w:r>
            <w:r>
              <w:rPr>
                <w:rFonts w:hint="eastAsia" w:cs="宋体" w:asciiTheme="minorEastAsia" w:hAnsiTheme="minorEastAsia" w:eastAsiaTheme="minorEastAsia"/>
                <w:b w:val="0"/>
                <w:bCs w:val="0"/>
                <w:strike w:val="0"/>
                <w:dstrike w:val="0"/>
                <w:color w:val="auto"/>
                <w:kern w:val="0"/>
                <w:sz w:val="15"/>
                <w:szCs w:val="15"/>
                <w:highlight w:val="none"/>
                <w:lang w:eastAsia="zh-CN"/>
              </w:rPr>
              <w:t>，</w:t>
            </w:r>
            <w:r>
              <w:rPr>
                <w:rFonts w:hint="eastAsia" w:cs="宋体" w:asciiTheme="minorEastAsia" w:hAnsiTheme="minorEastAsia" w:eastAsiaTheme="minorEastAsia"/>
                <w:b w:val="0"/>
                <w:bCs w:val="0"/>
                <w:strike w:val="0"/>
                <w:dstrike w:val="0"/>
                <w:color w:val="auto"/>
                <w:kern w:val="0"/>
                <w:sz w:val="15"/>
                <w:szCs w:val="15"/>
                <w:highlight w:val="none"/>
              </w:rPr>
              <w:t>或者</w:t>
            </w:r>
            <w:r>
              <w:rPr>
                <w:rFonts w:hint="eastAsia" w:cs="宋体" w:asciiTheme="minorEastAsia" w:hAnsiTheme="minorEastAsia" w:eastAsiaTheme="minorEastAsia"/>
                <w:b w:val="0"/>
                <w:bCs w:val="0"/>
                <w:strike w:val="0"/>
                <w:dstrike w:val="0"/>
                <w:color w:val="auto"/>
                <w:kern w:val="0"/>
                <w:sz w:val="15"/>
                <w:szCs w:val="15"/>
                <w:highlight w:val="none"/>
                <w:lang w:eastAsia="zh-CN"/>
              </w:rPr>
              <w:t>其他</w:t>
            </w:r>
            <w:r>
              <w:rPr>
                <w:rFonts w:hint="eastAsia" w:cs="宋体" w:asciiTheme="minorEastAsia" w:hAnsiTheme="minorEastAsia" w:eastAsiaTheme="minorEastAsia"/>
                <w:b w:val="0"/>
                <w:bCs w:val="0"/>
                <w:strike w:val="0"/>
                <w:dstrike w:val="0"/>
                <w:color w:val="auto"/>
                <w:kern w:val="0"/>
                <w:sz w:val="15"/>
                <w:szCs w:val="15"/>
                <w:highlight w:val="none"/>
              </w:rPr>
              <w:t>严重</w:t>
            </w:r>
            <w:r>
              <w:rPr>
                <w:rFonts w:hint="eastAsia" w:cs="宋体" w:asciiTheme="minorEastAsia" w:hAnsiTheme="minorEastAsia" w:eastAsiaTheme="minorEastAsia"/>
                <w:b w:val="0"/>
                <w:bCs w:val="0"/>
                <w:color w:val="auto"/>
                <w:kern w:val="0"/>
                <w:sz w:val="15"/>
                <w:szCs w:val="15"/>
                <w:highlight w:val="none"/>
              </w:rPr>
              <w:t>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204F69C">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60EB5E0">
            <w:pPr>
              <w:spacing w:line="232" w:lineRule="exact"/>
              <w:rPr>
                <w:rFonts w:cs="仿宋_GB2312" w:asciiTheme="minorEastAsia" w:hAnsiTheme="minorEastAsia" w:eastAsiaTheme="minorEastAsia"/>
                <w:color w:val="auto"/>
                <w:kern w:val="0"/>
                <w:sz w:val="15"/>
                <w:szCs w:val="15"/>
                <w:highlight w:val="none"/>
              </w:rPr>
            </w:pPr>
          </w:p>
        </w:tc>
      </w:tr>
      <w:tr w14:paraId="76463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1" w:hRule="atLeast"/>
          <w:jc w:val="center"/>
        </w:trPr>
        <w:tc>
          <w:tcPr>
            <w:tcW w:w="610" w:type="dxa"/>
            <w:shd w:val="clear" w:color="auto" w:fill="auto"/>
            <w:vAlign w:val="center"/>
          </w:tcPr>
          <w:p w14:paraId="35996944">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19</w:t>
            </w:r>
          </w:p>
        </w:tc>
        <w:tc>
          <w:tcPr>
            <w:tcW w:w="1830" w:type="dxa"/>
            <w:gridSpan w:val="3"/>
            <w:shd w:val="clear" w:color="auto" w:fill="auto"/>
            <w:vAlign w:val="center"/>
          </w:tcPr>
          <w:p w14:paraId="185C7801">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燃气供应企业不按照燃气设施改动许可的要求实施作业</w:t>
            </w:r>
          </w:p>
        </w:tc>
        <w:tc>
          <w:tcPr>
            <w:tcW w:w="2789" w:type="dxa"/>
            <w:gridSpan w:val="2"/>
            <w:shd w:val="clear" w:color="auto" w:fill="auto"/>
            <w:vAlign w:val="center"/>
          </w:tcPr>
          <w:p w14:paraId="3021BE21">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违反条款：第三十六条第五款；</w:t>
            </w:r>
          </w:p>
          <w:p w14:paraId="4EAC7B86">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14:paraId="603331A6">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14:paraId="54305DD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56D62A4C">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影响用气情形的，系数0.5；2.发生燃气事故</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w:t>
            </w:r>
            <w:r>
              <w:rPr>
                <w:rFonts w:hint="eastAsia" w:cs="仿宋_GB2312" w:asciiTheme="minorEastAsia" w:hAnsiTheme="minorEastAsia" w:eastAsiaTheme="minorEastAsia"/>
                <w:color w:val="auto"/>
                <w:kern w:val="0"/>
                <w:sz w:val="15"/>
                <w:szCs w:val="15"/>
                <w:highlight w:val="none"/>
                <w:lang w:eastAsia="zh-CN"/>
              </w:rPr>
              <w:t>其他</w:t>
            </w:r>
            <w:r>
              <w:rPr>
                <w:rFonts w:hint="eastAsia" w:cs="仿宋_GB2312" w:asciiTheme="minorEastAsia" w:hAnsiTheme="minorEastAsia" w:eastAsiaTheme="minorEastAsia"/>
                <w:color w:val="auto"/>
                <w:kern w:val="0"/>
                <w:sz w:val="15"/>
                <w:szCs w:val="15"/>
                <w:highlight w:val="none"/>
              </w:rPr>
              <w:t>严重影响用气情形的，系数1</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437BF3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CECEA7D">
            <w:pPr>
              <w:spacing w:line="232" w:lineRule="exact"/>
              <w:rPr>
                <w:rFonts w:cs="仿宋_GB2312" w:asciiTheme="minorEastAsia" w:hAnsiTheme="minorEastAsia" w:eastAsiaTheme="minorEastAsia"/>
                <w:color w:val="auto"/>
                <w:kern w:val="0"/>
                <w:sz w:val="15"/>
                <w:szCs w:val="15"/>
                <w:highlight w:val="none"/>
              </w:rPr>
            </w:pPr>
          </w:p>
        </w:tc>
      </w:tr>
      <w:tr w14:paraId="1CA3F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92" w:hRule="atLeast"/>
          <w:jc w:val="center"/>
        </w:trPr>
        <w:tc>
          <w:tcPr>
            <w:tcW w:w="610" w:type="dxa"/>
            <w:shd w:val="clear" w:color="auto" w:fill="auto"/>
            <w:vAlign w:val="center"/>
          </w:tcPr>
          <w:p w14:paraId="7C765966">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20</w:t>
            </w:r>
          </w:p>
        </w:tc>
        <w:tc>
          <w:tcPr>
            <w:tcW w:w="1830" w:type="dxa"/>
            <w:gridSpan w:val="3"/>
            <w:shd w:val="clear" w:color="auto" w:fill="auto"/>
            <w:vAlign w:val="center"/>
          </w:tcPr>
          <w:p w14:paraId="39A65C29">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个人擅自拆除、改装、安装或者移动户内管道燃气设施</w:t>
            </w:r>
          </w:p>
        </w:tc>
        <w:tc>
          <w:tcPr>
            <w:tcW w:w="2789" w:type="dxa"/>
            <w:gridSpan w:val="2"/>
            <w:shd w:val="clear" w:color="auto" w:fill="auto"/>
            <w:vAlign w:val="center"/>
          </w:tcPr>
          <w:p w14:paraId="5397EEE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14:paraId="1A13DE00">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责令限期改正；逾期不改正的，处一千元以下罚款。</w:t>
            </w:r>
          </w:p>
        </w:tc>
        <w:tc>
          <w:tcPr>
            <w:tcW w:w="851" w:type="dxa"/>
            <w:shd w:val="clear" w:color="auto" w:fill="auto"/>
            <w:vAlign w:val="center"/>
          </w:tcPr>
          <w:p w14:paraId="5C31AD4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w:t>
            </w:r>
          </w:p>
        </w:tc>
        <w:tc>
          <w:tcPr>
            <w:tcW w:w="840" w:type="dxa"/>
            <w:shd w:val="clear" w:color="auto" w:fill="auto"/>
            <w:vAlign w:val="center"/>
          </w:tcPr>
          <w:p w14:paraId="45345538">
            <w:pPr>
              <w:spacing w:line="232" w:lineRule="exact"/>
              <w:jc w:val="center"/>
              <w:rPr>
                <w:rFonts w:hint="default" w:cs="仿宋_GB2312" w:asciiTheme="minorEastAsia" w:hAnsiTheme="minorEastAsia" w:eastAsiaTheme="minorEastAsia"/>
                <w:color w:val="auto"/>
                <w:kern w:val="0"/>
                <w:sz w:val="15"/>
                <w:szCs w:val="15"/>
                <w:highlight w:val="none"/>
                <w:lang w:val="en-US"/>
              </w:rPr>
            </w:pPr>
            <w:r>
              <w:rPr>
                <w:rFonts w:hint="default" w:cs="仿宋_GB2312" w:asciiTheme="minorEastAsia" w:hAnsiTheme="minorEastAsia" w:eastAsiaTheme="minorEastAsia"/>
                <w:color w:val="auto"/>
                <w:kern w:val="0"/>
                <w:sz w:val="15"/>
                <w:szCs w:val="15"/>
                <w:highlight w:val="none"/>
                <w:lang w:val="en-US"/>
              </w:rPr>
              <w:t>1</w:t>
            </w:r>
          </w:p>
        </w:tc>
        <w:tc>
          <w:tcPr>
            <w:tcW w:w="3426" w:type="dxa"/>
            <w:shd w:val="clear" w:color="auto" w:fill="auto"/>
            <w:vAlign w:val="center"/>
          </w:tcPr>
          <w:p w14:paraId="5A0F7A15">
            <w:pPr>
              <w:numPr>
                <w:ilvl w:val="0"/>
                <w:numId w:val="0"/>
              </w:numPr>
              <w:spacing w:line="232" w:lineRule="exact"/>
              <w:rPr>
                <w:rFonts w:hint="eastAsia" w:cs="仿宋_GB2312" w:asciiTheme="minorEastAsia" w:hAnsiTheme="minorEastAsia" w:eastAsiaTheme="minorEastAsia"/>
                <w:strike w:val="0"/>
                <w:dstrike w:val="0"/>
                <w:color w:val="auto"/>
                <w:kern w:val="0"/>
                <w:sz w:val="15"/>
                <w:szCs w:val="15"/>
                <w:highlight w:val="none"/>
              </w:rPr>
            </w:pPr>
            <w:r>
              <w:rPr>
                <w:rFonts w:hint="eastAsia" w:cs="仿宋_GB2312" w:asciiTheme="minorEastAsia" w:hAnsiTheme="minorEastAsia" w:eastAsiaTheme="minorEastAsia"/>
                <w:strike w:val="0"/>
                <w:dstrike w:val="0"/>
                <w:color w:val="auto"/>
                <w:kern w:val="0"/>
                <w:sz w:val="15"/>
                <w:szCs w:val="15"/>
                <w:highlight w:val="none"/>
                <w:lang w:val="en-US" w:eastAsia="zh-CN"/>
              </w:rPr>
              <w:t>1.</w:t>
            </w:r>
            <w:r>
              <w:rPr>
                <w:rFonts w:hint="eastAsia" w:cs="仿宋_GB2312" w:asciiTheme="minorEastAsia" w:hAnsiTheme="minorEastAsia" w:eastAsiaTheme="minorEastAsia"/>
                <w:strike w:val="0"/>
                <w:dstrike w:val="0"/>
                <w:color w:val="auto"/>
                <w:kern w:val="0"/>
                <w:sz w:val="15"/>
                <w:szCs w:val="15"/>
                <w:highlight w:val="none"/>
              </w:rPr>
              <w:t>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存在其他</w:t>
            </w:r>
            <w:r>
              <w:rPr>
                <w:rFonts w:hint="eastAsia" w:cs="仿宋_GB2312" w:asciiTheme="minorEastAsia" w:hAnsiTheme="minorEastAsia" w:eastAsiaTheme="minorEastAsia"/>
                <w:strike w:val="0"/>
                <w:dstrike w:val="0"/>
                <w:color w:val="auto"/>
                <w:kern w:val="0"/>
                <w:sz w:val="15"/>
                <w:szCs w:val="15"/>
                <w:highlight w:val="none"/>
              </w:rPr>
              <w:t>影响用气情形的，系数5-8；2.发生燃气事故</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strike w:val="0"/>
                <w:dstrike w:val="0"/>
                <w:color w:val="auto"/>
                <w:kern w:val="0"/>
                <w:sz w:val="15"/>
                <w:szCs w:val="15"/>
                <w:highlight w:val="none"/>
              </w:rPr>
              <w:t>安全隐患</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或者</w:t>
            </w:r>
            <w:r>
              <w:rPr>
                <w:rFonts w:hint="eastAsia" w:cs="仿宋_GB2312" w:asciiTheme="minorEastAsia" w:hAnsiTheme="minorEastAsia" w:eastAsiaTheme="minorEastAsia"/>
                <w:strike w:val="0"/>
                <w:dstrike w:val="0"/>
                <w:color w:val="auto"/>
                <w:kern w:val="0"/>
                <w:sz w:val="15"/>
                <w:szCs w:val="15"/>
                <w:highlight w:val="none"/>
                <w:lang w:eastAsia="zh-CN"/>
              </w:rPr>
              <w:t>其他</w:t>
            </w:r>
            <w:r>
              <w:rPr>
                <w:rFonts w:hint="eastAsia" w:cs="仿宋_GB2312" w:asciiTheme="minorEastAsia" w:hAnsiTheme="minorEastAsia" w:eastAsiaTheme="minorEastAsia"/>
                <w:strike w:val="0"/>
                <w:dstrike w:val="0"/>
                <w:color w:val="auto"/>
                <w:kern w:val="0"/>
                <w:sz w:val="15"/>
                <w:szCs w:val="15"/>
                <w:highlight w:val="none"/>
              </w:rPr>
              <w:t>严重影响用气情形的，系数9</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p w14:paraId="4C1BC730">
            <w:pPr>
              <w:numPr>
                <w:ilvl w:val="0"/>
                <w:numId w:val="0"/>
              </w:numPr>
              <w:spacing w:line="232" w:lineRule="exact"/>
              <w:rPr>
                <w:rFonts w:cs="仿宋_GB2312" w:asciiTheme="minorEastAsia" w:hAnsiTheme="minorEastAsia" w:eastAsiaTheme="minorEastAsia"/>
                <w:color w:val="auto"/>
                <w:sz w:val="15"/>
                <w:szCs w:val="15"/>
                <w:highlight w:val="none"/>
              </w:rPr>
            </w:pPr>
          </w:p>
        </w:tc>
        <w:tc>
          <w:tcPr>
            <w:tcW w:w="1875" w:type="dxa"/>
            <w:gridSpan w:val="2"/>
            <w:shd w:val="clear" w:color="auto" w:fill="auto"/>
            <w:vAlign w:val="center"/>
          </w:tcPr>
          <w:p w14:paraId="02DFF4B5">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6F7F123">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逾期不改正的，才能实施处罚；逾期不改正的情形，不纳入本案由</w:t>
            </w:r>
            <w:r>
              <w:rPr>
                <w:rFonts w:hint="eastAsia" w:cs="仿宋_GB2312" w:asciiTheme="minorEastAsia" w:hAnsiTheme="minorEastAsia" w:eastAsiaTheme="minorEastAsia"/>
                <w:color w:val="auto"/>
                <w:kern w:val="0"/>
                <w:sz w:val="15"/>
                <w:szCs w:val="15"/>
                <w:highlight w:val="none"/>
                <w:lang w:eastAsia="zh-CN"/>
              </w:rPr>
              <w:t>情节系数</w:t>
            </w:r>
            <w:r>
              <w:rPr>
                <w:rFonts w:hint="eastAsia" w:cs="仿宋_GB2312" w:asciiTheme="minorEastAsia" w:hAnsiTheme="minorEastAsia" w:eastAsiaTheme="minorEastAsia"/>
                <w:color w:val="auto"/>
                <w:kern w:val="0"/>
                <w:sz w:val="15"/>
                <w:szCs w:val="15"/>
                <w:highlight w:val="none"/>
              </w:rPr>
              <w:t>。</w:t>
            </w:r>
          </w:p>
          <w:p w14:paraId="6FF78909">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需要作出100元以下罚款决定的，由执法人员说明理由并自行决定。</w:t>
            </w:r>
          </w:p>
        </w:tc>
      </w:tr>
      <w:tr w14:paraId="23179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80" w:hRule="atLeast"/>
          <w:jc w:val="center"/>
        </w:trPr>
        <w:tc>
          <w:tcPr>
            <w:tcW w:w="610" w:type="dxa"/>
            <w:shd w:val="clear" w:color="auto" w:fill="auto"/>
            <w:vAlign w:val="center"/>
          </w:tcPr>
          <w:p w14:paraId="35958251">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21</w:t>
            </w:r>
          </w:p>
        </w:tc>
        <w:tc>
          <w:tcPr>
            <w:tcW w:w="1830" w:type="dxa"/>
            <w:gridSpan w:val="3"/>
            <w:shd w:val="clear" w:color="auto" w:fill="auto"/>
            <w:vAlign w:val="center"/>
          </w:tcPr>
          <w:p w14:paraId="0422F21B">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个人侵占、毁损，擅自拆除、改装、安装或者移动户外燃气设施</w:t>
            </w:r>
          </w:p>
        </w:tc>
        <w:tc>
          <w:tcPr>
            <w:tcW w:w="2789" w:type="dxa"/>
            <w:gridSpan w:val="2"/>
            <w:shd w:val="clear" w:color="auto" w:fill="auto"/>
            <w:vAlign w:val="center"/>
          </w:tcPr>
          <w:p w14:paraId="30E336A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14:paraId="72AE7A66">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处五千元以上五万元以下罚款。</w:t>
            </w:r>
          </w:p>
        </w:tc>
        <w:tc>
          <w:tcPr>
            <w:tcW w:w="851" w:type="dxa"/>
            <w:shd w:val="clear" w:color="auto" w:fill="auto"/>
            <w:vAlign w:val="center"/>
          </w:tcPr>
          <w:p w14:paraId="52EC637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tc>
        <w:tc>
          <w:tcPr>
            <w:tcW w:w="840" w:type="dxa"/>
            <w:shd w:val="clear" w:color="auto" w:fill="auto"/>
            <w:vAlign w:val="center"/>
          </w:tcPr>
          <w:p w14:paraId="61A35979">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61FE9AED">
            <w:pPr>
              <w:spacing w:line="232" w:lineRule="exact"/>
              <w:rPr>
                <w:rFonts w:hint="default" w:cs="仿宋_GB2312"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的，系数9；2</w:t>
            </w:r>
            <w:r>
              <w:rPr>
                <w:rFonts w:hint="eastAsia" w:ascii="宋体" w:hAnsi="宋体" w:cs="宋体"/>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strike w:val="0"/>
                <w:dstrike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strike w:val="0"/>
                <w:dstrike w:val="0"/>
                <w:color w:val="auto"/>
                <w:kern w:val="0"/>
                <w:sz w:val="15"/>
                <w:szCs w:val="15"/>
                <w:highlight w:val="none"/>
              </w:rPr>
              <w:t>安全隐患</w:t>
            </w:r>
            <w:r>
              <w:rPr>
                <w:rFonts w:hint="eastAsia" w:cs="宋体" w:asciiTheme="minorEastAsia" w:hAnsiTheme="minorEastAsia" w:eastAsiaTheme="minorEastAsia"/>
                <w:b w:val="0"/>
                <w:bCs w:val="0"/>
                <w:strike w:val="0"/>
                <w:dstrike w:val="0"/>
                <w:color w:val="auto"/>
                <w:kern w:val="0"/>
                <w:sz w:val="15"/>
                <w:szCs w:val="15"/>
                <w:highlight w:val="none"/>
                <w:lang w:eastAsia="zh-CN"/>
              </w:rPr>
              <w:t>，</w:t>
            </w:r>
            <w:r>
              <w:rPr>
                <w:rFonts w:hint="eastAsia" w:cs="宋体" w:asciiTheme="minorEastAsia" w:hAnsiTheme="minorEastAsia" w:eastAsiaTheme="minorEastAsia"/>
                <w:b w:val="0"/>
                <w:bCs w:val="0"/>
                <w:strike w:val="0"/>
                <w:dstrike w:val="0"/>
                <w:color w:val="auto"/>
                <w:kern w:val="0"/>
                <w:sz w:val="15"/>
                <w:szCs w:val="15"/>
                <w:highlight w:val="none"/>
              </w:rPr>
              <w:t>或者</w:t>
            </w:r>
            <w:r>
              <w:rPr>
                <w:rFonts w:hint="eastAsia" w:cs="宋体" w:asciiTheme="minorEastAsia" w:hAnsiTheme="minorEastAsia" w:eastAsiaTheme="minorEastAsia"/>
                <w:b w:val="0"/>
                <w:bCs w:val="0"/>
                <w:strike w:val="0"/>
                <w:dstrike w:val="0"/>
                <w:color w:val="auto"/>
                <w:kern w:val="0"/>
                <w:sz w:val="15"/>
                <w:szCs w:val="15"/>
                <w:highlight w:val="none"/>
                <w:lang w:eastAsia="zh-CN"/>
              </w:rPr>
              <w:t>其他</w:t>
            </w:r>
            <w:r>
              <w:rPr>
                <w:rFonts w:hint="eastAsia" w:cs="宋体" w:asciiTheme="minorEastAsia" w:hAnsiTheme="minorEastAsia" w:eastAsiaTheme="minorEastAsia"/>
                <w:b w:val="0"/>
                <w:bCs w:val="0"/>
                <w:strike w:val="0"/>
                <w:dstrike w:val="0"/>
                <w:color w:val="auto"/>
                <w:kern w:val="0"/>
                <w:sz w:val="15"/>
                <w:szCs w:val="15"/>
                <w:highlight w:val="none"/>
              </w:rPr>
              <w:t>严重</w:t>
            </w:r>
            <w:r>
              <w:rPr>
                <w:rFonts w:hint="eastAsia" w:cs="宋体" w:asciiTheme="minorEastAsia" w:hAnsiTheme="minorEastAsia" w:eastAsiaTheme="minorEastAsia"/>
                <w:b w:val="0"/>
                <w:bCs w:val="0"/>
                <w:color w:val="auto"/>
                <w:kern w:val="0"/>
                <w:sz w:val="15"/>
                <w:szCs w:val="15"/>
                <w:highlight w:val="none"/>
              </w:rPr>
              <w:t>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ascii="宋体" w:hAnsi="宋体" w:cs="宋体"/>
                <w:b w:val="0"/>
                <w:bCs w:val="0"/>
                <w:strike w:val="0"/>
                <w:dstrike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2037DDE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EDD4767">
            <w:pPr>
              <w:spacing w:line="232" w:lineRule="exact"/>
              <w:rPr>
                <w:rFonts w:cs="仿宋_GB2312" w:asciiTheme="minorEastAsia" w:hAnsiTheme="minorEastAsia" w:eastAsiaTheme="minorEastAsia"/>
                <w:color w:val="auto"/>
                <w:kern w:val="0"/>
                <w:sz w:val="15"/>
                <w:szCs w:val="15"/>
                <w:highlight w:val="none"/>
              </w:rPr>
            </w:pPr>
          </w:p>
        </w:tc>
      </w:tr>
      <w:tr w14:paraId="0C013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79" w:hRule="atLeast"/>
          <w:jc w:val="center"/>
        </w:trPr>
        <w:tc>
          <w:tcPr>
            <w:tcW w:w="610" w:type="dxa"/>
            <w:shd w:val="clear" w:color="auto" w:fill="auto"/>
            <w:vAlign w:val="center"/>
          </w:tcPr>
          <w:p w14:paraId="50598009">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22</w:t>
            </w:r>
          </w:p>
        </w:tc>
        <w:tc>
          <w:tcPr>
            <w:tcW w:w="1830" w:type="dxa"/>
            <w:gridSpan w:val="3"/>
            <w:shd w:val="clear" w:color="auto" w:fill="auto"/>
            <w:vAlign w:val="center"/>
          </w:tcPr>
          <w:p w14:paraId="57FA5CF4">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建设单位未在地下管线安全防护信息系统发布施工作业信息</w:t>
            </w:r>
          </w:p>
        </w:tc>
        <w:tc>
          <w:tcPr>
            <w:tcW w:w="2789" w:type="dxa"/>
            <w:gridSpan w:val="2"/>
            <w:shd w:val="clear" w:color="auto" w:fill="auto"/>
            <w:vAlign w:val="center"/>
          </w:tcPr>
          <w:p w14:paraId="7FAAEC68">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14:paraId="39A857FD">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14:paraId="6CC84F80">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14:paraId="13AC014E">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23472DB5">
            <w:pPr>
              <w:numPr>
                <w:ilvl w:val="0"/>
                <w:numId w:val="0"/>
              </w:numPr>
              <w:spacing w:line="232" w:lineRule="exact"/>
              <w:rPr>
                <w:rFonts w:hint="eastAsia"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的，系数1。2.</w:t>
            </w:r>
            <w:r>
              <w:rPr>
                <w:rFonts w:hint="eastAsia" w:cs="宋体" w:asciiTheme="minorEastAsia" w:hAnsiTheme="minorEastAsia" w:eastAsiaTheme="minorEastAsia"/>
                <w:b w:val="0"/>
                <w:bCs w:val="0"/>
                <w:color w:val="auto"/>
                <w:kern w:val="0"/>
                <w:sz w:val="15"/>
                <w:szCs w:val="15"/>
                <w:highlight w:val="none"/>
              </w:rPr>
              <w:t>发生燃气事故</w:t>
            </w:r>
            <w:r>
              <w:rPr>
                <w:rFonts w:hint="eastAsia" w:cs="宋体" w:asciiTheme="minorEastAsia" w:hAnsiTheme="minorEastAsia" w:eastAsiaTheme="minorEastAsia"/>
                <w:b w:val="0"/>
                <w:bCs w:val="0"/>
                <w:strike w:val="0"/>
                <w:dstrike w:val="0"/>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b w:val="0"/>
                <w:bCs w:val="0"/>
                <w:strike w:val="0"/>
                <w:dstrike w:val="0"/>
                <w:color w:val="auto"/>
                <w:kern w:val="0"/>
                <w:sz w:val="15"/>
                <w:szCs w:val="15"/>
                <w:highlight w:val="none"/>
              </w:rPr>
              <w:t>安全隐患</w:t>
            </w:r>
            <w:r>
              <w:rPr>
                <w:rFonts w:hint="eastAsia" w:cs="宋体" w:asciiTheme="minorEastAsia" w:hAnsiTheme="minorEastAsia" w:eastAsiaTheme="minorEastAsia"/>
                <w:b w:val="0"/>
                <w:bCs w:val="0"/>
                <w:strike w:val="0"/>
                <w:dstrike w:val="0"/>
                <w:color w:val="auto"/>
                <w:kern w:val="0"/>
                <w:sz w:val="15"/>
                <w:szCs w:val="15"/>
                <w:highlight w:val="none"/>
                <w:lang w:eastAsia="zh-CN"/>
              </w:rPr>
              <w:t>，</w:t>
            </w:r>
            <w:r>
              <w:rPr>
                <w:rFonts w:hint="eastAsia" w:cs="宋体" w:asciiTheme="minorEastAsia" w:hAnsiTheme="minorEastAsia" w:eastAsiaTheme="minorEastAsia"/>
                <w:b w:val="0"/>
                <w:bCs w:val="0"/>
                <w:strike w:val="0"/>
                <w:dstrike w:val="0"/>
                <w:color w:val="auto"/>
                <w:kern w:val="0"/>
                <w:sz w:val="15"/>
                <w:szCs w:val="15"/>
                <w:highlight w:val="none"/>
              </w:rPr>
              <w:t>或者</w:t>
            </w:r>
            <w:r>
              <w:rPr>
                <w:rFonts w:hint="eastAsia" w:cs="宋体" w:asciiTheme="minorEastAsia" w:hAnsiTheme="minorEastAsia" w:eastAsiaTheme="minorEastAsia"/>
                <w:b w:val="0"/>
                <w:bCs w:val="0"/>
                <w:strike w:val="0"/>
                <w:dstrike w:val="0"/>
                <w:color w:val="auto"/>
                <w:kern w:val="0"/>
                <w:sz w:val="15"/>
                <w:szCs w:val="15"/>
                <w:highlight w:val="none"/>
                <w:lang w:eastAsia="zh-CN"/>
              </w:rPr>
              <w:t>其他</w:t>
            </w:r>
            <w:r>
              <w:rPr>
                <w:rFonts w:hint="eastAsia" w:cs="宋体" w:asciiTheme="minorEastAsia" w:hAnsiTheme="minorEastAsia" w:eastAsiaTheme="minorEastAsia"/>
                <w:b w:val="0"/>
                <w:bCs w:val="0"/>
                <w:strike w:val="0"/>
                <w:dstrike w:val="0"/>
                <w:color w:val="auto"/>
                <w:kern w:val="0"/>
                <w:sz w:val="15"/>
                <w:szCs w:val="15"/>
                <w:highlight w:val="none"/>
              </w:rPr>
              <w:t>严重</w:t>
            </w:r>
            <w:r>
              <w:rPr>
                <w:rFonts w:hint="eastAsia" w:cs="宋体" w:asciiTheme="minorEastAsia" w:hAnsiTheme="minorEastAsia" w:eastAsiaTheme="minorEastAsia"/>
                <w:b w:val="0"/>
                <w:bCs w:val="0"/>
                <w:color w:val="auto"/>
                <w:kern w:val="0"/>
                <w:sz w:val="15"/>
                <w:szCs w:val="15"/>
                <w:highlight w:val="none"/>
              </w:rPr>
              <w:t>影响用气情形的，系数1</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AD0EEB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297AB78F">
            <w:pPr>
              <w:spacing w:line="232" w:lineRule="exact"/>
              <w:rPr>
                <w:rFonts w:cs="仿宋_GB2312" w:asciiTheme="minorEastAsia" w:hAnsiTheme="minorEastAsia" w:eastAsiaTheme="minorEastAsia"/>
                <w:color w:val="auto"/>
                <w:kern w:val="0"/>
                <w:sz w:val="15"/>
                <w:szCs w:val="15"/>
                <w:highlight w:val="none"/>
              </w:rPr>
            </w:pPr>
          </w:p>
        </w:tc>
      </w:tr>
      <w:tr w14:paraId="599C2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98" w:hRule="atLeast"/>
          <w:jc w:val="center"/>
        </w:trPr>
        <w:tc>
          <w:tcPr>
            <w:tcW w:w="610" w:type="dxa"/>
            <w:shd w:val="clear" w:color="auto" w:fill="auto"/>
            <w:vAlign w:val="center"/>
          </w:tcPr>
          <w:p w14:paraId="0CAB0F4F">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23</w:t>
            </w:r>
          </w:p>
        </w:tc>
        <w:tc>
          <w:tcPr>
            <w:tcW w:w="1830" w:type="dxa"/>
            <w:gridSpan w:val="3"/>
            <w:shd w:val="clear" w:color="auto" w:fill="auto"/>
            <w:vAlign w:val="center"/>
          </w:tcPr>
          <w:p w14:paraId="728A0509">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燃气供应企业未就地下管道燃气设施情况及时告知建设单位</w:t>
            </w:r>
          </w:p>
        </w:tc>
        <w:tc>
          <w:tcPr>
            <w:tcW w:w="2789" w:type="dxa"/>
            <w:gridSpan w:val="2"/>
            <w:shd w:val="clear" w:color="auto" w:fill="auto"/>
            <w:vAlign w:val="center"/>
          </w:tcPr>
          <w:p w14:paraId="5E418DD0">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14:paraId="0011111F">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14:paraId="7AD004DF">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14:paraId="7741A318">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5C358D36">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存在其他</w:t>
            </w:r>
            <w:r>
              <w:rPr>
                <w:rFonts w:hint="eastAsia" w:cs="仿宋_GB2312" w:asciiTheme="minorEastAsia" w:hAnsiTheme="minorEastAsia" w:eastAsiaTheme="minorEastAsia"/>
                <w:color w:val="auto"/>
                <w:kern w:val="0"/>
                <w:sz w:val="15"/>
                <w:szCs w:val="15"/>
                <w:highlight w:val="none"/>
              </w:rPr>
              <w:t>严重影响用气情形的，系数1</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1EDBCA3">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420F171">
            <w:pPr>
              <w:spacing w:line="232" w:lineRule="exact"/>
              <w:rPr>
                <w:rFonts w:cs="仿宋_GB2312" w:asciiTheme="minorEastAsia" w:hAnsiTheme="minorEastAsia" w:eastAsiaTheme="minorEastAsia"/>
                <w:color w:val="auto"/>
                <w:kern w:val="0"/>
                <w:sz w:val="15"/>
                <w:szCs w:val="15"/>
                <w:highlight w:val="none"/>
              </w:rPr>
            </w:pPr>
          </w:p>
        </w:tc>
      </w:tr>
      <w:tr w14:paraId="13295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182" w:hRule="atLeast"/>
          <w:jc w:val="center"/>
        </w:trPr>
        <w:tc>
          <w:tcPr>
            <w:tcW w:w="610" w:type="dxa"/>
            <w:shd w:val="clear" w:color="auto" w:fill="auto"/>
            <w:vAlign w:val="center"/>
          </w:tcPr>
          <w:p w14:paraId="56ABC904">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24</w:t>
            </w:r>
          </w:p>
        </w:tc>
        <w:tc>
          <w:tcPr>
            <w:tcW w:w="1830" w:type="dxa"/>
            <w:gridSpan w:val="3"/>
            <w:shd w:val="clear" w:color="auto" w:fill="auto"/>
            <w:vAlign w:val="center"/>
          </w:tcPr>
          <w:p w14:paraId="0C954B4D">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建设单位未采取措施确保地下管道燃气设施运行安全</w:t>
            </w:r>
          </w:p>
        </w:tc>
        <w:tc>
          <w:tcPr>
            <w:tcW w:w="2789" w:type="dxa"/>
            <w:gridSpan w:val="2"/>
            <w:shd w:val="clear" w:color="auto" w:fill="auto"/>
            <w:vAlign w:val="center"/>
          </w:tcPr>
          <w:p w14:paraId="209145FF">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违反条款：第三十七条第二款；</w:t>
            </w:r>
          </w:p>
          <w:p w14:paraId="4425B3AB">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处罚条款：第六十三条第二款 责令限期改正，对建设单位处一万元以上十万元以下罚款。</w:t>
            </w:r>
          </w:p>
        </w:tc>
        <w:tc>
          <w:tcPr>
            <w:tcW w:w="851" w:type="dxa"/>
            <w:shd w:val="clear" w:color="auto" w:fill="auto"/>
            <w:vAlign w:val="center"/>
          </w:tcPr>
          <w:p w14:paraId="407D088B">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14:paraId="07518E44">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2E92C774">
            <w:pPr>
              <w:spacing w:line="232" w:lineRule="exact"/>
              <w:rPr>
                <w:rFonts w:cs="仿宋_GB2312" w:asciiTheme="minorEastAsia" w:hAnsiTheme="minorEastAsia" w:eastAsiaTheme="minorEastAsia"/>
                <w:b w:val="0"/>
                <w:bCs w:val="0"/>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的，系数5。</w:t>
            </w:r>
            <w:r>
              <w:rPr>
                <w:rFonts w:hint="eastAsia" w:ascii="宋体" w:hAnsi="宋体" w:cs="宋体"/>
                <w:b w:val="0"/>
                <w:bCs w:val="0"/>
                <w:color w:val="auto"/>
                <w:kern w:val="0"/>
                <w:sz w:val="15"/>
                <w:szCs w:val="15"/>
                <w:highlight w:val="none"/>
                <w:lang w:val="en-US" w:eastAsia="zh-CN"/>
              </w:rPr>
              <w:t>2.</w:t>
            </w:r>
            <w:r>
              <w:rPr>
                <w:rFonts w:hint="eastAsia" w:cs="仿宋_GB2312" w:asciiTheme="minorEastAsia" w:hAnsiTheme="minorEastAsia" w:eastAsiaTheme="minorEastAsia"/>
                <w:b w:val="0"/>
                <w:bCs w:val="0"/>
                <w:color w:val="auto"/>
                <w:kern w:val="0"/>
                <w:sz w:val="15"/>
                <w:szCs w:val="15"/>
                <w:highlight w:val="none"/>
              </w:rPr>
              <w:t>同时存在两项（含两项）以上违法行为的，系数5-</w:t>
            </w:r>
            <w:r>
              <w:rPr>
                <w:rFonts w:hint="default" w:cs="仿宋_GB2312" w:asciiTheme="minorEastAsia" w:hAnsiTheme="minorEastAsia" w:eastAsiaTheme="minorEastAsia"/>
                <w:b w:val="0"/>
                <w:bCs w:val="0"/>
                <w:color w:val="auto"/>
                <w:kern w:val="0"/>
                <w:sz w:val="15"/>
                <w:szCs w:val="15"/>
                <w:highlight w:val="none"/>
                <w:lang w:val="en-US"/>
              </w:rPr>
              <w:t>6</w:t>
            </w:r>
            <w:r>
              <w:rPr>
                <w:rFonts w:hint="eastAsia" w:cs="仿宋_GB2312" w:asciiTheme="minorEastAsia" w:hAnsiTheme="minorEastAsia" w:eastAsiaTheme="minorEastAsia"/>
                <w:b w:val="0"/>
                <w:bCs w:val="0"/>
                <w:color w:val="auto"/>
                <w:kern w:val="0"/>
                <w:sz w:val="15"/>
                <w:szCs w:val="15"/>
                <w:highlight w:val="none"/>
              </w:rPr>
              <w:t>；</w:t>
            </w:r>
            <w:r>
              <w:rPr>
                <w:rFonts w:hint="default" w:cs="仿宋_GB2312" w:asciiTheme="minorEastAsia" w:hAnsiTheme="minorEastAsia" w:eastAsiaTheme="minorEastAsia"/>
                <w:b w:val="0"/>
                <w:bCs w:val="0"/>
                <w:color w:val="auto"/>
                <w:kern w:val="0"/>
                <w:sz w:val="15"/>
                <w:szCs w:val="15"/>
                <w:highlight w:val="none"/>
                <w:lang w:val="en-US" w:eastAsia="zh-CN"/>
              </w:rPr>
              <w:t>3</w:t>
            </w:r>
            <w:r>
              <w:rPr>
                <w:rFonts w:hint="eastAsia" w:cs="仿宋_GB2312"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b w:val="0"/>
                <w:bCs w:val="0"/>
                <w:color w:val="auto"/>
                <w:kern w:val="0"/>
                <w:sz w:val="15"/>
                <w:szCs w:val="15"/>
                <w:highlight w:val="none"/>
              </w:rPr>
              <w:t>安全隐患</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rPr>
              <w:t>或者</w:t>
            </w:r>
            <w:r>
              <w:rPr>
                <w:rFonts w:hint="eastAsia" w:cs="仿宋_GB2312" w:asciiTheme="minorEastAsia" w:hAnsiTheme="minorEastAsia" w:eastAsiaTheme="minorEastAsia"/>
                <w:b w:val="0"/>
                <w:bCs w:val="0"/>
                <w:color w:val="auto"/>
                <w:kern w:val="0"/>
                <w:sz w:val="15"/>
                <w:szCs w:val="15"/>
                <w:highlight w:val="none"/>
                <w:lang w:eastAsia="zh-CN"/>
              </w:rPr>
              <w:t>其他</w:t>
            </w:r>
            <w:r>
              <w:rPr>
                <w:rFonts w:hint="eastAsia" w:cs="仿宋_GB2312" w:asciiTheme="minorEastAsia" w:hAnsiTheme="minorEastAsia" w:eastAsiaTheme="minorEastAsia"/>
                <w:b w:val="0"/>
                <w:bCs w:val="0"/>
                <w:color w:val="auto"/>
                <w:kern w:val="0"/>
                <w:sz w:val="15"/>
                <w:szCs w:val="15"/>
                <w:highlight w:val="none"/>
              </w:rPr>
              <w:t>严重影响用气情形的，系数9</w:t>
            </w:r>
            <w:r>
              <w:rPr>
                <w:rFonts w:hint="eastAsia" w:cs="仿宋_GB2312" w:asciiTheme="minorEastAsia" w:hAnsiTheme="minorEastAsia" w:eastAsiaTheme="minorEastAsia"/>
                <w:b w:val="0"/>
                <w:bCs w:val="0"/>
                <w:color w:val="auto"/>
                <w:kern w:val="0"/>
                <w:sz w:val="15"/>
                <w:szCs w:val="15"/>
                <w:highlight w:val="none"/>
                <w:lang w:eastAsia="zh-CN"/>
              </w:rPr>
              <w:t>；</w:t>
            </w:r>
            <w:r>
              <w:rPr>
                <w:rFonts w:hint="default" w:ascii="宋体" w:hAnsi="宋体" w:cs="宋体"/>
                <w:b w:val="0"/>
                <w:bCs w:val="0"/>
                <w:color w:val="auto"/>
                <w:kern w:val="0"/>
                <w:sz w:val="15"/>
                <w:szCs w:val="15"/>
                <w:highlight w:val="none"/>
                <w:lang w:val="en-US" w:eastAsia="zh-CN"/>
              </w:rPr>
              <w:t>4</w:t>
            </w:r>
            <w:r>
              <w:rPr>
                <w:rFonts w:hint="eastAsia" w:ascii="宋体" w:hAnsi="宋体" w:cs="宋体"/>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AC1750C">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4708CCB0">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r>
      <w:tr w14:paraId="64CA4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27" w:hRule="atLeast"/>
          <w:jc w:val="center"/>
        </w:trPr>
        <w:tc>
          <w:tcPr>
            <w:tcW w:w="610" w:type="dxa"/>
            <w:shd w:val="clear" w:color="auto" w:fill="auto"/>
            <w:vAlign w:val="center"/>
          </w:tcPr>
          <w:p w14:paraId="693FE3A9">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25</w:t>
            </w:r>
          </w:p>
        </w:tc>
        <w:tc>
          <w:tcPr>
            <w:tcW w:w="1830" w:type="dxa"/>
            <w:gridSpan w:val="3"/>
            <w:shd w:val="clear" w:color="auto" w:fill="auto"/>
            <w:vAlign w:val="center"/>
          </w:tcPr>
          <w:p w14:paraId="1E34840A">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施工单位未按照安全保护方案进行施工</w:t>
            </w:r>
          </w:p>
        </w:tc>
        <w:tc>
          <w:tcPr>
            <w:tcW w:w="2789" w:type="dxa"/>
            <w:gridSpan w:val="2"/>
            <w:shd w:val="clear" w:color="auto" w:fill="auto"/>
            <w:vAlign w:val="center"/>
          </w:tcPr>
          <w:p w14:paraId="097AE2A6">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违反条款：第三十八条第一款；</w:t>
            </w:r>
          </w:p>
          <w:p w14:paraId="4BEB07AB">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处罚条款：第六十四条 责令限期改正，处一万元以上十万元以下罚款。</w:t>
            </w:r>
          </w:p>
        </w:tc>
        <w:tc>
          <w:tcPr>
            <w:tcW w:w="851" w:type="dxa"/>
            <w:shd w:val="clear" w:color="auto" w:fill="auto"/>
            <w:vAlign w:val="center"/>
          </w:tcPr>
          <w:p w14:paraId="4E40576A">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CC31CDA">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62BE2509">
            <w:pPr>
              <w:spacing w:line="232" w:lineRule="exact"/>
              <w:rPr>
                <w:rFonts w:cs="仿宋_GB2312" w:asciiTheme="minorEastAsia" w:hAnsiTheme="minorEastAsia" w:eastAsiaTheme="minorEastAsia"/>
                <w:b w:val="0"/>
                <w:bCs w:val="0"/>
                <w:color w:val="auto"/>
                <w:sz w:val="15"/>
                <w:szCs w:val="15"/>
                <w:highlight w:val="none"/>
              </w:rPr>
            </w:pPr>
            <w:r>
              <w:rPr>
                <w:rFonts w:hint="eastAsia" w:cs="仿宋_GB2312" w:asciiTheme="minorEastAsia" w:hAnsiTheme="minorEastAsia" w:eastAsiaTheme="minorEastAsia"/>
                <w:b w:val="0"/>
                <w:bCs w:val="0"/>
                <w:color w:val="auto"/>
                <w:kern w:val="0"/>
                <w:sz w:val="15"/>
                <w:szCs w:val="15"/>
                <w:highlight w:val="none"/>
              </w:rPr>
              <w:t>1</w:t>
            </w:r>
            <w:r>
              <w:rPr>
                <w:rFonts w:hint="eastAsia" w:cs="仿宋_GB2312"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200户（含200户）-500户或者非居民用户达到3户（含3户）-5户的或者</w:t>
            </w:r>
            <w:r>
              <w:rPr>
                <w:rFonts w:hint="eastAsia" w:ascii="宋体" w:hAnsi="宋体" w:eastAsia="宋体" w:cs="宋体"/>
                <w:b w:val="0"/>
                <w:bCs w:val="0"/>
                <w:color w:val="auto"/>
                <w:kern w:val="0"/>
                <w:sz w:val="15"/>
                <w:szCs w:val="15"/>
                <w:highlight w:val="none"/>
                <w:lang w:val="en-US" w:eastAsia="zh-CN"/>
              </w:rPr>
              <w:t>燃气管道为中压管线或者停气时间超过5小时</w:t>
            </w:r>
            <w:r>
              <w:rPr>
                <w:rFonts w:hint="eastAsia" w:ascii="宋体" w:hAnsi="宋体" w:cs="宋体"/>
                <w:b w:val="0"/>
                <w:bCs w:val="0"/>
                <w:color w:val="auto"/>
                <w:kern w:val="0"/>
                <w:sz w:val="15"/>
                <w:szCs w:val="15"/>
                <w:highlight w:val="none"/>
                <w:lang w:val="en-US" w:eastAsia="zh-CN"/>
              </w:rPr>
              <w:t>影响正常经营或者生活</w:t>
            </w:r>
            <w:r>
              <w:rPr>
                <w:rFonts w:hint="eastAsia" w:cs="宋体" w:asciiTheme="minorEastAsia" w:hAnsiTheme="minorEastAsia" w:eastAsiaTheme="minorEastAsia"/>
                <w:b w:val="0"/>
                <w:bCs w:val="0"/>
                <w:color w:val="auto"/>
                <w:kern w:val="0"/>
                <w:sz w:val="15"/>
                <w:szCs w:val="15"/>
                <w:highlight w:val="none"/>
                <w:lang w:val="en-US" w:eastAsia="zh-CN"/>
              </w:rPr>
              <w:t>的，系数4；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500户（含500户）或者非居民用户达到5户（含5户）或者</w:t>
            </w:r>
            <w:r>
              <w:rPr>
                <w:rFonts w:hint="eastAsia" w:ascii="宋体" w:hAnsi="宋体" w:eastAsia="宋体" w:cs="宋体"/>
                <w:b w:val="0"/>
                <w:bCs w:val="0"/>
                <w:color w:val="auto"/>
                <w:kern w:val="0"/>
                <w:sz w:val="15"/>
                <w:szCs w:val="15"/>
                <w:highlight w:val="none"/>
                <w:lang w:val="en-US" w:eastAsia="zh-CN"/>
              </w:rPr>
              <w:t>燃气管道为高压管线或者停气时间超过10小时</w:t>
            </w:r>
            <w:r>
              <w:rPr>
                <w:rFonts w:hint="eastAsia" w:cs="宋体" w:asciiTheme="minorEastAsia" w:hAnsiTheme="minorEastAsia" w:eastAsiaTheme="minorEastAsia"/>
                <w:b w:val="0"/>
                <w:bCs w:val="0"/>
                <w:color w:val="auto"/>
                <w:kern w:val="0"/>
                <w:sz w:val="15"/>
                <w:szCs w:val="15"/>
                <w:highlight w:val="none"/>
                <w:lang w:val="en-US" w:eastAsia="zh-CN"/>
              </w:rPr>
              <w:t>的，系数5。</w:t>
            </w:r>
            <w:r>
              <w:rPr>
                <w:rFonts w:hint="eastAsia" w:ascii="宋体" w:hAnsi="宋体" w:cs="宋体"/>
                <w:b w:val="0"/>
                <w:bCs w:val="0"/>
                <w:color w:val="auto"/>
                <w:kern w:val="0"/>
                <w:sz w:val="15"/>
                <w:szCs w:val="15"/>
                <w:highlight w:val="none"/>
                <w:lang w:val="en-US" w:eastAsia="zh-CN"/>
              </w:rPr>
              <w:t>2.</w:t>
            </w:r>
            <w:r>
              <w:rPr>
                <w:rFonts w:hint="eastAsia" w:cs="仿宋_GB2312" w:asciiTheme="minorEastAsia" w:hAnsiTheme="minorEastAsia" w:eastAsiaTheme="minorEastAsia"/>
                <w:b w:val="0"/>
                <w:bCs w:val="0"/>
                <w:color w:val="auto"/>
                <w:kern w:val="0"/>
                <w:sz w:val="15"/>
                <w:szCs w:val="15"/>
                <w:highlight w:val="none"/>
              </w:rPr>
              <w:t>发生在人口集中地区</w:t>
            </w:r>
            <w:r>
              <w:rPr>
                <w:rFonts w:hint="eastAsia" w:cs="宋体" w:asciiTheme="minorEastAsia" w:hAnsiTheme="minorEastAsia" w:eastAsiaTheme="minorEastAsia"/>
                <w:b w:val="0"/>
                <w:bCs w:val="0"/>
                <w:color w:val="auto"/>
                <w:kern w:val="0"/>
                <w:sz w:val="15"/>
                <w:szCs w:val="15"/>
                <w:highlight w:val="none"/>
              </w:rPr>
              <w:t>或人员密集场所</w:t>
            </w:r>
            <w:r>
              <w:rPr>
                <w:rFonts w:hint="eastAsia" w:cs="仿宋_GB2312" w:asciiTheme="minorEastAsia" w:hAnsiTheme="minorEastAsia" w:eastAsiaTheme="minorEastAsia"/>
                <w:b w:val="0"/>
                <w:bCs w:val="0"/>
                <w:color w:val="auto"/>
                <w:kern w:val="0"/>
                <w:sz w:val="15"/>
                <w:szCs w:val="15"/>
                <w:highlight w:val="none"/>
              </w:rPr>
              <w:t>的，系数2</w:t>
            </w:r>
            <w:r>
              <w:rPr>
                <w:rFonts w:hint="eastAsia" w:cs="仿宋_GB2312" w:asciiTheme="minorEastAsia" w:hAnsiTheme="minorEastAsia" w:eastAsiaTheme="minorEastAsia"/>
                <w:b w:val="0"/>
                <w:bCs w:val="0"/>
                <w:color w:val="auto"/>
                <w:kern w:val="0"/>
                <w:sz w:val="15"/>
                <w:szCs w:val="15"/>
                <w:highlight w:val="none"/>
                <w:lang w:eastAsia="zh-CN"/>
              </w:rPr>
              <w:t>。</w:t>
            </w:r>
            <w:r>
              <w:rPr>
                <w:rFonts w:hint="default" w:cs="仿宋_GB2312" w:asciiTheme="minorEastAsia" w:hAnsiTheme="minorEastAsia" w:eastAsiaTheme="minorEastAsia"/>
                <w:b w:val="0"/>
                <w:bCs w:val="0"/>
                <w:color w:val="auto"/>
                <w:kern w:val="0"/>
                <w:sz w:val="15"/>
                <w:szCs w:val="15"/>
                <w:highlight w:val="none"/>
                <w:lang w:val="en-US" w:eastAsia="zh-CN"/>
              </w:rPr>
              <w:t>3</w:t>
            </w:r>
            <w:r>
              <w:rPr>
                <w:rFonts w:hint="eastAsia" w:cs="仿宋_GB2312" w:asciiTheme="minorEastAsia" w:hAnsiTheme="minorEastAsia" w:eastAsiaTheme="minorEastAsia"/>
                <w:b w:val="0"/>
                <w:bCs w:val="0"/>
                <w:color w:val="auto"/>
                <w:kern w:val="0"/>
                <w:sz w:val="15"/>
                <w:szCs w:val="15"/>
                <w:highlight w:val="none"/>
              </w:rPr>
              <w:t>.发生燃气安全事故</w:t>
            </w:r>
            <w:r>
              <w:rPr>
                <w:rFonts w:hint="eastAsia" w:cs="仿宋_GB2312" w:asciiTheme="minorEastAsia" w:hAnsiTheme="minorEastAsia" w:eastAsiaTheme="minorEastAsia"/>
                <w:b w:val="0"/>
                <w:bCs w:val="0"/>
                <w:color w:val="auto"/>
                <w:kern w:val="0"/>
                <w:sz w:val="15"/>
                <w:szCs w:val="15"/>
                <w:highlight w:val="none"/>
                <w:lang w:eastAsia="zh-CN"/>
              </w:rPr>
              <w:t>或者</w:t>
            </w:r>
            <w:r>
              <w:rPr>
                <w:rFonts w:hint="eastAsia" w:cs="仿宋_GB2312" w:asciiTheme="minorEastAsia" w:hAnsiTheme="minorEastAsia" w:eastAsiaTheme="minorEastAsia"/>
                <w:b w:val="0"/>
                <w:bCs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b w:val="0"/>
                <w:bCs w:val="0"/>
                <w:color w:val="auto"/>
                <w:kern w:val="0"/>
                <w:sz w:val="15"/>
                <w:szCs w:val="15"/>
                <w:highlight w:val="none"/>
              </w:rPr>
              <w:t>安全隐患或者的，系数9</w:t>
            </w:r>
            <w:r>
              <w:rPr>
                <w:rFonts w:hint="eastAsia" w:cs="仿宋_GB2312" w:asciiTheme="minorEastAsia" w:hAnsiTheme="minorEastAsia" w:eastAsiaTheme="minorEastAsia"/>
                <w:b w:val="0"/>
                <w:bCs w:val="0"/>
                <w:color w:val="auto"/>
                <w:kern w:val="0"/>
                <w:sz w:val="15"/>
                <w:szCs w:val="15"/>
                <w:highlight w:val="none"/>
                <w:lang w:eastAsia="zh-CN"/>
              </w:rPr>
              <w:t>。</w:t>
            </w:r>
            <w:r>
              <w:rPr>
                <w:rFonts w:hint="default" w:ascii="宋体" w:hAnsi="宋体" w:cs="宋体"/>
                <w:b w:val="0"/>
                <w:bCs w:val="0"/>
                <w:color w:val="auto"/>
                <w:kern w:val="0"/>
                <w:sz w:val="15"/>
                <w:szCs w:val="15"/>
                <w:highlight w:val="none"/>
                <w:lang w:val="en-US" w:eastAsia="zh-CN"/>
              </w:rPr>
              <w:t>4</w:t>
            </w:r>
            <w:r>
              <w:rPr>
                <w:rFonts w:hint="eastAsia" w:ascii="宋体" w:hAnsi="宋体" w:cs="宋体"/>
                <w:b w:val="0"/>
                <w:bCs w:val="0"/>
                <w:color w:val="auto"/>
                <w:kern w:val="0"/>
                <w:sz w:val="15"/>
                <w:szCs w:val="15"/>
                <w:highlight w:val="none"/>
                <w:lang w:val="en-US" w:eastAsia="zh-CN"/>
              </w:rPr>
              <w:t>.</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900600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BB64BAB">
            <w:pPr>
              <w:spacing w:line="232" w:lineRule="exact"/>
              <w:rPr>
                <w:rFonts w:hint="eastAsia" w:cs="仿宋_GB2312" w:asciiTheme="minorEastAsia" w:hAnsiTheme="minorEastAsia" w:eastAsiaTheme="minorEastAsia"/>
                <w:strike/>
                <w:dstrike w:val="0"/>
                <w:color w:val="auto"/>
                <w:kern w:val="0"/>
                <w:sz w:val="15"/>
                <w:szCs w:val="15"/>
                <w:highlight w:val="none"/>
              </w:rPr>
            </w:pPr>
          </w:p>
        </w:tc>
      </w:tr>
      <w:tr w14:paraId="49C10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21" w:hRule="atLeast"/>
          <w:jc w:val="center"/>
        </w:trPr>
        <w:tc>
          <w:tcPr>
            <w:tcW w:w="610" w:type="dxa"/>
            <w:vMerge w:val="restart"/>
            <w:shd w:val="clear" w:color="auto" w:fill="auto"/>
            <w:vAlign w:val="center"/>
          </w:tcPr>
          <w:p w14:paraId="693ED52C">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26</w:t>
            </w:r>
          </w:p>
        </w:tc>
        <w:tc>
          <w:tcPr>
            <w:tcW w:w="1830" w:type="dxa"/>
            <w:gridSpan w:val="3"/>
            <w:vMerge w:val="restart"/>
            <w:shd w:val="clear" w:color="auto" w:fill="auto"/>
            <w:vAlign w:val="center"/>
          </w:tcPr>
          <w:p w14:paraId="157818A4">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在管道燃气设施保护范围内从事危及管道燃气设施安全的活动</w:t>
            </w:r>
          </w:p>
        </w:tc>
        <w:tc>
          <w:tcPr>
            <w:tcW w:w="2789" w:type="dxa"/>
            <w:gridSpan w:val="2"/>
            <w:vMerge w:val="restart"/>
            <w:shd w:val="clear" w:color="auto" w:fill="auto"/>
            <w:vAlign w:val="center"/>
          </w:tcPr>
          <w:p w14:paraId="2B144DB7">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违反条款：第四十一条第二款第(二)（三）(四)项（根据实际违法情形选择）；</w:t>
            </w:r>
          </w:p>
          <w:p w14:paraId="5C6365CF">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shd w:val="clear" w:color="auto" w:fill="auto"/>
            <w:vAlign w:val="center"/>
          </w:tcPr>
          <w:p w14:paraId="474767ED">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14:paraId="75BCF046">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1CB38102">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6BDADAE8">
            <w:pPr>
              <w:spacing w:line="232" w:lineRule="exact"/>
              <w:rPr>
                <w:rFonts w:cs="仿宋_GB2312" w:asciiTheme="minorEastAsia" w:hAnsiTheme="minorEastAsia" w:eastAsiaTheme="minorEastAsia"/>
                <w:b w:val="0"/>
                <w:bCs w:val="0"/>
                <w:color w:val="auto"/>
                <w:sz w:val="15"/>
                <w:szCs w:val="15"/>
                <w:highlight w:val="none"/>
              </w:rPr>
            </w:pPr>
            <w:r>
              <w:rPr>
                <w:rFonts w:hint="eastAsia" w:cs="仿宋_GB2312" w:asciiTheme="minorEastAsia" w:hAnsiTheme="minorEastAsia" w:eastAsiaTheme="minorEastAsia"/>
                <w:b w:val="0"/>
                <w:bCs w:val="0"/>
                <w:color w:val="auto"/>
                <w:kern w:val="0"/>
                <w:sz w:val="15"/>
                <w:szCs w:val="15"/>
                <w:highlight w:val="none"/>
              </w:rPr>
              <w:t>1.</w:t>
            </w:r>
            <w:r>
              <w:rPr>
                <w:rFonts w:hint="eastAsia" w:ascii="宋体" w:hAnsi="宋体" w:cs="仿宋_GB2312"/>
                <w:b w:val="0"/>
                <w:bCs w:val="0"/>
                <w:color w:val="auto"/>
                <w:kern w:val="0"/>
                <w:sz w:val="15"/>
                <w:szCs w:val="15"/>
                <w:highlight w:val="none"/>
                <w:lang w:eastAsia="zh-CN"/>
              </w:rPr>
              <w:t>涉及高压燃气设施的，系数</w:t>
            </w:r>
            <w:r>
              <w:rPr>
                <w:rFonts w:hint="eastAsia" w:ascii="宋体" w:hAnsi="宋体" w:cs="仿宋_GB2312"/>
                <w:b w:val="0"/>
                <w:bCs w:val="0"/>
                <w:color w:val="auto"/>
                <w:kern w:val="0"/>
                <w:sz w:val="15"/>
                <w:szCs w:val="15"/>
                <w:highlight w:val="none"/>
                <w:lang w:val="en-US" w:eastAsia="zh-CN"/>
              </w:rPr>
              <w:t>0.5；</w:t>
            </w:r>
            <w:r>
              <w:rPr>
                <w:rFonts w:hint="eastAsia" w:cs="仿宋_GB2312" w:asciiTheme="minorEastAsia" w:hAnsiTheme="minorEastAsia" w:eastAsiaTheme="minorEastAsia"/>
                <w:b w:val="0"/>
                <w:bCs w:val="0"/>
                <w:color w:val="auto"/>
                <w:kern w:val="0"/>
                <w:sz w:val="15"/>
                <w:szCs w:val="15"/>
                <w:highlight w:val="none"/>
                <w:lang w:val="en-US" w:eastAsia="zh-CN"/>
              </w:rPr>
              <w:t>2.</w:t>
            </w:r>
            <w:r>
              <w:rPr>
                <w:rFonts w:hint="eastAsia" w:cs="仿宋_GB2312" w:asciiTheme="minorEastAsia" w:hAnsiTheme="minorEastAsia" w:eastAsiaTheme="minorEastAsia"/>
                <w:b w:val="0"/>
                <w:bCs w:val="0"/>
                <w:color w:val="auto"/>
                <w:kern w:val="0"/>
                <w:sz w:val="15"/>
                <w:szCs w:val="15"/>
                <w:highlight w:val="none"/>
              </w:rPr>
              <w:t>损坏燃气设施</w:t>
            </w:r>
            <w:r>
              <w:rPr>
                <w:rFonts w:hint="eastAsia" w:cs="仿宋_GB2312" w:asciiTheme="minorEastAsia" w:hAnsiTheme="minorEastAsia" w:eastAsiaTheme="minorEastAsia"/>
                <w:b w:val="0"/>
                <w:bCs w:val="0"/>
                <w:color w:val="auto"/>
                <w:kern w:val="0"/>
                <w:sz w:val="15"/>
                <w:szCs w:val="15"/>
                <w:highlight w:val="none"/>
                <w:lang w:eastAsia="zh-CN"/>
              </w:rPr>
              <w:t>或者存在其他</w:t>
            </w:r>
            <w:r>
              <w:rPr>
                <w:rFonts w:hint="eastAsia" w:cs="仿宋_GB2312" w:asciiTheme="minorEastAsia" w:hAnsiTheme="minorEastAsia" w:eastAsiaTheme="minorEastAsia"/>
                <w:b w:val="0"/>
                <w:bCs w:val="0"/>
                <w:color w:val="auto"/>
                <w:kern w:val="0"/>
                <w:sz w:val="15"/>
                <w:szCs w:val="15"/>
                <w:highlight w:val="none"/>
              </w:rPr>
              <w:t>影响用气情形的，系数0.5；</w:t>
            </w:r>
            <w:r>
              <w:rPr>
                <w:rFonts w:hint="eastAsia" w:ascii="宋体" w:hAnsi="宋体" w:cs="仿宋_GB2312"/>
                <w:b w:val="0"/>
                <w:bCs w:val="0"/>
                <w:color w:val="auto"/>
                <w:kern w:val="0"/>
                <w:sz w:val="15"/>
                <w:szCs w:val="15"/>
                <w:highlight w:val="none"/>
                <w:lang w:val="en-US" w:eastAsia="zh-CN"/>
              </w:rPr>
              <w:t>3</w:t>
            </w:r>
            <w:r>
              <w:rPr>
                <w:rFonts w:hint="eastAsia" w:cs="仿宋_GB2312"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b w:val="0"/>
                <w:bCs w:val="0"/>
                <w:color w:val="auto"/>
                <w:kern w:val="0"/>
                <w:sz w:val="15"/>
                <w:szCs w:val="15"/>
                <w:highlight w:val="none"/>
              </w:rPr>
              <w:t>安全隐患</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rPr>
              <w:t>或者</w:t>
            </w:r>
            <w:r>
              <w:rPr>
                <w:rFonts w:hint="eastAsia" w:cs="仿宋_GB2312" w:asciiTheme="minorEastAsia" w:hAnsiTheme="minorEastAsia" w:eastAsiaTheme="minorEastAsia"/>
                <w:b w:val="0"/>
                <w:bCs w:val="0"/>
                <w:color w:val="auto"/>
                <w:kern w:val="0"/>
                <w:sz w:val="15"/>
                <w:szCs w:val="15"/>
                <w:highlight w:val="none"/>
                <w:lang w:eastAsia="zh-CN"/>
              </w:rPr>
              <w:t>其他</w:t>
            </w:r>
            <w:r>
              <w:rPr>
                <w:rFonts w:hint="eastAsia" w:cs="仿宋_GB2312" w:asciiTheme="minorEastAsia" w:hAnsiTheme="minorEastAsia" w:eastAsiaTheme="minorEastAsia"/>
                <w:b w:val="0"/>
                <w:bCs w:val="0"/>
                <w:color w:val="auto"/>
                <w:kern w:val="0"/>
                <w:sz w:val="15"/>
                <w:szCs w:val="15"/>
                <w:highlight w:val="none"/>
              </w:rPr>
              <w:t>严重影响用气情形的，系数1</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8C254E6">
            <w:pPr>
              <w:spacing w:line="232" w:lineRule="exact"/>
              <w:rPr>
                <w:rFonts w:hint="eastAsia" w:cs="仿宋_GB2312" w:asciiTheme="minorEastAsia" w:hAnsiTheme="minorEastAsia" w:eastAsiaTheme="minorEastAsia"/>
                <w:color w:val="auto"/>
                <w:kern w:val="0"/>
                <w:sz w:val="15"/>
                <w:szCs w:val="15"/>
                <w:highlight w:val="none"/>
                <w:lang w:val="en"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14:paraId="2892491E">
            <w:pPr>
              <w:spacing w:line="232" w:lineRule="exact"/>
              <w:rPr>
                <w:rFonts w:hint="eastAsia" w:cs="仿宋_GB2312" w:asciiTheme="minorEastAsia" w:hAnsiTheme="minorEastAsia" w:eastAsiaTheme="minorEastAsia"/>
                <w:strike/>
                <w:dstrike w:val="0"/>
                <w:color w:val="auto"/>
                <w:kern w:val="0"/>
                <w:sz w:val="15"/>
                <w:szCs w:val="15"/>
                <w:highlight w:val="none"/>
              </w:rPr>
            </w:pPr>
            <w:r>
              <w:rPr>
                <w:rFonts w:hint="eastAsia" w:cs="仿宋_GB2312" w:asciiTheme="minorEastAsia" w:hAnsiTheme="minorEastAsia" w:eastAsiaTheme="minorEastAsia"/>
                <w:strike/>
                <w:dstrike w:val="0"/>
                <w:color w:val="auto"/>
                <w:kern w:val="0"/>
                <w:sz w:val="15"/>
                <w:szCs w:val="15"/>
                <w:highlight w:val="none"/>
              </w:rPr>
              <w:br w:type="textWrapping"/>
            </w:r>
          </w:p>
        </w:tc>
      </w:tr>
      <w:tr w14:paraId="70858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40" w:hRule="atLeast"/>
          <w:jc w:val="center"/>
        </w:trPr>
        <w:tc>
          <w:tcPr>
            <w:tcW w:w="610" w:type="dxa"/>
            <w:vMerge w:val="continue"/>
            <w:shd w:val="clear" w:color="auto" w:fill="auto"/>
            <w:vAlign w:val="center"/>
          </w:tcPr>
          <w:p w14:paraId="1A9405B1">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830" w:type="dxa"/>
            <w:gridSpan w:val="3"/>
            <w:vMerge w:val="continue"/>
            <w:shd w:val="clear" w:color="auto" w:fill="auto"/>
            <w:vAlign w:val="center"/>
          </w:tcPr>
          <w:p w14:paraId="6BA8DF79">
            <w:pPr>
              <w:spacing w:line="232" w:lineRule="exact"/>
              <w:rPr>
                <w:rFonts w:cs="仿宋_GB2312"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15ADD131">
            <w:pPr>
              <w:spacing w:line="232" w:lineRule="exact"/>
              <w:rPr>
                <w:rFonts w:cs="仿宋_GB2312" w:asciiTheme="minorEastAsia" w:hAnsiTheme="minorEastAsia" w:eastAsiaTheme="minorEastAsia"/>
                <w:color w:val="auto"/>
                <w:sz w:val="15"/>
                <w:szCs w:val="15"/>
                <w:highlight w:val="none"/>
              </w:rPr>
            </w:pPr>
          </w:p>
        </w:tc>
        <w:tc>
          <w:tcPr>
            <w:tcW w:w="851" w:type="dxa"/>
            <w:shd w:val="clear" w:color="auto" w:fill="auto"/>
            <w:vAlign w:val="center"/>
          </w:tcPr>
          <w:p w14:paraId="222D490C">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p w14:paraId="001FEF25">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（个人）</w:t>
            </w:r>
          </w:p>
        </w:tc>
        <w:tc>
          <w:tcPr>
            <w:tcW w:w="840" w:type="dxa"/>
            <w:shd w:val="clear" w:color="auto" w:fill="auto"/>
            <w:vAlign w:val="center"/>
          </w:tcPr>
          <w:p w14:paraId="572E89A3">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08A740D0">
            <w:pPr>
              <w:spacing w:line="232" w:lineRule="exact"/>
              <w:rPr>
                <w:rFonts w:cs="仿宋_GB2312" w:asciiTheme="minorEastAsia" w:hAnsiTheme="minorEastAsia" w:eastAsiaTheme="minorEastAsia"/>
                <w:b w:val="0"/>
                <w:bCs w:val="0"/>
                <w:color w:val="auto"/>
                <w:sz w:val="15"/>
                <w:szCs w:val="15"/>
                <w:highlight w:val="none"/>
              </w:rPr>
            </w:pPr>
            <w:r>
              <w:rPr>
                <w:rFonts w:hint="eastAsia" w:cs="仿宋_GB2312" w:asciiTheme="minorEastAsia" w:hAnsiTheme="minorEastAsia" w:eastAsiaTheme="minorEastAsia"/>
                <w:b w:val="0"/>
                <w:bCs w:val="0"/>
                <w:color w:val="auto"/>
                <w:kern w:val="0"/>
                <w:sz w:val="15"/>
                <w:szCs w:val="15"/>
                <w:highlight w:val="none"/>
                <w:lang w:val="en-US" w:eastAsia="zh-CN"/>
              </w:rPr>
              <w:t>1.</w:t>
            </w:r>
            <w:r>
              <w:rPr>
                <w:rFonts w:hint="eastAsia" w:ascii="宋体" w:hAnsi="宋体" w:cs="仿宋_GB2312"/>
                <w:b w:val="0"/>
                <w:bCs w:val="0"/>
                <w:color w:val="auto"/>
                <w:kern w:val="0"/>
                <w:sz w:val="15"/>
                <w:szCs w:val="15"/>
                <w:highlight w:val="none"/>
                <w:lang w:eastAsia="zh-CN"/>
              </w:rPr>
              <w:t>涉及高压燃气设施的，系数</w:t>
            </w:r>
            <w:r>
              <w:rPr>
                <w:rFonts w:hint="eastAsia" w:ascii="宋体" w:hAnsi="宋体" w:cs="仿宋_GB2312"/>
                <w:b w:val="0"/>
                <w:bCs w:val="0"/>
                <w:color w:val="auto"/>
                <w:kern w:val="0"/>
                <w:sz w:val="15"/>
                <w:szCs w:val="15"/>
                <w:highlight w:val="none"/>
                <w:lang w:val="en-US" w:eastAsia="zh-CN"/>
              </w:rPr>
              <w:t>4</w:t>
            </w:r>
            <w:r>
              <w:rPr>
                <w:rFonts w:hint="eastAsia" w:cs="仿宋_GB2312" w:asciiTheme="minorEastAsia" w:hAnsiTheme="minorEastAsia" w:eastAsiaTheme="minorEastAsia"/>
                <w:b w:val="0"/>
                <w:bCs w:val="0"/>
                <w:color w:val="auto"/>
                <w:kern w:val="0"/>
                <w:sz w:val="15"/>
                <w:szCs w:val="15"/>
                <w:highlight w:val="none"/>
                <w:lang w:val="en-US" w:eastAsia="zh-CN"/>
              </w:rPr>
              <w:t>；2</w:t>
            </w:r>
            <w:r>
              <w:rPr>
                <w:rFonts w:hint="eastAsia" w:cs="仿宋_GB2312" w:asciiTheme="minorEastAsia" w:hAnsiTheme="minorEastAsia" w:eastAsiaTheme="minorEastAsia"/>
                <w:b w:val="0"/>
                <w:bCs w:val="0"/>
                <w:color w:val="auto"/>
                <w:kern w:val="0"/>
                <w:sz w:val="15"/>
                <w:szCs w:val="15"/>
                <w:highlight w:val="none"/>
              </w:rPr>
              <w:t>.损坏燃气设施或者</w:t>
            </w:r>
            <w:r>
              <w:rPr>
                <w:rFonts w:hint="eastAsia" w:cs="仿宋_GB2312" w:asciiTheme="minorEastAsia" w:hAnsiTheme="minorEastAsia" w:eastAsiaTheme="minorEastAsia"/>
                <w:b w:val="0"/>
                <w:bCs w:val="0"/>
                <w:color w:val="auto"/>
                <w:kern w:val="0"/>
                <w:sz w:val="15"/>
                <w:szCs w:val="15"/>
                <w:highlight w:val="none"/>
                <w:lang w:eastAsia="zh-CN"/>
              </w:rPr>
              <w:t>存在其他</w:t>
            </w:r>
            <w:r>
              <w:rPr>
                <w:rFonts w:hint="eastAsia" w:cs="仿宋_GB2312" w:asciiTheme="minorEastAsia" w:hAnsiTheme="minorEastAsia" w:eastAsiaTheme="minorEastAsia"/>
                <w:b w:val="0"/>
                <w:bCs w:val="0"/>
                <w:color w:val="auto"/>
                <w:kern w:val="0"/>
                <w:sz w:val="15"/>
                <w:szCs w:val="15"/>
                <w:highlight w:val="none"/>
              </w:rPr>
              <w:t>影响用气情形的，</w:t>
            </w:r>
            <w:r>
              <w:rPr>
                <w:rFonts w:hint="eastAsia" w:cs="宋体" w:asciiTheme="minorEastAsia" w:hAnsiTheme="minorEastAsia" w:eastAsiaTheme="minorEastAsia"/>
                <w:b w:val="0"/>
                <w:bCs w:val="0"/>
                <w:color w:val="auto"/>
                <w:kern w:val="0"/>
                <w:sz w:val="15"/>
                <w:szCs w:val="15"/>
                <w:highlight w:val="none"/>
              </w:rPr>
              <w:t>系数7</w:t>
            </w:r>
            <w:r>
              <w:rPr>
                <w:rFonts w:hint="eastAsia" w:cs="仿宋_GB2312" w:asciiTheme="minorEastAsia" w:hAnsiTheme="minorEastAsia" w:eastAsiaTheme="minorEastAsia"/>
                <w:b w:val="0"/>
                <w:bCs w:val="0"/>
                <w:color w:val="auto"/>
                <w:kern w:val="0"/>
                <w:sz w:val="15"/>
                <w:szCs w:val="15"/>
                <w:highlight w:val="none"/>
              </w:rPr>
              <w:t>；</w:t>
            </w:r>
            <w:r>
              <w:rPr>
                <w:rFonts w:hint="eastAsia" w:cs="仿宋_GB2312" w:asciiTheme="minorEastAsia" w:hAnsiTheme="minorEastAsia" w:eastAsiaTheme="minorEastAsia"/>
                <w:b w:val="0"/>
                <w:bCs w:val="0"/>
                <w:color w:val="auto"/>
                <w:kern w:val="0"/>
                <w:sz w:val="15"/>
                <w:szCs w:val="15"/>
                <w:highlight w:val="none"/>
                <w:lang w:val="en-US" w:eastAsia="zh-CN"/>
              </w:rPr>
              <w:t>3</w:t>
            </w:r>
            <w:r>
              <w:rPr>
                <w:rFonts w:hint="eastAsia" w:cs="仿宋_GB2312" w:asciiTheme="minorEastAsia" w:hAnsiTheme="minorEastAsia" w:eastAsiaTheme="minorEastAsia"/>
                <w:b w:val="0"/>
                <w:bCs w:val="0"/>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b w:val="0"/>
                <w:bCs w:val="0"/>
                <w:color w:val="auto"/>
                <w:kern w:val="0"/>
                <w:sz w:val="15"/>
                <w:szCs w:val="15"/>
                <w:highlight w:val="none"/>
              </w:rPr>
              <w:t>安全隐患</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rPr>
              <w:t>或者</w:t>
            </w:r>
            <w:r>
              <w:rPr>
                <w:rFonts w:hint="eastAsia" w:cs="仿宋_GB2312" w:asciiTheme="minorEastAsia" w:hAnsiTheme="minorEastAsia" w:eastAsiaTheme="minorEastAsia"/>
                <w:b w:val="0"/>
                <w:bCs w:val="0"/>
                <w:color w:val="auto"/>
                <w:kern w:val="0"/>
                <w:sz w:val="15"/>
                <w:szCs w:val="15"/>
                <w:highlight w:val="none"/>
                <w:lang w:eastAsia="zh-CN"/>
              </w:rPr>
              <w:t>其他</w:t>
            </w:r>
            <w:r>
              <w:rPr>
                <w:rFonts w:hint="eastAsia" w:cs="仿宋_GB2312" w:asciiTheme="minorEastAsia" w:hAnsiTheme="minorEastAsia" w:eastAsiaTheme="minorEastAsia"/>
                <w:b w:val="0"/>
                <w:bCs w:val="0"/>
                <w:color w:val="auto"/>
                <w:kern w:val="0"/>
                <w:sz w:val="15"/>
                <w:szCs w:val="15"/>
                <w:highlight w:val="none"/>
              </w:rPr>
              <w:t>严重影响用气情形的，系数9</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20EE26B">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14:paraId="5669A224">
            <w:pPr>
              <w:spacing w:line="232" w:lineRule="exact"/>
              <w:rPr>
                <w:rFonts w:cs="仿宋_GB2312" w:asciiTheme="minorEastAsia" w:hAnsiTheme="minorEastAsia" w:eastAsiaTheme="minorEastAsia"/>
                <w:color w:val="auto"/>
                <w:kern w:val="0"/>
                <w:sz w:val="15"/>
                <w:szCs w:val="15"/>
                <w:highlight w:val="none"/>
              </w:rPr>
            </w:pPr>
          </w:p>
        </w:tc>
      </w:tr>
      <w:tr w14:paraId="1F41E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70" w:hRule="atLeast"/>
          <w:jc w:val="center"/>
        </w:trPr>
        <w:tc>
          <w:tcPr>
            <w:tcW w:w="610" w:type="dxa"/>
            <w:vMerge w:val="continue"/>
            <w:shd w:val="clear" w:color="auto" w:fill="auto"/>
            <w:vAlign w:val="center"/>
          </w:tcPr>
          <w:p w14:paraId="5204183A">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830" w:type="dxa"/>
            <w:gridSpan w:val="3"/>
            <w:vMerge w:val="continue"/>
            <w:shd w:val="clear" w:color="auto" w:fill="auto"/>
            <w:vAlign w:val="center"/>
          </w:tcPr>
          <w:p w14:paraId="6E9A1F23">
            <w:pPr>
              <w:spacing w:line="232" w:lineRule="exact"/>
              <w:rPr>
                <w:rFonts w:cs="仿宋_GB2312" w:asciiTheme="minorEastAsia" w:hAnsiTheme="minorEastAsia" w:eastAsiaTheme="minorEastAsia"/>
                <w:color w:val="auto"/>
                <w:sz w:val="15"/>
                <w:szCs w:val="15"/>
                <w:highlight w:val="none"/>
              </w:rPr>
            </w:pPr>
          </w:p>
        </w:tc>
        <w:tc>
          <w:tcPr>
            <w:tcW w:w="2789" w:type="dxa"/>
            <w:gridSpan w:val="2"/>
            <w:shd w:val="clear" w:color="auto" w:fill="auto"/>
            <w:vAlign w:val="center"/>
          </w:tcPr>
          <w:p w14:paraId="42BDE531">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违反条款：第四十一条第二款第(五)项；</w:t>
            </w:r>
          </w:p>
          <w:p w14:paraId="7F004BB5">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处罚条款：第六十六条第三款 责令限期改正，恢复原状，处五千元以下罚款。</w:t>
            </w:r>
          </w:p>
        </w:tc>
        <w:tc>
          <w:tcPr>
            <w:tcW w:w="851" w:type="dxa"/>
            <w:shd w:val="clear" w:color="auto" w:fill="auto"/>
            <w:vAlign w:val="center"/>
          </w:tcPr>
          <w:p w14:paraId="25680EBC">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w:t>
            </w:r>
          </w:p>
        </w:tc>
        <w:tc>
          <w:tcPr>
            <w:tcW w:w="840" w:type="dxa"/>
            <w:shd w:val="clear" w:color="auto" w:fill="auto"/>
            <w:vAlign w:val="center"/>
          </w:tcPr>
          <w:p w14:paraId="4D923AA0">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3426" w:type="dxa"/>
            <w:shd w:val="clear" w:color="auto" w:fill="auto"/>
            <w:vAlign w:val="center"/>
          </w:tcPr>
          <w:p w14:paraId="7E1D1247">
            <w:pPr>
              <w:spacing w:line="232" w:lineRule="exact"/>
              <w:rPr>
                <w:rFonts w:cs="仿宋_GB2312" w:asciiTheme="minorEastAsia" w:hAnsiTheme="minorEastAsia" w:eastAsiaTheme="minorEastAsia"/>
                <w:b w:val="0"/>
                <w:bCs w:val="0"/>
                <w:color w:val="auto"/>
                <w:sz w:val="15"/>
                <w:szCs w:val="15"/>
                <w:highlight w:val="none"/>
              </w:rPr>
            </w:pPr>
            <w:r>
              <w:rPr>
                <w:rFonts w:hint="eastAsia" w:cs="仿宋_GB2312" w:asciiTheme="minorEastAsia" w:hAnsiTheme="minorEastAsia" w:eastAsiaTheme="minorEastAsia"/>
                <w:b w:val="0"/>
                <w:bCs w:val="0"/>
                <w:color w:val="auto"/>
                <w:kern w:val="0"/>
                <w:sz w:val="15"/>
                <w:szCs w:val="15"/>
                <w:highlight w:val="none"/>
                <w:lang w:val="en-US" w:eastAsia="zh-CN"/>
              </w:rPr>
              <w:t>1.</w:t>
            </w:r>
            <w:r>
              <w:rPr>
                <w:rFonts w:hint="eastAsia" w:ascii="宋体" w:hAnsi="宋体" w:eastAsia="宋体" w:cs="宋体"/>
                <w:b w:val="0"/>
                <w:bCs w:val="0"/>
                <w:color w:val="auto"/>
                <w:kern w:val="0"/>
                <w:sz w:val="15"/>
                <w:szCs w:val="15"/>
                <w:highlight w:val="none"/>
                <w:lang w:eastAsia="zh-CN"/>
              </w:rPr>
              <w:t>涉及安全警示标志</w:t>
            </w:r>
            <w:r>
              <w:rPr>
                <w:rFonts w:hint="eastAsia" w:ascii="宋体" w:hAnsi="宋体" w:eastAsia="宋体" w:cs="宋体"/>
                <w:b w:val="0"/>
                <w:bCs w:val="0"/>
                <w:color w:val="auto"/>
                <w:kern w:val="0"/>
                <w:sz w:val="15"/>
                <w:szCs w:val="15"/>
                <w:highlight w:val="none"/>
                <w:lang w:val="en-US" w:eastAsia="zh-CN"/>
              </w:rPr>
              <w:t>2处及以上的，系数1；4处及以上的，系数2；6处及以上的，系数4</w:t>
            </w:r>
            <w:r>
              <w:rPr>
                <w:rFonts w:hint="eastAsia" w:ascii="宋体" w:hAnsi="宋体" w:cs="宋体"/>
                <w:b w:val="0"/>
                <w:bCs w:val="0"/>
                <w:color w:val="auto"/>
                <w:kern w:val="0"/>
                <w:sz w:val="15"/>
                <w:szCs w:val="15"/>
                <w:highlight w:val="none"/>
                <w:lang w:val="en-US" w:eastAsia="zh-CN"/>
              </w:rPr>
              <w:t>。</w:t>
            </w:r>
            <w:r>
              <w:rPr>
                <w:rFonts w:hint="eastAsia" w:cs="仿宋_GB2312" w:asciiTheme="minorEastAsia" w:hAnsiTheme="minorEastAsia" w:eastAsiaTheme="minorEastAsia"/>
                <w:b w:val="0"/>
                <w:bCs w:val="0"/>
                <w:color w:val="auto"/>
                <w:kern w:val="0"/>
                <w:sz w:val="15"/>
                <w:szCs w:val="15"/>
                <w:highlight w:val="none"/>
                <w:lang w:val="en-US" w:eastAsia="zh-CN"/>
              </w:rPr>
              <w:t>2</w:t>
            </w:r>
            <w:r>
              <w:rPr>
                <w:rFonts w:hint="eastAsia" w:cs="仿宋_GB2312" w:asciiTheme="minorEastAsia" w:hAnsiTheme="minorEastAsia" w:eastAsiaTheme="minorEastAsia"/>
                <w:b w:val="0"/>
                <w:bCs w:val="0"/>
                <w:color w:val="auto"/>
                <w:kern w:val="0"/>
                <w:sz w:val="15"/>
                <w:szCs w:val="15"/>
                <w:highlight w:val="none"/>
              </w:rPr>
              <w:t>. 发生在人口集中地区</w:t>
            </w:r>
            <w:r>
              <w:rPr>
                <w:rFonts w:hint="eastAsia" w:cs="宋体" w:asciiTheme="minorEastAsia" w:hAnsiTheme="minorEastAsia" w:eastAsiaTheme="minorEastAsia"/>
                <w:b w:val="0"/>
                <w:bCs w:val="0"/>
                <w:color w:val="auto"/>
                <w:kern w:val="0"/>
                <w:sz w:val="15"/>
                <w:szCs w:val="15"/>
                <w:highlight w:val="none"/>
              </w:rPr>
              <w:t>或人员密集场所</w:t>
            </w:r>
            <w:r>
              <w:rPr>
                <w:rFonts w:hint="eastAsia" w:cs="仿宋_GB2312" w:asciiTheme="minorEastAsia" w:hAnsiTheme="minorEastAsia" w:eastAsiaTheme="minorEastAsia"/>
                <w:b w:val="0"/>
                <w:bCs w:val="0"/>
                <w:color w:val="auto"/>
                <w:kern w:val="0"/>
                <w:sz w:val="15"/>
                <w:szCs w:val="15"/>
                <w:highlight w:val="none"/>
              </w:rPr>
              <w:t>的，系数2</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cs="仿宋_GB2312" w:asciiTheme="minorEastAsia" w:hAnsiTheme="minorEastAsia" w:eastAsiaTheme="minorEastAsia"/>
                <w:b w:val="0"/>
                <w:bCs w:val="0"/>
                <w:color w:val="auto"/>
                <w:kern w:val="0"/>
                <w:sz w:val="15"/>
                <w:szCs w:val="15"/>
                <w:highlight w:val="none"/>
                <w:lang w:val="en-US" w:eastAsia="zh-CN"/>
              </w:rPr>
              <w:t>3</w:t>
            </w:r>
            <w:r>
              <w:rPr>
                <w:rFonts w:hint="eastAsia" w:cs="仿宋_GB2312" w:asciiTheme="minorEastAsia" w:hAnsiTheme="minorEastAsia" w:eastAsiaTheme="minorEastAsia"/>
                <w:b w:val="0"/>
                <w:bCs w:val="0"/>
                <w:color w:val="auto"/>
                <w:kern w:val="0"/>
                <w:sz w:val="15"/>
                <w:szCs w:val="15"/>
                <w:highlight w:val="none"/>
              </w:rPr>
              <w:t>.导致相关燃气安全事故的，系数4</w:t>
            </w:r>
            <w:r>
              <w:rPr>
                <w:rFonts w:hint="eastAsia" w:cs="仿宋_GB2312" w:asciiTheme="minorEastAsia" w:hAnsiTheme="minorEastAsia" w:eastAsiaTheme="minorEastAsia"/>
                <w:b w:val="0"/>
                <w:bCs w:val="0"/>
                <w:color w:val="auto"/>
                <w:kern w:val="0"/>
                <w:sz w:val="15"/>
                <w:szCs w:val="15"/>
                <w:highlight w:val="none"/>
                <w:lang w:eastAsia="zh-CN"/>
              </w:rPr>
              <w:t>。</w:t>
            </w:r>
            <w:r>
              <w:rPr>
                <w:rFonts w:hint="eastAsia" w:ascii="宋体" w:hAnsi="宋体" w:cs="宋体"/>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E46A55D">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罚款数额＝1000×（1＋</w:t>
            </w:r>
            <w:r>
              <w:rPr>
                <w:rFonts w:hint="eastAsia" w:cs="仿宋_GB2312" w:asciiTheme="minorEastAsia" w:hAnsiTheme="minorEastAsia" w:eastAsiaTheme="minorEastAsia"/>
                <w:color w:val="auto"/>
                <w:kern w:val="0"/>
                <w:sz w:val="15"/>
                <w:szCs w:val="15"/>
                <w:highlight w:val="none"/>
                <w:lang w:eastAsia="zh-CN"/>
              </w:rPr>
              <w:t>情节</w:t>
            </w:r>
            <w:r>
              <w:rPr>
                <w:rFonts w:hint="eastAsia" w:cs="仿宋_GB2312"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D22CC03">
            <w:pPr>
              <w:spacing w:line="200"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拟作出1000元以下罚款，说明理由并报案审会决定。</w:t>
            </w:r>
          </w:p>
          <w:p w14:paraId="36680259">
            <w:pPr>
              <w:spacing w:line="232" w:lineRule="exact"/>
              <w:rPr>
                <w:rFonts w:cs="仿宋_GB2312" w:asciiTheme="minorEastAsia" w:hAnsiTheme="minorEastAsia" w:eastAsiaTheme="minorEastAsia"/>
                <w:color w:val="auto"/>
                <w:kern w:val="0"/>
                <w:sz w:val="15"/>
                <w:szCs w:val="15"/>
                <w:highlight w:val="none"/>
              </w:rPr>
            </w:pPr>
          </w:p>
        </w:tc>
      </w:tr>
      <w:tr w14:paraId="04238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90" w:hRule="atLeast"/>
          <w:jc w:val="center"/>
        </w:trPr>
        <w:tc>
          <w:tcPr>
            <w:tcW w:w="14203" w:type="dxa"/>
            <w:gridSpan w:val="13"/>
            <w:shd w:val="clear" w:color="auto" w:fill="auto"/>
            <w:vAlign w:val="center"/>
          </w:tcPr>
          <w:p w14:paraId="2F8C3710">
            <w:pPr>
              <w:pStyle w:val="3"/>
              <w:widowControl w:val="0"/>
              <w:spacing w:line="232" w:lineRule="exact"/>
              <w:jc w:val="center"/>
              <w:rPr>
                <w:rFonts w:asciiTheme="minorEastAsia" w:hAnsiTheme="minorEastAsia" w:eastAsiaTheme="minorEastAsia"/>
                <w:color w:val="auto"/>
                <w:sz w:val="15"/>
                <w:szCs w:val="15"/>
                <w:highlight w:val="none"/>
              </w:rPr>
            </w:pPr>
            <w:bookmarkStart w:id="71" w:name="_Toc110851459"/>
            <w:bookmarkStart w:id="72" w:name="_Toc697937810"/>
            <w:bookmarkStart w:id="73" w:name="_Toc1007666294"/>
            <w:r>
              <w:rPr>
                <w:rFonts w:hint="eastAsia" w:asciiTheme="minorEastAsia" w:hAnsiTheme="minorEastAsia" w:eastAsiaTheme="minorEastAsia"/>
                <w:color w:val="auto"/>
                <w:sz w:val="21"/>
                <w:szCs w:val="21"/>
                <w:highlight w:val="none"/>
              </w:rPr>
              <w:t>《北京市消防条例》案由1项</w:t>
            </w:r>
            <w:bookmarkEnd w:id="71"/>
            <w:bookmarkEnd w:id="72"/>
            <w:bookmarkEnd w:id="73"/>
          </w:p>
        </w:tc>
      </w:tr>
      <w:tr w14:paraId="4A413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02" w:hRule="atLeast"/>
          <w:jc w:val="center"/>
        </w:trPr>
        <w:tc>
          <w:tcPr>
            <w:tcW w:w="610" w:type="dxa"/>
            <w:vMerge w:val="restart"/>
            <w:shd w:val="clear" w:color="auto" w:fill="auto"/>
            <w:vAlign w:val="center"/>
          </w:tcPr>
          <w:p w14:paraId="43CA120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14:paraId="62B3288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人员密集场所使用天然气、液化石油气未安装浓度检测报警装置</w:t>
            </w:r>
          </w:p>
        </w:tc>
        <w:tc>
          <w:tcPr>
            <w:tcW w:w="2789" w:type="dxa"/>
            <w:gridSpan w:val="2"/>
            <w:shd w:val="clear" w:color="auto" w:fill="auto"/>
            <w:vAlign w:val="center"/>
          </w:tcPr>
          <w:p w14:paraId="5A4E4E2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w:t>
            </w:r>
            <w:r>
              <w:rPr>
                <w:rFonts w:hint="eastAsia" w:cs="宋体" w:asciiTheme="minorEastAsia" w:hAnsiTheme="minorEastAsia" w:eastAsiaTheme="minorEastAsia"/>
                <w:color w:val="auto"/>
                <w:kern w:val="0"/>
                <w:sz w:val="15"/>
                <w:szCs w:val="15"/>
                <w:highlight w:val="none"/>
                <w:lang w:eastAsia="zh-CN"/>
              </w:rPr>
              <w:t>三十四</w:t>
            </w:r>
            <w:r>
              <w:rPr>
                <w:rFonts w:hint="eastAsia" w:cs="宋体" w:asciiTheme="minorEastAsia" w:hAnsiTheme="minorEastAsia" w:eastAsiaTheme="minorEastAsia"/>
                <w:color w:val="auto"/>
                <w:kern w:val="0"/>
                <w:sz w:val="15"/>
                <w:szCs w:val="15"/>
                <w:highlight w:val="none"/>
              </w:rPr>
              <w:t>条第（四）项；处罚条款：第</w:t>
            </w:r>
            <w:r>
              <w:rPr>
                <w:rFonts w:hint="eastAsia" w:cs="宋体" w:asciiTheme="minorEastAsia" w:hAnsiTheme="minorEastAsia" w:eastAsiaTheme="minorEastAsia"/>
                <w:color w:val="auto"/>
                <w:kern w:val="0"/>
                <w:sz w:val="15"/>
                <w:szCs w:val="15"/>
                <w:highlight w:val="none"/>
                <w:lang w:eastAsia="zh-CN"/>
              </w:rPr>
              <w:t>九十五</w:t>
            </w:r>
            <w:r>
              <w:rPr>
                <w:rFonts w:hint="eastAsia" w:cs="宋体" w:asciiTheme="minorEastAsia" w:hAnsiTheme="minorEastAsia" w:eastAsiaTheme="minorEastAsia"/>
                <w:color w:val="auto"/>
                <w:kern w:val="0"/>
                <w:sz w:val="15"/>
                <w:szCs w:val="15"/>
                <w:highlight w:val="none"/>
              </w:rPr>
              <w:t>条 责令改正，并可处1万元以上3万元以下罚款。</w:t>
            </w:r>
          </w:p>
        </w:tc>
        <w:tc>
          <w:tcPr>
            <w:tcW w:w="851" w:type="dxa"/>
            <w:shd w:val="clear" w:color="auto" w:fill="auto"/>
            <w:vAlign w:val="center"/>
          </w:tcPr>
          <w:p w14:paraId="12D3500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8E89B8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83C048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13BE69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AE680F9">
            <w:pPr>
              <w:spacing w:line="232" w:lineRule="exact"/>
              <w:rPr>
                <w:rFonts w:hint="eastAsia" w:cs="宋体" w:asciiTheme="minorEastAsia" w:hAnsiTheme="minorEastAsia" w:eastAsiaTheme="minorEastAsia"/>
                <w:color w:val="auto"/>
                <w:kern w:val="0"/>
                <w:sz w:val="15"/>
                <w:szCs w:val="15"/>
                <w:highlight w:val="none"/>
                <w:lang w:eastAsia="zh-CN"/>
              </w:rPr>
            </w:pPr>
          </w:p>
        </w:tc>
      </w:tr>
      <w:tr w14:paraId="086BB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0" w:hRule="atLeast"/>
          <w:jc w:val="center"/>
        </w:trPr>
        <w:tc>
          <w:tcPr>
            <w:tcW w:w="610" w:type="dxa"/>
            <w:vMerge w:val="continue"/>
            <w:shd w:val="clear" w:color="auto" w:fill="auto"/>
            <w:vAlign w:val="center"/>
          </w:tcPr>
          <w:p w14:paraId="5911F75C">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045A7A52">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restart"/>
            <w:shd w:val="clear" w:color="auto" w:fill="auto"/>
            <w:vAlign w:val="center"/>
          </w:tcPr>
          <w:p w14:paraId="1C8B437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违反条款：《中华人民共和国安全生产法》第三十六条第四款；</w:t>
            </w:r>
          </w:p>
          <w:p w14:paraId="13D51FE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shd w:val="clear" w:color="auto" w:fill="auto"/>
            <w:vAlign w:val="center"/>
          </w:tcPr>
          <w:p w14:paraId="37796610">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52F3CB87">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1308066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4DF2D103">
            <w:pPr>
              <w:spacing w:line="232" w:lineRule="exact"/>
              <w:rPr>
                <w:rFonts w:hint="eastAsia" w:asciiTheme="minorEastAsia" w:hAnsiTheme="minorEastAsia" w:eastAsiaTheme="minorEastAsia"/>
                <w:strike/>
                <w:dstrike w:val="0"/>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3213FAE2">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8C5C7D8">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适用于餐饮等行业的生产经营单位使用燃气的情形。</w:t>
            </w:r>
          </w:p>
        </w:tc>
      </w:tr>
      <w:tr w14:paraId="10B30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67" w:hRule="atLeast"/>
          <w:jc w:val="center"/>
        </w:trPr>
        <w:tc>
          <w:tcPr>
            <w:tcW w:w="610" w:type="dxa"/>
            <w:vMerge w:val="continue"/>
            <w:shd w:val="clear" w:color="auto" w:fill="auto"/>
            <w:vAlign w:val="center"/>
          </w:tcPr>
          <w:p w14:paraId="26ABDD0B">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38876AA1">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051BC0BC">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A9699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14:paraId="4AA4EB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14:paraId="14ED9E8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1F91F1F2">
            <w:pPr>
              <w:spacing w:line="232" w:lineRule="exact"/>
              <w:rPr>
                <w:rFonts w:hint="eastAsia" w:asciiTheme="minorEastAsia" w:hAnsiTheme="minorEastAsia" w:eastAsiaTheme="minorEastAsia"/>
                <w:strike/>
                <w:dstrike w:val="0"/>
                <w:color w:val="auto"/>
                <w:sz w:val="15"/>
                <w:szCs w:val="15"/>
                <w:highlight w:val="none"/>
              </w:rPr>
            </w:pPr>
            <w:r>
              <w:rPr>
                <w:rFonts w:hint="default"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val="en-US" w:eastAsia="zh-CN"/>
              </w:rPr>
              <w:t>应当安装但未安装数量2个的，系数0</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lang w:val="en-US" w:eastAsia="zh-CN"/>
              </w:rPr>
              <w:t>；3个的，系数1；4个的，系数1.5；5个的，系数2；6个的，系数2.5；7个及以上的，系数3。</w:t>
            </w:r>
            <w:r>
              <w:rPr>
                <w:rFonts w:hint="default"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00A681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restart"/>
            <w:shd w:val="clear" w:color="auto" w:fill="auto"/>
            <w:vAlign w:val="center"/>
          </w:tcPr>
          <w:p w14:paraId="5CFBEE56">
            <w:pPr>
              <w:numPr>
                <w:ilvl w:val="0"/>
                <w:numId w:val="0"/>
              </w:num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适用于餐饮等行业的生产经营单位使用燃气，逾期未改正的情形。</w:t>
            </w:r>
          </w:p>
          <w:p w14:paraId="33F2B168">
            <w:pPr>
              <w:numPr>
                <w:ilvl w:val="0"/>
                <w:numId w:val="0"/>
              </w:numPr>
              <w:spacing w:line="232" w:lineRule="exact"/>
              <w:rPr>
                <w:rFonts w:hint="eastAsia" w:asciiTheme="minorEastAsia" w:hAnsiTheme="minorEastAsia" w:eastAsiaTheme="minorEastAsia"/>
                <w:color w:val="auto"/>
                <w:sz w:val="15"/>
                <w:szCs w:val="15"/>
                <w:highlight w:val="none"/>
              </w:rPr>
            </w:pPr>
          </w:p>
          <w:p w14:paraId="0EB764F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2.处罚单位，同时处罚直接负责的主管人员和其他直接责任人员。</w:t>
            </w:r>
          </w:p>
        </w:tc>
      </w:tr>
      <w:tr w14:paraId="7504B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22" w:hRule="atLeast"/>
          <w:jc w:val="center"/>
        </w:trPr>
        <w:tc>
          <w:tcPr>
            <w:tcW w:w="610" w:type="dxa"/>
            <w:vMerge w:val="continue"/>
            <w:shd w:val="clear" w:color="auto" w:fill="auto"/>
            <w:vAlign w:val="center"/>
          </w:tcPr>
          <w:p w14:paraId="75170021">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60A8E1E5">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3A3D6130">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C05A1B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1CC7B4A4">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（直接负责的主管人员和其他直接责任人员）</w:t>
            </w:r>
          </w:p>
        </w:tc>
        <w:tc>
          <w:tcPr>
            <w:tcW w:w="840" w:type="dxa"/>
            <w:shd w:val="clear" w:color="auto" w:fill="auto"/>
            <w:vAlign w:val="center"/>
          </w:tcPr>
          <w:p w14:paraId="73D4393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3636A93B">
            <w:pPr>
              <w:spacing w:line="232" w:lineRule="exact"/>
              <w:rPr>
                <w:rFonts w:hint="eastAsia" w:asciiTheme="minorEastAsia" w:hAnsiTheme="minorEastAsia" w:eastAsiaTheme="minorEastAsia"/>
                <w:strike/>
                <w:dstrike w:val="0"/>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2FE1F6A">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continue"/>
            <w:shd w:val="clear" w:color="auto" w:fill="auto"/>
            <w:vAlign w:val="center"/>
          </w:tcPr>
          <w:p w14:paraId="376115F2">
            <w:pPr>
              <w:spacing w:line="232" w:lineRule="exact"/>
              <w:rPr>
                <w:rFonts w:cs="宋体" w:asciiTheme="minorEastAsia" w:hAnsiTheme="minorEastAsia" w:eastAsiaTheme="minorEastAsia"/>
                <w:color w:val="auto"/>
                <w:kern w:val="0"/>
                <w:sz w:val="15"/>
                <w:szCs w:val="15"/>
                <w:highlight w:val="none"/>
              </w:rPr>
            </w:pPr>
          </w:p>
        </w:tc>
      </w:tr>
      <w:tr w14:paraId="01DDA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17" w:hRule="atLeast"/>
          <w:jc w:val="center"/>
        </w:trPr>
        <w:tc>
          <w:tcPr>
            <w:tcW w:w="14203" w:type="dxa"/>
            <w:gridSpan w:val="13"/>
            <w:shd w:val="clear" w:color="auto" w:fill="auto"/>
            <w:vAlign w:val="center"/>
          </w:tcPr>
          <w:p w14:paraId="721F9FAF">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74" w:name="_Toc1826085962"/>
            <w:bookmarkStart w:id="75" w:name="_Toc110851460"/>
            <w:bookmarkStart w:id="76" w:name="_Toc581212474"/>
            <w:r>
              <w:rPr>
                <w:rFonts w:hint="eastAsia" w:asciiTheme="minorEastAsia" w:hAnsiTheme="minorEastAsia" w:eastAsiaTheme="minorEastAsia"/>
                <w:color w:val="auto"/>
                <w:sz w:val="21"/>
                <w:szCs w:val="21"/>
                <w:highlight w:val="none"/>
              </w:rPr>
              <w:t>《北京市清洁燃料车辆加气站管理规定》案由7项</w:t>
            </w:r>
            <w:bookmarkEnd w:id="74"/>
            <w:bookmarkEnd w:id="75"/>
            <w:bookmarkEnd w:id="76"/>
          </w:p>
        </w:tc>
      </w:tr>
      <w:tr w14:paraId="43058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00" w:hRule="atLeast"/>
          <w:jc w:val="center"/>
        </w:trPr>
        <w:tc>
          <w:tcPr>
            <w:tcW w:w="610" w:type="dxa"/>
            <w:shd w:val="clear" w:color="auto" w:fill="auto"/>
            <w:vAlign w:val="center"/>
          </w:tcPr>
          <w:p w14:paraId="7D6F738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5312CCB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加气站未遵守操作规程或未设专人监护</w:t>
            </w:r>
          </w:p>
        </w:tc>
        <w:tc>
          <w:tcPr>
            <w:tcW w:w="2789" w:type="dxa"/>
            <w:gridSpan w:val="2"/>
            <w:shd w:val="clear" w:color="auto" w:fill="auto"/>
            <w:vAlign w:val="center"/>
          </w:tcPr>
          <w:p w14:paraId="1C872BB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违反条款：第八条第（四）项；</w:t>
            </w:r>
          </w:p>
          <w:p w14:paraId="129DB4D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396D6D5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1075B7A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09689B6">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380752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F77A05D">
            <w:pPr>
              <w:spacing w:line="232" w:lineRule="exact"/>
              <w:rPr>
                <w:rFonts w:cs="宋体" w:asciiTheme="minorEastAsia" w:hAnsiTheme="minorEastAsia" w:eastAsiaTheme="minorEastAsia"/>
                <w:color w:val="auto"/>
                <w:kern w:val="0"/>
                <w:sz w:val="15"/>
                <w:szCs w:val="15"/>
                <w:highlight w:val="none"/>
              </w:rPr>
            </w:pPr>
          </w:p>
        </w:tc>
      </w:tr>
      <w:tr w14:paraId="1501B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62" w:hRule="atLeast"/>
          <w:jc w:val="center"/>
        </w:trPr>
        <w:tc>
          <w:tcPr>
            <w:tcW w:w="610" w:type="dxa"/>
            <w:shd w:val="clear" w:color="auto" w:fill="auto"/>
            <w:vAlign w:val="center"/>
          </w:tcPr>
          <w:p w14:paraId="54B689A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793D744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非操作人员进行充气作业</w:t>
            </w:r>
          </w:p>
        </w:tc>
        <w:tc>
          <w:tcPr>
            <w:tcW w:w="2789" w:type="dxa"/>
            <w:gridSpan w:val="2"/>
            <w:shd w:val="clear" w:color="auto" w:fill="auto"/>
            <w:vAlign w:val="center"/>
          </w:tcPr>
          <w:p w14:paraId="5606270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违反条款：第九条第（一）项；</w:t>
            </w:r>
          </w:p>
          <w:p w14:paraId="076EBE7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3EA93C2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6B4F809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935385C">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3E221CF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3731DAF">
            <w:pPr>
              <w:spacing w:line="232" w:lineRule="exact"/>
              <w:rPr>
                <w:rFonts w:cs="宋体" w:asciiTheme="minorEastAsia" w:hAnsiTheme="minorEastAsia" w:eastAsiaTheme="minorEastAsia"/>
                <w:color w:val="auto"/>
                <w:kern w:val="0"/>
                <w:sz w:val="15"/>
                <w:szCs w:val="15"/>
                <w:highlight w:val="none"/>
              </w:rPr>
            </w:pPr>
          </w:p>
        </w:tc>
      </w:tr>
      <w:tr w14:paraId="5A13E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50" w:hRule="atLeast"/>
          <w:jc w:val="center"/>
        </w:trPr>
        <w:tc>
          <w:tcPr>
            <w:tcW w:w="610" w:type="dxa"/>
            <w:shd w:val="clear" w:color="auto" w:fill="auto"/>
            <w:vAlign w:val="center"/>
          </w:tcPr>
          <w:p w14:paraId="79CFFEDB">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6C960C64">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加气站为其他容器充气</w:t>
            </w:r>
          </w:p>
        </w:tc>
        <w:tc>
          <w:tcPr>
            <w:tcW w:w="2789" w:type="dxa"/>
            <w:gridSpan w:val="2"/>
            <w:shd w:val="clear" w:color="auto" w:fill="auto"/>
            <w:vAlign w:val="center"/>
          </w:tcPr>
          <w:p w14:paraId="0119BF8F">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违反条款：第九条第（二）项；</w:t>
            </w:r>
          </w:p>
          <w:p w14:paraId="5009FD91">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79D06513">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2B1180F2">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3BEC578">
            <w:pPr>
              <w:autoSpaceDE w:val="0"/>
              <w:spacing w:line="232" w:lineRule="exact"/>
              <w:ind w:left="0"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6DC45C1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41037A34">
            <w:pPr>
              <w:spacing w:line="232" w:lineRule="exact"/>
              <w:rPr>
                <w:rFonts w:cs="宋体" w:asciiTheme="minorEastAsia" w:hAnsiTheme="minorEastAsia" w:eastAsiaTheme="minorEastAsia"/>
                <w:color w:val="auto"/>
                <w:kern w:val="0"/>
                <w:sz w:val="15"/>
                <w:szCs w:val="15"/>
                <w:highlight w:val="none"/>
              </w:rPr>
            </w:pPr>
          </w:p>
        </w:tc>
      </w:tr>
      <w:tr w14:paraId="059F5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89" w:hRule="atLeast"/>
          <w:jc w:val="center"/>
        </w:trPr>
        <w:tc>
          <w:tcPr>
            <w:tcW w:w="610" w:type="dxa"/>
            <w:shd w:val="clear" w:color="auto" w:fill="auto"/>
            <w:vAlign w:val="center"/>
          </w:tcPr>
          <w:p w14:paraId="6574B021">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45CB0EB4">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直接用运输槽车向车辆充气</w:t>
            </w:r>
          </w:p>
        </w:tc>
        <w:tc>
          <w:tcPr>
            <w:tcW w:w="2789" w:type="dxa"/>
            <w:gridSpan w:val="2"/>
            <w:shd w:val="clear" w:color="auto" w:fill="auto"/>
            <w:vAlign w:val="center"/>
          </w:tcPr>
          <w:p w14:paraId="10879A2F">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违反条款：第九条第（三）项；</w:t>
            </w:r>
          </w:p>
          <w:p w14:paraId="3C4C330E">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60DF72BE">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6E60A6CC">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C7A9952">
            <w:pPr>
              <w:autoSpaceDE w:val="0"/>
              <w:spacing w:line="232" w:lineRule="exact"/>
              <w:ind w:left="0"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158634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9CD01DA">
            <w:pPr>
              <w:spacing w:line="232" w:lineRule="exact"/>
              <w:rPr>
                <w:rFonts w:cs="宋体" w:asciiTheme="minorEastAsia" w:hAnsiTheme="minorEastAsia" w:eastAsiaTheme="minorEastAsia"/>
                <w:color w:val="auto"/>
                <w:kern w:val="0"/>
                <w:sz w:val="15"/>
                <w:szCs w:val="15"/>
                <w:highlight w:val="none"/>
              </w:rPr>
            </w:pPr>
          </w:p>
        </w:tc>
      </w:tr>
      <w:tr w14:paraId="53ADE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46" w:hRule="atLeast"/>
          <w:jc w:val="center"/>
        </w:trPr>
        <w:tc>
          <w:tcPr>
            <w:tcW w:w="610" w:type="dxa"/>
            <w:shd w:val="clear" w:color="auto" w:fill="auto"/>
            <w:vAlign w:val="center"/>
          </w:tcPr>
          <w:p w14:paraId="1BCE7DFD">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28A844B5">
            <w:pPr>
              <w:autoSpaceDE w:val="0"/>
              <w:spacing w:line="232"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使用明火检查</w:t>
            </w:r>
            <w:r>
              <w:rPr>
                <w:rFonts w:hint="eastAsia" w:cs="宋体" w:asciiTheme="minorEastAsia" w:hAnsiTheme="minorEastAsia" w:eastAsiaTheme="minorEastAsia"/>
                <w:color w:val="auto"/>
                <w:kern w:val="0"/>
                <w:sz w:val="15"/>
                <w:szCs w:val="15"/>
                <w:highlight w:val="none"/>
                <w:lang w:eastAsia="zh-CN"/>
              </w:rPr>
              <w:t>燃气泄漏</w:t>
            </w:r>
          </w:p>
        </w:tc>
        <w:tc>
          <w:tcPr>
            <w:tcW w:w="2789" w:type="dxa"/>
            <w:gridSpan w:val="2"/>
            <w:shd w:val="clear" w:color="auto" w:fill="auto"/>
            <w:vAlign w:val="center"/>
          </w:tcPr>
          <w:p w14:paraId="490751CE">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违反条款：第九条第（四）项；</w:t>
            </w:r>
          </w:p>
          <w:p w14:paraId="1C3B757B">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4B638D15">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12A61E68">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C042A33">
            <w:pPr>
              <w:autoSpaceDE w:val="0"/>
              <w:spacing w:line="232" w:lineRule="exact"/>
              <w:ind w:left="0"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666184E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F2DC3AC">
            <w:pPr>
              <w:spacing w:line="220" w:lineRule="exact"/>
              <w:ind w:left="-7"/>
              <w:rPr>
                <w:rFonts w:cs="宋体" w:asciiTheme="minorEastAsia" w:hAnsiTheme="minorEastAsia" w:eastAsiaTheme="minorEastAsia"/>
                <w:color w:val="auto"/>
                <w:kern w:val="0"/>
                <w:sz w:val="15"/>
                <w:szCs w:val="15"/>
                <w:highlight w:val="none"/>
              </w:rPr>
            </w:pPr>
          </w:p>
        </w:tc>
      </w:tr>
      <w:tr w14:paraId="54C17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13" w:hRule="atLeast"/>
          <w:jc w:val="center"/>
        </w:trPr>
        <w:tc>
          <w:tcPr>
            <w:tcW w:w="610" w:type="dxa"/>
            <w:shd w:val="clear" w:color="auto" w:fill="auto"/>
            <w:vAlign w:val="center"/>
          </w:tcPr>
          <w:p w14:paraId="30605402">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2D6225B7">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w:t>
            </w:r>
            <w:r>
              <w:rPr>
                <w:rFonts w:hint="eastAsia" w:asciiTheme="minorEastAsia" w:hAnsiTheme="minorEastAsia" w:eastAsiaTheme="minorEastAsia"/>
                <w:color w:val="auto"/>
                <w:sz w:val="15"/>
                <w:szCs w:val="15"/>
                <w:highlight w:val="none"/>
              </w:rPr>
              <w:t>运营中</w:t>
            </w:r>
            <w:r>
              <w:rPr>
                <w:rFonts w:hint="eastAsia" w:cs="宋体" w:asciiTheme="minorEastAsia" w:hAnsiTheme="minorEastAsia" w:eastAsiaTheme="minorEastAsia"/>
                <w:color w:val="auto"/>
                <w:kern w:val="0"/>
                <w:sz w:val="15"/>
                <w:szCs w:val="15"/>
                <w:highlight w:val="none"/>
              </w:rPr>
              <w:t>存放其他易燃易爆物品或者使用明火</w:t>
            </w:r>
          </w:p>
        </w:tc>
        <w:tc>
          <w:tcPr>
            <w:tcW w:w="2789" w:type="dxa"/>
            <w:gridSpan w:val="2"/>
            <w:shd w:val="clear" w:color="auto" w:fill="auto"/>
            <w:vAlign w:val="center"/>
          </w:tcPr>
          <w:p w14:paraId="1BD1CB5D">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违反条款：第九条第（五）项；</w:t>
            </w:r>
          </w:p>
          <w:p w14:paraId="1C11D931">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2518B7AD">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46AD116">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E548068">
            <w:pPr>
              <w:autoSpaceDE w:val="0"/>
              <w:spacing w:line="232" w:lineRule="exact"/>
              <w:ind w:left="0"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2306BF3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16FA81F7">
            <w:pPr>
              <w:spacing w:line="220" w:lineRule="exact"/>
              <w:ind w:left="-7"/>
              <w:rPr>
                <w:rFonts w:cs="宋体" w:asciiTheme="minorEastAsia" w:hAnsiTheme="minorEastAsia" w:eastAsiaTheme="minorEastAsia"/>
                <w:color w:val="auto"/>
                <w:kern w:val="0"/>
                <w:sz w:val="15"/>
                <w:szCs w:val="15"/>
                <w:highlight w:val="none"/>
              </w:rPr>
            </w:pPr>
          </w:p>
        </w:tc>
      </w:tr>
      <w:tr w14:paraId="08989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81" w:hRule="atLeast"/>
          <w:jc w:val="center"/>
        </w:trPr>
        <w:tc>
          <w:tcPr>
            <w:tcW w:w="610" w:type="dxa"/>
            <w:shd w:val="clear" w:color="auto" w:fill="auto"/>
            <w:vAlign w:val="center"/>
          </w:tcPr>
          <w:p w14:paraId="6404285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14:paraId="101EABB7">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在加气站内修车、洗车</w:t>
            </w:r>
          </w:p>
        </w:tc>
        <w:tc>
          <w:tcPr>
            <w:tcW w:w="2789" w:type="dxa"/>
            <w:gridSpan w:val="2"/>
            <w:shd w:val="clear" w:color="auto" w:fill="auto"/>
            <w:vAlign w:val="center"/>
          </w:tcPr>
          <w:p w14:paraId="168E2238">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违反条款：第九条第（六）项；</w:t>
            </w:r>
          </w:p>
          <w:p w14:paraId="503A8277">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14:paraId="55AFA245">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13FAAF4">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4ABCF52">
            <w:pPr>
              <w:autoSpaceDE w:val="0"/>
              <w:spacing w:line="232" w:lineRule="exact"/>
              <w:ind w:left="0"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C98E45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74579C9">
            <w:pPr>
              <w:spacing w:line="220" w:lineRule="exact"/>
              <w:ind w:left="-7"/>
              <w:rPr>
                <w:rFonts w:cs="宋体" w:asciiTheme="minorEastAsia" w:hAnsiTheme="minorEastAsia" w:eastAsiaTheme="minorEastAsia"/>
                <w:color w:val="auto"/>
                <w:kern w:val="0"/>
                <w:sz w:val="15"/>
                <w:szCs w:val="15"/>
                <w:highlight w:val="none"/>
              </w:rPr>
            </w:pPr>
          </w:p>
        </w:tc>
      </w:tr>
      <w:tr w14:paraId="2A085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47" w:hRule="atLeast"/>
          <w:jc w:val="center"/>
        </w:trPr>
        <w:tc>
          <w:tcPr>
            <w:tcW w:w="14203" w:type="dxa"/>
            <w:gridSpan w:val="13"/>
            <w:shd w:val="clear" w:color="auto" w:fill="auto"/>
            <w:vAlign w:val="center"/>
          </w:tcPr>
          <w:p w14:paraId="65EEFD52">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77" w:name="_Toc110851461"/>
            <w:bookmarkStart w:id="78" w:name="_Toc1473999580"/>
            <w:bookmarkStart w:id="79" w:name="_Toc386706595"/>
            <w:r>
              <w:rPr>
                <w:rFonts w:hint="eastAsia" w:asciiTheme="minorEastAsia" w:hAnsiTheme="minorEastAsia" w:eastAsiaTheme="minorEastAsia"/>
                <w:color w:val="auto"/>
                <w:sz w:val="21"/>
                <w:szCs w:val="21"/>
                <w:highlight w:val="none"/>
              </w:rPr>
              <w:t>《</w:t>
            </w:r>
            <w:r>
              <w:rPr>
                <w:rFonts w:asciiTheme="minorEastAsia" w:hAnsiTheme="minorEastAsia" w:eastAsiaTheme="minorEastAsia"/>
                <w:color w:val="auto"/>
                <w:sz w:val="21"/>
                <w:szCs w:val="21"/>
                <w:highlight w:val="none"/>
              </w:rPr>
              <w:t>北京市供热采暖管理办法</w:t>
            </w:r>
            <w:r>
              <w:rPr>
                <w:rFonts w:hint="eastAsia" w:asciiTheme="minorEastAsia" w:hAnsiTheme="minorEastAsia" w:eastAsiaTheme="minorEastAsia"/>
                <w:color w:val="auto"/>
                <w:sz w:val="21"/>
                <w:szCs w:val="21"/>
                <w:highlight w:val="none"/>
              </w:rPr>
              <w:t>》案由19项</w:t>
            </w:r>
            <w:bookmarkEnd w:id="77"/>
            <w:bookmarkEnd w:id="78"/>
            <w:bookmarkEnd w:id="79"/>
          </w:p>
        </w:tc>
      </w:tr>
      <w:tr w14:paraId="3AC84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43" w:hRule="atLeast"/>
          <w:jc w:val="center"/>
        </w:trPr>
        <w:tc>
          <w:tcPr>
            <w:tcW w:w="610" w:type="dxa"/>
            <w:shd w:val="clear" w:color="auto" w:fill="auto"/>
            <w:vAlign w:val="center"/>
          </w:tcPr>
          <w:p w14:paraId="5581723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7E547F9F">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供热单位未办理备案手续</w:t>
            </w:r>
          </w:p>
        </w:tc>
        <w:tc>
          <w:tcPr>
            <w:tcW w:w="2789" w:type="dxa"/>
            <w:gridSpan w:val="2"/>
            <w:shd w:val="clear" w:color="auto" w:fill="auto"/>
            <w:vAlign w:val="center"/>
          </w:tcPr>
          <w:p w14:paraId="07FC3870">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14:paraId="669BEBD8">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14:paraId="1D686A0B">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721ADA4">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4D6BA1B4">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023B6473">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0961DE20">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14:paraId="69937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0" w:hRule="atLeast"/>
          <w:jc w:val="center"/>
        </w:trPr>
        <w:tc>
          <w:tcPr>
            <w:tcW w:w="610" w:type="dxa"/>
            <w:shd w:val="clear" w:color="auto" w:fill="auto"/>
            <w:vAlign w:val="center"/>
          </w:tcPr>
          <w:p w14:paraId="373F821B">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16BD05AD">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供热单位未办理备案变更手续</w:t>
            </w:r>
          </w:p>
        </w:tc>
        <w:tc>
          <w:tcPr>
            <w:tcW w:w="2789" w:type="dxa"/>
            <w:gridSpan w:val="2"/>
            <w:shd w:val="clear" w:color="auto" w:fill="auto"/>
            <w:vAlign w:val="center"/>
          </w:tcPr>
          <w:p w14:paraId="3CFD9942">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14:paraId="44167374">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14:paraId="2CB3436D">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360D106D">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79F9A6BA">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25EF302">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1D3BA026">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14:paraId="6534A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88" w:hRule="atLeast"/>
          <w:jc w:val="center"/>
        </w:trPr>
        <w:tc>
          <w:tcPr>
            <w:tcW w:w="610" w:type="dxa"/>
            <w:shd w:val="clear" w:color="auto" w:fill="auto"/>
            <w:vAlign w:val="center"/>
          </w:tcPr>
          <w:p w14:paraId="0649BD32">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56B9765A">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供热单位提交的备案材料失实</w:t>
            </w:r>
          </w:p>
        </w:tc>
        <w:tc>
          <w:tcPr>
            <w:tcW w:w="2789" w:type="dxa"/>
            <w:gridSpan w:val="2"/>
            <w:shd w:val="clear" w:color="auto" w:fill="auto"/>
            <w:vAlign w:val="center"/>
          </w:tcPr>
          <w:p w14:paraId="339456EE">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14:paraId="589C0AF2">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责令改正，情节严重的，可以处1万元以上3万元以下的罚款。</w:t>
            </w:r>
          </w:p>
        </w:tc>
        <w:tc>
          <w:tcPr>
            <w:tcW w:w="851" w:type="dxa"/>
            <w:shd w:val="clear" w:color="auto" w:fill="auto"/>
            <w:vAlign w:val="center"/>
          </w:tcPr>
          <w:p w14:paraId="4D991E97">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E983B66">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401D4B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故意隐瞒相关情况，对安全、稳定、质量合格供热造成较大影响的，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08BFC72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6D5DDE5">
            <w:pPr>
              <w:spacing w:line="232" w:lineRule="exact"/>
              <w:rPr>
                <w:rFonts w:cs="宋体" w:asciiTheme="minorEastAsia" w:hAnsiTheme="minorEastAsia" w:eastAsiaTheme="minorEastAsia"/>
                <w:color w:val="auto"/>
                <w:kern w:val="0"/>
                <w:sz w:val="15"/>
                <w:szCs w:val="15"/>
                <w:highlight w:val="none"/>
              </w:rPr>
            </w:pPr>
          </w:p>
        </w:tc>
      </w:tr>
      <w:tr w14:paraId="222A8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79" w:hRule="atLeast"/>
          <w:jc w:val="center"/>
        </w:trPr>
        <w:tc>
          <w:tcPr>
            <w:tcW w:w="610" w:type="dxa"/>
            <w:shd w:val="clear" w:color="auto" w:fill="auto"/>
            <w:vAlign w:val="center"/>
          </w:tcPr>
          <w:p w14:paraId="6F6EB406">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001E87E2">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未实施供热设施安全巡检制度</w:t>
            </w:r>
          </w:p>
        </w:tc>
        <w:tc>
          <w:tcPr>
            <w:tcW w:w="2789" w:type="dxa"/>
            <w:gridSpan w:val="2"/>
            <w:shd w:val="clear" w:color="auto" w:fill="auto"/>
            <w:vAlign w:val="center"/>
          </w:tcPr>
          <w:p w14:paraId="13C05CEF">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违反条款：第十三条第（一）项；</w:t>
            </w:r>
          </w:p>
          <w:p w14:paraId="67DBD8A9">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处罚条款：第三十一条第一款 予以警告，警告两次的，处2万元罚款。</w:t>
            </w:r>
          </w:p>
        </w:tc>
        <w:tc>
          <w:tcPr>
            <w:tcW w:w="851" w:type="dxa"/>
            <w:shd w:val="clear" w:color="auto" w:fill="auto"/>
            <w:vAlign w:val="center"/>
          </w:tcPr>
          <w:p w14:paraId="73F87962">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31997B29">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3E6CF93">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09999DC">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2C93F78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14:paraId="1F8A3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65" w:hRule="atLeast"/>
          <w:jc w:val="center"/>
        </w:trPr>
        <w:tc>
          <w:tcPr>
            <w:tcW w:w="610" w:type="dxa"/>
            <w:shd w:val="clear" w:color="auto" w:fill="auto"/>
            <w:vAlign w:val="center"/>
          </w:tcPr>
          <w:p w14:paraId="3BB1C67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17BB8A67">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供热前未提前在供热范围内进行公告</w:t>
            </w:r>
          </w:p>
        </w:tc>
        <w:tc>
          <w:tcPr>
            <w:tcW w:w="2789" w:type="dxa"/>
            <w:gridSpan w:val="2"/>
            <w:shd w:val="clear" w:color="auto" w:fill="auto"/>
            <w:vAlign w:val="center"/>
          </w:tcPr>
          <w:p w14:paraId="7FBC7753">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违反条款：第十三条第（二）项；</w:t>
            </w:r>
          </w:p>
          <w:p w14:paraId="265432B7">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处罚条款：第三十一条第二款 责令改正，并处1000元罚款。</w:t>
            </w:r>
          </w:p>
        </w:tc>
        <w:tc>
          <w:tcPr>
            <w:tcW w:w="851" w:type="dxa"/>
            <w:shd w:val="clear" w:color="auto" w:fill="auto"/>
            <w:vAlign w:val="center"/>
          </w:tcPr>
          <w:p w14:paraId="77C52C1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6B016C99">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ECC7287">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00EE9403">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4887F08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r>
      <w:tr w14:paraId="2DE71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97" w:hRule="atLeast"/>
          <w:jc w:val="center"/>
        </w:trPr>
        <w:tc>
          <w:tcPr>
            <w:tcW w:w="610" w:type="dxa"/>
            <w:shd w:val="clear" w:color="auto" w:fill="auto"/>
            <w:vAlign w:val="center"/>
          </w:tcPr>
          <w:p w14:paraId="40B88397">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664FB442">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推迟、中止供热或者提前结束供热</w:t>
            </w:r>
          </w:p>
        </w:tc>
        <w:tc>
          <w:tcPr>
            <w:tcW w:w="2789" w:type="dxa"/>
            <w:gridSpan w:val="2"/>
            <w:shd w:val="clear" w:color="auto" w:fill="auto"/>
            <w:vAlign w:val="center"/>
          </w:tcPr>
          <w:p w14:paraId="098E0F8A">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14:paraId="19AC5476">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处罚条款：第三十二条第一款 责令改正，可以处5000元以上3万元以下罚款。</w:t>
            </w:r>
          </w:p>
        </w:tc>
        <w:tc>
          <w:tcPr>
            <w:tcW w:w="851" w:type="dxa"/>
            <w:shd w:val="clear" w:color="auto" w:fill="auto"/>
            <w:vAlign w:val="center"/>
          </w:tcPr>
          <w:p w14:paraId="1565D4B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3323DAB6">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7F780F1">
            <w:pPr>
              <w:autoSpaceDE w:val="0"/>
              <w:spacing w:line="232" w:lineRule="exact"/>
              <w:ind w:leftChars="-7" w:hanging="15" w:hangingChars="10"/>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推迟、中止、提前结束供热</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天，</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lang w:val="en-US" w:eastAsia="zh-CN"/>
              </w:rPr>
              <w:t>1，3天的，系数2；4天的，系数3；5天的，系数4；6天及以上的，系数5；2.造成较大社会影响的，系数3-5；3.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4B7A75D">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2337DC14">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r>
      <w:tr w14:paraId="5F7AE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67" w:hRule="atLeast"/>
          <w:jc w:val="center"/>
        </w:trPr>
        <w:tc>
          <w:tcPr>
            <w:tcW w:w="610" w:type="dxa"/>
            <w:vMerge w:val="restart"/>
            <w:shd w:val="clear" w:color="auto" w:fill="auto"/>
            <w:vAlign w:val="center"/>
          </w:tcPr>
          <w:p w14:paraId="14FDC363">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vMerge w:val="restart"/>
            <w:shd w:val="clear" w:color="auto" w:fill="auto"/>
            <w:vAlign w:val="center"/>
          </w:tcPr>
          <w:p w14:paraId="2B6FB29A">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采暖期内退出或者部分退出供热经营活动</w:t>
            </w:r>
          </w:p>
        </w:tc>
        <w:tc>
          <w:tcPr>
            <w:tcW w:w="2789" w:type="dxa"/>
            <w:gridSpan w:val="2"/>
            <w:vMerge w:val="restart"/>
            <w:shd w:val="clear" w:color="auto" w:fill="auto"/>
            <w:vAlign w:val="center"/>
          </w:tcPr>
          <w:p w14:paraId="1287009E">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14:paraId="618B359B">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处罚条款：第三十二条第二款 责令改正，并对供热单位处5万元以上10万元以下罚款，对供热单位法定代表人处1万元罚款。</w:t>
            </w:r>
          </w:p>
        </w:tc>
        <w:tc>
          <w:tcPr>
            <w:tcW w:w="851" w:type="dxa"/>
            <w:shd w:val="clear" w:color="auto" w:fill="auto"/>
            <w:vAlign w:val="center"/>
          </w:tcPr>
          <w:p w14:paraId="4F64B317">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3E1215BF">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B007791">
            <w:pPr>
              <w:spacing w:line="22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0C0E9D28">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899116C">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对供热单位</w:t>
            </w:r>
            <w:r>
              <w:rPr>
                <w:rFonts w:hint="eastAsia" w:cs="宋体" w:asciiTheme="minorEastAsia" w:hAnsiTheme="minorEastAsia" w:eastAsiaTheme="minorEastAsia"/>
                <w:color w:val="auto"/>
                <w:kern w:val="0"/>
                <w:sz w:val="15"/>
                <w:szCs w:val="15"/>
                <w:highlight w:val="none"/>
                <w:lang w:eastAsia="zh-CN"/>
              </w:rPr>
              <w:t>。</w:t>
            </w:r>
          </w:p>
        </w:tc>
      </w:tr>
      <w:tr w14:paraId="2CD43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89" w:hRule="atLeast"/>
          <w:jc w:val="center"/>
        </w:trPr>
        <w:tc>
          <w:tcPr>
            <w:tcW w:w="610" w:type="dxa"/>
            <w:vMerge w:val="continue"/>
            <w:shd w:val="clear" w:color="auto" w:fill="auto"/>
            <w:vAlign w:val="center"/>
          </w:tcPr>
          <w:p w14:paraId="4478CAE3">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7D26F42B">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5212431B">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A57E717">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09AF1F44">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461054C2">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233A2F31">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589EA82A">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对法定代表人</w:t>
            </w:r>
            <w:r>
              <w:rPr>
                <w:rFonts w:hint="eastAsia" w:cs="宋体" w:asciiTheme="minorEastAsia" w:hAnsiTheme="minorEastAsia" w:eastAsiaTheme="minorEastAsia"/>
                <w:color w:val="auto"/>
                <w:kern w:val="0"/>
                <w:sz w:val="15"/>
                <w:szCs w:val="15"/>
                <w:highlight w:val="none"/>
                <w:lang w:eastAsia="zh-CN"/>
              </w:rPr>
              <w:t>。</w:t>
            </w:r>
          </w:p>
        </w:tc>
      </w:tr>
      <w:tr w14:paraId="5B365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3CEF087B">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14:paraId="6E1A5529">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非采暖期内擅自退出或者部分退出供热经营活动，影响用户采暖</w:t>
            </w:r>
          </w:p>
        </w:tc>
        <w:tc>
          <w:tcPr>
            <w:tcW w:w="2789" w:type="dxa"/>
            <w:gridSpan w:val="2"/>
            <w:shd w:val="clear" w:color="auto" w:fill="auto"/>
            <w:vAlign w:val="center"/>
          </w:tcPr>
          <w:p w14:paraId="40C25608">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14:paraId="21511626">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处罚条款：第三十二条第三款 责令限期改正，逾期未改正的，对供热单位处3万元罚款，对供热单位法定代表人处5000元罚款。</w:t>
            </w:r>
          </w:p>
        </w:tc>
        <w:tc>
          <w:tcPr>
            <w:tcW w:w="851" w:type="dxa"/>
            <w:shd w:val="clear" w:color="auto" w:fill="auto"/>
            <w:vAlign w:val="center"/>
          </w:tcPr>
          <w:p w14:paraId="6AA48E98">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357FFB3F">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7EA38677">
            <w:pPr>
              <w:spacing w:line="226" w:lineRule="exact"/>
              <w:ind w:left="6" w:hanging="21"/>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475CADE8">
            <w:pPr>
              <w:spacing w:line="226" w:lineRule="exact"/>
              <w:ind w:left="6" w:hanging="21"/>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034739BA">
            <w:pPr>
              <w:spacing w:line="226"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按照法条规定执行</w:t>
            </w:r>
            <w:r>
              <w:rPr>
                <w:rFonts w:hint="eastAsia" w:cs="宋体" w:asciiTheme="minorEastAsia" w:hAnsiTheme="minorEastAsia" w:eastAsiaTheme="minorEastAsia"/>
                <w:color w:val="auto"/>
                <w:kern w:val="0"/>
                <w:sz w:val="15"/>
                <w:szCs w:val="15"/>
                <w:highlight w:val="none"/>
                <w:lang w:eastAsia="zh-CN"/>
              </w:rPr>
              <w:t>。</w:t>
            </w:r>
          </w:p>
        </w:tc>
      </w:tr>
      <w:tr w14:paraId="10EA5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40" w:hRule="atLeast"/>
          <w:jc w:val="center"/>
        </w:trPr>
        <w:tc>
          <w:tcPr>
            <w:tcW w:w="610" w:type="dxa"/>
            <w:shd w:val="clear" w:color="auto" w:fill="auto"/>
            <w:vAlign w:val="center"/>
          </w:tcPr>
          <w:p w14:paraId="09906887">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14:paraId="03784BED">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拆改室内共用供热设施、扩大采暖面积、增加散热设备</w:t>
            </w:r>
          </w:p>
        </w:tc>
        <w:tc>
          <w:tcPr>
            <w:tcW w:w="2789" w:type="dxa"/>
            <w:gridSpan w:val="2"/>
            <w:vMerge w:val="restart"/>
            <w:shd w:val="clear" w:color="auto" w:fill="auto"/>
            <w:vAlign w:val="center"/>
          </w:tcPr>
          <w:p w14:paraId="72138E99">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w:t>
            </w:r>
          </w:p>
          <w:p w14:paraId="4BEC45EB">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处罚条款：第三十三条 责令限期改正，逾期未改正的，可以处500元以上5000元以下罚款。</w:t>
            </w:r>
          </w:p>
        </w:tc>
        <w:tc>
          <w:tcPr>
            <w:tcW w:w="851" w:type="dxa"/>
            <w:shd w:val="clear" w:color="auto" w:fill="auto"/>
            <w:vAlign w:val="center"/>
          </w:tcPr>
          <w:p w14:paraId="2B161A04">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9FCDE12">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9E0F16E">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拆改行为明显影响到</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用户供暖效果的，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5；2.造成供暖中止等供暖事故的，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034A878E">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DFB95D2">
            <w:pPr>
              <w:spacing w:line="226" w:lineRule="exact"/>
              <w:ind w:left="6" w:hanging="21"/>
              <w:rPr>
                <w:rFonts w:cs="宋体" w:asciiTheme="minorEastAsia" w:hAnsiTheme="minorEastAsia" w:eastAsiaTheme="minorEastAsia"/>
                <w:strike w:val="0"/>
                <w:dstrike w:val="0"/>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14:paraId="486CC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61" w:hRule="atLeast"/>
          <w:jc w:val="center"/>
        </w:trPr>
        <w:tc>
          <w:tcPr>
            <w:tcW w:w="610" w:type="dxa"/>
            <w:shd w:val="clear" w:color="auto" w:fill="auto"/>
            <w:vAlign w:val="center"/>
          </w:tcPr>
          <w:p w14:paraId="77AE76F3">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14:paraId="60A01F1B">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装饰装修房屋妨碍对供热设施进行维修养护</w:t>
            </w:r>
          </w:p>
        </w:tc>
        <w:tc>
          <w:tcPr>
            <w:tcW w:w="2789" w:type="dxa"/>
            <w:gridSpan w:val="2"/>
            <w:vMerge w:val="continue"/>
            <w:shd w:val="clear" w:color="auto" w:fill="auto"/>
            <w:vAlign w:val="center"/>
          </w:tcPr>
          <w:p w14:paraId="2828CC23">
            <w:pPr>
              <w:spacing w:line="226" w:lineRule="exact"/>
              <w:ind w:left="6" w:hanging="21"/>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54DB5B38">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7063021A">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CA67472">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严重影响正常供暖的，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5；2.造成供暖事故的，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3EA693A">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FF55749">
            <w:pPr>
              <w:spacing w:line="226" w:lineRule="exact"/>
              <w:ind w:left="6" w:hanging="21"/>
              <w:rPr>
                <w:rFonts w:cs="宋体" w:asciiTheme="minorEastAsia" w:hAnsiTheme="minorEastAsia" w:eastAsiaTheme="minorEastAsia"/>
                <w:strike w:val="0"/>
                <w:dstrike w:val="0"/>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14:paraId="4DB18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72" w:hRule="atLeast"/>
          <w:jc w:val="center"/>
        </w:trPr>
        <w:tc>
          <w:tcPr>
            <w:tcW w:w="610" w:type="dxa"/>
            <w:shd w:val="clear" w:color="auto" w:fill="auto"/>
            <w:vAlign w:val="center"/>
          </w:tcPr>
          <w:p w14:paraId="0F669FA2">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14:paraId="723AD53D">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擅自拆除、迁移、改建、变卖热源设施，影响用户采暖</w:t>
            </w:r>
          </w:p>
        </w:tc>
        <w:tc>
          <w:tcPr>
            <w:tcW w:w="2789" w:type="dxa"/>
            <w:gridSpan w:val="2"/>
            <w:shd w:val="clear" w:color="auto" w:fill="auto"/>
            <w:vAlign w:val="center"/>
          </w:tcPr>
          <w:p w14:paraId="1BABA922">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w:t>
            </w:r>
          </w:p>
          <w:p w14:paraId="344136C4">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处罚条款：第三十四条 责令限期改正，并处5万元以上10万元以下罚款。</w:t>
            </w:r>
          </w:p>
        </w:tc>
        <w:tc>
          <w:tcPr>
            <w:tcW w:w="851" w:type="dxa"/>
            <w:shd w:val="clear" w:color="auto" w:fill="auto"/>
            <w:vAlign w:val="center"/>
          </w:tcPr>
          <w:p w14:paraId="6979C615">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14:paraId="15AA33C5">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611EC5B">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明显影响采暖效果的，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0.5；2.造成供暖中止等供暖事故的，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A443326">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1FE6C0C">
            <w:pPr>
              <w:spacing w:line="232" w:lineRule="exact"/>
              <w:ind w:left="6" w:hanging="21"/>
              <w:rPr>
                <w:rFonts w:cs="宋体" w:asciiTheme="minorEastAsia" w:hAnsiTheme="minorEastAsia" w:eastAsiaTheme="minorEastAsia"/>
                <w:color w:val="auto"/>
                <w:kern w:val="0"/>
                <w:sz w:val="15"/>
                <w:szCs w:val="15"/>
                <w:highlight w:val="none"/>
              </w:rPr>
            </w:pPr>
          </w:p>
        </w:tc>
      </w:tr>
      <w:tr w14:paraId="2D56C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54" w:hRule="atLeast"/>
          <w:jc w:val="center"/>
        </w:trPr>
        <w:tc>
          <w:tcPr>
            <w:tcW w:w="610" w:type="dxa"/>
            <w:shd w:val="clear" w:color="auto" w:fill="auto"/>
            <w:vAlign w:val="center"/>
          </w:tcPr>
          <w:p w14:paraId="7A72A735">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14:paraId="7EB0716A">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在地下热力管道安全间距范围内堆放物品，或者进行挖掘、取土、钻探、打桩、埋杆、栽植深根性植物和爆破作业</w:t>
            </w:r>
          </w:p>
        </w:tc>
        <w:tc>
          <w:tcPr>
            <w:tcW w:w="2789" w:type="dxa"/>
            <w:gridSpan w:val="2"/>
            <w:shd w:val="clear" w:color="auto" w:fill="auto"/>
            <w:vAlign w:val="center"/>
          </w:tcPr>
          <w:p w14:paraId="540E85C9">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违反条款：第二十四条第（二）项；</w:t>
            </w:r>
          </w:p>
          <w:p w14:paraId="297E1471">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00E3B891">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15A9BF16">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7317455">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48149A8">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B1A0380">
            <w:pPr>
              <w:spacing w:line="232" w:lineRule="exact"/>
              <w:ind w:left="6" w:hanging="21"/>
              <w:rPr>
                <w:rFonts w:cs="宋体" w:asciiTheme="minorEastAsia" w:hAnsiTheme="minorEastAsia" w:eastAsiaTheme="minorEastAsia"/>
                <w:color w:val="auto"/>
                <w:kern w:val="0"/>
                <w:sz w:val="15"/>
                <w:szCs w:val="15"/>
                <w:highlight w:val="none"/>
              </w:rPr>
            </w:pPr>
          </w:p>
        </w:tc>
      </w:tr>
      <w:tr w14:paraId="5E67C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46" w:hRule="atLeast"/>
          <w:jc w:val="center"/>
        </w:trPr>
        <w:tc>
          <w:tcPr>
            <w:tcW w:w="610" w:type="dxa"/>
            <w:shd w:val="clear" w:color="auto" w:fill="auto"/>
            <w:vAlign w:val="center"/>
          </w:tcPr>
          <w:p w14:paraId="7CB7F090">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14:paraId="6C29B6E7">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向供热管沟内排放有毒、有害、易燃、易爆、易堵塞物品及雨水、污水、工业废液、垃圾</w:t>
            </w:r>
          </w:p>
        </w:tc>
        <w:tc>
          <w:tcPr>
            <w:tcW w:w="2789" w:type="dxa"/>
            <w:gridSpan w:val="2"/>
            <w:shd w:val="clear" w:color="auto" w:fill="auto"/>
            <w:vAlign w:val="center"/>
          </w:tcPr>
          <w:p w14:paraId="332D9D38">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违反条款：第二十四条第（三）项；</w:t>
            </w:r>
          </w:p>
          <w:p w14:paraId="30A6085A">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1D2F655F">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531D2319">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824B391">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E3E1C7F">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BE76503">
            <w:pPr>
              <w:spacing w:line="232" w:lineRule="exact"/>
              <w:ind w:left="6" w:hanging="21"/>
              <w:rPr>
                <w:rFonts w:cs="宋体" w:asciiTheme="minorEastAsia" w:hAnsiTheme="minorEastAsia" w:eastAsiaTheme="minorEastAsia"/>
                <w:color w:val="auto"/>
                <w:kern w:val="0"/>
                <w:sz w:val="15"/>
                <w:szCs w:val="15"/>
                <w:highlight w:val="none"/>
              </w:rPr>
            </w:pPr>
          </w:p>
        </w:tc>
      </w:tr>
      <w:tr w14:paraId="20552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52" w:hRule="atLeast"/>
          <w:jc w:val="center"/>
        </w:trPr>
        <w:tc>
          <w:tcPr>
            <w:tcW w:w="610" w:type="dxa"/>
            <w:shd w:val="clear" w:color="auto" w:fill="auto"/>
            <w:vAlign w:val="center"/>
          </w:tcPr>
          <w:p w14:paraId="5C261ED7">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14:paraId="4DC2F6B2">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擅自接入供热管网</w:t>
            </w:r>
          </w:p>
        </w:tc>
        <w:tc>
          <w:tcPr>
            <w:tcW w:w="2789" w:type="dxa"/>
            <w:gridSpan w:val="2"/>
            <w:shd w:val="clear" w:color="auto" w:fill="auto"/>
            <w:vAlign w:val="center"/>
          </w:tcPr>
          <w:p w14:paraId="47C21211">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违反条款：第二十四条第（四）项；</w:t>
            </w:r>
          </w:p>
          <w:p w14:paraId="477AE6A2">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01F760BE">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49591B4D">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4411FEE">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0A943269">
            <w:pPr>
              <w:spacing w:line="232" w:lineRule="exact"/>
              <w:ind w:left="6" w:leftChars="0" w:hanging="21"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26DE7EF3">
            <w:pPr>
              <w:spacing w:line="232" w:lineRule="exact"/>
              <w:ind w:left="6" w:hanging="21"/>
              <w:rPr>
                <w:rFonts w:cs="宋体" w:asciiTheme="minorEastAsia" w:hAnsiTheme="minorEastAsia" w:eastAsiaTheme="minorEastAsia"/>
                <w:color w:val="auto"/>
                <w:kern w:val="0"/>
                <w:sz w:val="15"/>
                <w:szCs w:val="15"/>
                <w:highlight w:val="none"/>
              </w:rPr>
            </w:pPr>
          </w:p>
        </w:tc>
      </w:tr>
      <w:tr w14:paraId="26959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62" w:hRule="atLeast"/>
          <w:jc w:val="center"/>
        </w:trPr>
        <w:tc>
          <w:tcPr>
            <w:tcW w:w="610" w:type="dxa"/>
            <w:shd w:val="clear" w:color="auto" w:fill="auto"/>
            <w:vAlign w:val="center"/>
          </w:tcPr>
          <w:p w14:paraId="0DB3D581">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14:paraId="45B4B0D2">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擅自在室内采暖系统上安装危害系统安全的设备</w:t>
            </w:r>
          </w:p>
        </w:tc>
        <w:tc>
          <w:tcPr>
            <w:tcW w:w="2789" w:type="dxa"/>
            <w:gridSpan w:val="2"/>
            <w:shd w:val="clear" w:color="auto" w:fill="auto"/>
            <w:vAlign w:val="center"/>
          </w:tcPr>
          <w:p w14:paraId="3AF46C1C">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违反条款：第二十四条第（五）项；</w:t>
            </w:r>
          </w:p>
          <w:p w14:paraId="2C8EA14A">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53128FB4">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48E6632">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CEF200E">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DFB6FF5">
            <w:pPr>
              <w:spacing w:line="232" w:lineRule="exact"/>
              <w:ind w:left="6" w:leftChars="0" w:hanging="21"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4A6C77CA">
            <w:pPr>
              <w:spacing w:line="232" w:lineRule="exact"/>
              <w:ind w:left="6" w:hanging="21"/>
              <w:rPr>
                <w:rFonts w:cs="宋体" w:asciiTheme="minorEastAsia" w:hAnsiTheme="minorEastAsia" w:eastAsiaTheme="minorEastAsia"/>
                <w:color w:val="auto"/>
                <w:kern w:val="0"/>
                <w:sz w:val="15"/>
                <w:szCs w:val="15"/>
                <w:highlight w:val="none"/>
              </w:rPr>
            </w:pPr>
          </w:p>
        </w:tc>
      </w:tr>
      <w:tr w14:paraId="759F6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94" w:hRule="atLeast"/>
          <w:jc w:val="center"/>
        </w:trPr>
        <w:tc>
          <w:tcPr>
            <w:tcW w:w="610" w:type="dxa"/>
            <w:shd w:val="clear" w:color="auto" w:fill="auto"/>
            <w:vAlign w:val="center"/>
          </w:tcPr>
          <w:p w14:paraId="44D38ACA">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14:paraId="5FA282D4">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擅自排放或者取用管道内热水或蒸汽</w:t>
            </w:r>
          </w:p>
        </w:tc>
        <w:tc>
          <w:tcPr>
            <w:tcW w:w="2789" w:type="dxa"/>
            <w:gridSpan w:val="2"/>
            <w:shd w:val="clear" w:color="auto" w:fill="auto"/>
            <w:vAlign w:val="center"/>
          </w:tcPr>
          <w:p w14:paraId="52C9CBF5">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违反条款：第二十四条第（六）项；</w:t>
            </w:r>
          </w:p>
          <w:p w14:paraId="5860D086">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085F3A79">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7096C34B">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12AC9EC">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3B05D2F0">
            <w:pPr>
              <w:spacing w:line="232" w:lineRule="exact"/>
              <w:ind w:left="6" w:leftChars="0" w:hanging="21"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B6D5CAE">
            <w:pPr>
              <w:spacing w:line="232" w:lineRule="exact"/>
              <w:ind w:left="6" w:hanging="21"/>
              <w:rPr>
                <w:rFonts w:cs="宋体" w:asciiTheme="minorEastAsia" w:hAnsiTheme="minorEastAsia" w:eastAsiaTheme="minorEastAsia"/>
                <w:color w:val="auto"/>
                <w:kern w:val="0"/>
                <w:sz w:val="15"/>
                <w:szCs w:val="15"/>
                <w:highlight w:val="none"/>
              </w:rPr>
            </w:pPr>
          </w:p>
        </w:tc>
      </w:tr>
      <w:tr w14:paraId="3F5F8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21" w:hRule="atLeast"/>
          <w:jc w:val="center"/>
        </w:trPr>
        <w:tc>
          <w:tcPr>
            <w:tcW w:w="610" w:type="dxa"/>
            <w:shd w:val="clear" w:color="auto" w:fill="auto"/>
            <w:vAlign w:val="center"/>
          </w:tcPr>
          <w:p w14:paraId="4F823783">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14:paraId="13699A94">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擅自拆除、毁损警示标志</w:t>
            </w:r>
          </w:p>
        </w:tc>
        <w:tc>
          <w:tcPr>
            <w:tcW w:w="2789" w:type="dxa"/>
            <w:gridSpan w:val="2"/>
            <w:shd w:val="clear" w:color="auto" w:fill="auto"/>
            <w:vAlign w:val="center"/>
          </w:tcPr>
          <w:p w14:paraId="286F8CA6">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违反条款：第二十四条第（七）项；</w:t>
            </w:r>
          </w:p>
          <w:p w14:paraId="2EC5C1F3">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14:paraId="178603DB">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E6DF27E">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FB4B229">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225319FC">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3E719D1">
            <w:pPr>
              <w:spacing w:line="232" w:lineRule="exact"/>
              <w:ind w:left="6" w:hanging="21"/>
              <w:rPr>
                <w:rFonts w:cs="宋体" w:asciiTheme="minorEastAsia" w:hAnsiTheme="minorEastAsia" w:eastAsiaTheme="minorEastAsia"/>
                <w:color w:val="auto"/>
                <w:kern w:val="0"/>
                <w:sz w:val="15"/>
                <w:szCs w:val="15"/>
                <w:highlight w:val="none"/>
              </w:rPr>
            </w:pPr>
          </w:p>
        </w:tc>
      </w:tr>
      <w:tr w14:paraId="18528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16" w:hRule="atLeast"/>
          <w:jc w:val="center"/>
        </w:trPr>
        <w:tc>
          <w:tcPr>
            <w:tcW w:w="610" w:type="dxa"/>
            <w:shd w:val="clear" w:color="auto" w:fill="auto"/>
            <w:vAlign w:val="center"/>
          </w:tcPr>
          <w:p w14:paraId="6C94C2D4">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auto"/>
            <w:vAlign w:val="center"/>
          </w:tcPr>
          <w:p w14:paraId="6E0CDC4D">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擅自操作、拆除共用供热阀门，损坏共用阀门的铅封，改动或者损坏供热计量仪表及其附件等</w:t>
            </w:r>
          </w:p>
        </w:tc>
        <w:tc>
          <w:tcPr>
            <w:tcW w:w="2789" w:type="dxa"/>
            <w:gridSpan w:val="2"/>
            <w:shd w:val="clear" w:color="auto" w:fill="auto"/>
            <w:vAlign w:val="center"/>
          </w:tcPr>
          <w:p w14:paraId="24134605">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违反条款：第二十四条第（八）项；</w:t>
            </w:r>
          </w:p>
          <w:p w14:paraId="781AFDDB">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14:paraId="1C4AB8E4">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603509F9">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8F52EF9">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0BCC0BCB">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FFA58D2">
            <w:pPr>
              <w:spacing w:line="232" w:lineRule="exact"/>
              <w:ind w:left="6" w:hanging="23"/>
              <w:rPr>
                <w:rFonts w:cs="宋体" w:asciiTheme="minorEastAsia" w:hAnsiTheme="minorEastAsia" w:eastAsiaTheme="minorEastAsia"/>
                <w:color w:val="auto"/>
                <w:kern w:val="0"/>
                <w:sz w:val="15"/>
                <w:szCs w:val="15"/>
                <w:highlight w:val="none"/>
              </w:rPr>
            </w:pPr>
          </w:p>
        </w:tc>
      </w:tr>
      <w:tr w14:paraId="49D97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33" w:hRule="atLeast"/>
          <w:jc w:val="center"/>
        </w:trPr>
        <w:tc>
          <w:tcPr>
            <w:tcW w:w="610" w:type="dxa"/>
            <w:shd w:val="clear" w:color="auto" w:fill="auto"/>
            <w:vAlign w:val="center"/>
          </w:tcPr>
          <w:p w14:paraId="7FA94F04">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830" w:type="dxa"/>
            <w:gridSpan w:val="3"/>
            <w:shd w:val="clear" w:color="auto" w:fill="auto"/>
            <w:vAlign w:val="center"/>
          </w:tcPr>
          <w:p w14:paraId="104CD0B9">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shd w:val="clear"/>
              </w:rPr>
              <w:t>危害</w:t>
            </w:r>
            <w:r>
              <w:rPr>
                <w:rFonts w:hint="eastAsia" w:cs="宋体" w:asciiTheme="minorEastAsia" w:hAnsiTheme="minorEastAsia" w:eastAsiaTheme="minorEastAsia"/>
                <w:color w:val="auto"/>
                <w:kern w:val="0"/>
                <w:sz w:val="15"/>
                <w:szCs w:val="15"/>
                <w:highlight w:val="none"/>
              </w:rPr>
              <w:t>、损坏供热设施的行为</w:t>
            </w:r>
          </w:p>
        </w:tc>
        <w:tc>
          <w:tcPr>
            <w:tcW w:w="2789" w:type="dxa"/>
            <w:gridSpan w:val="2"/>
            <w:shd w:val="clear" w:color="auto" w:fill="auto"/>
            <w:vAlign w:val="center"/>
          </w:tcPr>
          <w:p w14:paraId="4B34FACE">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违反条款：第二十四条第（九）项；</w:t>
            </w:r>
          </w:p>
          <w:p w14:paraId="09A68CB6">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14:paraId="14330FF8">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F9E5BD7">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7C7176D">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1；2.一定程度上影响供暖效果的，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3；3.造成供暖事故的，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7FD87A1">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FD1432E">
            <w:pPr>
              <w:spacing w:line="232" w:lineRule="exact"/>
              <w:ind w:left="6" w:hanging="23"/>
              <w:rPr>
                <w:rFonts w:cs="宋体" w:asciiTheme="minorEastAsia" w:hAnsiTheme="minorEastAsia" w:eastAsiaTheme="minorEastAsia"/>
                <w:color w:val="auto"/>
                <w:kern w:val="0"/>
                <w:sz w:val="15"/>
                <w:szCs w:val="15"/>
                <w:highlight w:val="none"/>
              </w:rPr>
            </w:pPr>
          </w:p>
        </w:tc>
      </w:tr>
      <w:tr w14:paraId="3EEA8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82" w:hRule="atLeast"/>
          <w:jc w:val="center"/>
        </w:trPr>
        <w:tc>
          <w:tcPr>
            <w:tcW w:w="14203" w:type="dxa"/>
            <w:gridSpan w:val="13"/>
            <w:shd w:val="clear" w:color="auto" w:fill="auto"/>
            <w:vAlign w:val="center"/>
          </w:tcPr>
          <w:p w14:paraId="00DC2999">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0" w:name="_Toc110851462"/>
            <w:bookmarkStart w:id="81" w:name="_Toc595556579"/>
            <w:bookmarkStart w:id="82" w:name="_Toc984069521"/>
            <w:r>
              <w:rPr>
                <w:rFonts w:hint="eastAsia" w:asciiTheme="minorEastAsia" w:hAnsiTheme="minorEastAsia" w:eastAsiaTheme="minorEastAsia"/>
                <w:color w:val="auto"/>
                <w:sz w:val="21"/>
                <w:szCs w:val="21"/>
                <w:highlight w:val="none"/>
              </w:rPr>
              <w:t>《北京市民用建筑节能管理办法》案由2项</w:t>
            </w:r>
            <w:bookmarkEnd w:id="80"/>
            <w:bookmarkEnd w:id="81"/>
            <w:bookmarkEnd w:id="82"/>
          </w:p>
        </w:tc>
      </w:tr>
      <w:tr w14:paraId="15855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37" w:hRule="atLeast"/>
          <w:jc w:val="center"/>
        </w:trPr>
        <w:tc>
          <w:tcPr>
            <w:tcW w:w="610" w:type="dxa"/>
            <w:vMerge w:val="restart"/>
            <w:shd w:val="clear" w:color="auto" w:fill="auto"/>
            <w:vAlign w:val="center"/>
          </w:tcPr>
          <w:p w14:paraId="2881387D">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14:paraId="5F9AE57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损坏供热计量装置与调控系统</w:t>
            </w:r>
          </w:p>
        </w:tc>
        <w:tc>
          <w:tcPr>
            <w:tcW w:w="2789" w:type="dxa"/>
            <w:gridSpan w:val="2"/>
            <w:vMerge w:val="restart"/>
            <w:shd w:val="clear" w:color="auto" w:fill="auto"/>
            <w:vAlign w:val="center"/>
          </w:tcPr>
          <w:p w14:paraId="179B6D0C">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违反条款：第三十三条；</w:t>
            </w:r>
          </w:p>
          <w:p w14:paraId="74F57EBB">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处罚条款：第四十二条，责令改正，可处500元以上1000元以下罚款；情节严重，影响正常供热的，可处1000元以上1万元以下罚款。</w:t>
            </w:r>
          </w:p>
        </w:tc>
        <w:tc>
          <w:tcPr>
            <w:tcW w:w="851" w:type="dxa"/>
            <w:shd w:val="clear" w:color="auto" w:fill="auto"/>
            <w:vAlign w:val="center"/>
          </w:tcPr>
          <w:p w14:paraId="5627E6F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55D0EC3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61CB34D6">
            <w:pPr>
              <w:spacing w:line="232" w:lineRule="exact"/>
              <w:jc w:val="lef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31987508">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p>
        </w:tc>
        <w:tc>
          <w:tcPr>
            <w:tcW w:w="1982" w:type="dxa"/>
            <w:gridSpan w:val="2"/>
            <w:shd w:val="clear" w:color="auto" w:fill="auto"/>
            <w:vAlign w:val="center"/>
          </w:tcPr>
          <w:p w14:paraId="76B36B6F">
            <w:pPr>
              <w:spacing w:line="232" w:lineRule="exact"/>
              <w:jc w:val="center"/>
              <w:rPr>
                <w:rFonts w:asciiTheme="minorEastAsia" w:hAnsiTheme="minorEastAsia" w:eastAsiaTheme="minorEastAsia"/>
                <w:color w:val="auto"/>
                <w:sz w:val="15"/>
                <w:szCs w:val="15"/>
                <w:highlight w:val="none"/>
              </w:rPr>
            </w:pPr>
          </w:p>
        </w:tc>
      </w:tr>
      <w:tr w14:paraId="4D127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20" w:hRule="atLeast"/>
          <w:jc w:val="center"/>
        </w:trPr>
        <w:tc>
          <w:tcPr>
            <w:tcW w:w="610" w:type="dxa"/>
            <w:vMerge w:val="continue"/>
            <w:shd w:val="clear" w:color="auto" w:fill="auto"/>
            <w:vAlign w:val="center"/>
          </w:tcPr>
          <w:p w14:paraId="5C9C9EFC">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0F97C080">
            <w:pPr>
              <w:spacing w:line="23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6EEEACB1">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7A36E78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14:paraId="23A7E2A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14FCA089">
            <w:pPr>
              <w:spacing w:line="232" w:lineRule="exact"/>
              <w:jc w:val="lef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3FC0763">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情节系数）</w:t>
            </w:r>
          </w:p>
        </w:tc>
        <w:tc>
          <w:tcPr>
            <w:tcW w:w="1982" w:type="dxa"/>
            <w:gridSpan w:val="2"/>
            <w:shd w:val="clear" w:color="auto" w:fill="auto"/>
            <w:vAlign w:val="center"/>
          </w:tcPr>
          <w:p w14:paraId="652B928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影响正常供热的，适用此档处罚。</w:t>
            </w:r>
          </w:p>
        </w:tc>
      </w:tr>
      <w:tr w14:paraId="332B5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33" w:hRule="atLeast"/>
          <w:jc w:val="center"/>
        </w:trPr>
        <w:tc>
          <w:tcPr>
            <w:tcW w:w="610" w:type="dxa"/>
            <w:shd w:val="clear" w:color="auto" w:fill="auto"/>
            <w:vAlign w:val="center"/>
          </w:tcPr>
          <w:p w14:paraId="67B1136F">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1328F9FC">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供热单位不实行供热计量的</w:t>
            </w:r>
          </w:p>
        </w:tc>
        <w:tc>
          <w:tcPr>
            <w:tcW w:w="2789" w:type="dxa"/>
            <w:gridSpan w:val="2"/>
            <w:shd w:val="clear" w:color="auto" w:fill="auto"/>
            <w:vAlign w:val="center"/>
          </w:tcPr>
          <w:p w14:paraId="7B9795F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w:t>
            </w:r>
          </w:p>
          <w:p w14:paraId="7E10949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处罚条款：第四十四条，限期整改，逾期不改正的，处3万元罚款。</w:t>
            </w:r>
          </w:p>
        </w:tc>
        <w:tc>
          <w:tcPr>
            <w:tcW w:w="851" w:type="dxa"/>
            <w:shd w:val="clear" w:color="auto" w:fill="auto"/>
            <w:vAlign w:val="center"/>
          </w:tcPr>
          <w:p w14:paraId="3801F8FF">
            <w:pPr>
              <w:spacing w:line="232" w:lineRule="exact"/>
              <w:ind w:left="6" w:hanging="21"/>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588F296C">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1E7842CC">
            <w:pPr>
              <w:spacing w:line="232" w:lineRule="exact"/>
              <w:ind w:left="6" w:hanging="21"/>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2F6ED632">
            <w:pPr>
              <w:spacing w:line="232" w:lineRule="exact"/>
              <w:ind w:left="6" w:hanging="21"/>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624A4ACD">
            <w:pPr>
              <w:spacing w:line="232"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按照规定执行</w:t>
            </w:r>
            <w:r>
              <w:rPr>
                <w:rFonts w:hint="eastAsia" w:cs="宋体" w:asciiTheme="minorEastAsia" w:hAnsiTheme="minorEastAsia" w:eastAsiaTheme="minorEastAsia"/>
                <w:color w:val="auto"/>
                <w:kern w:val="0"/>
                <w:sz w:val="15"/>
                <w:szCs w:val="15"/>
                <w:highlight w:val="none"/>
                <w:lang w:eastAsia="zh-CN"/>
              </w:rPr>
              <w:t>。</w:t>
            </w:r>
          </w:p>
        </w:tc>
      </w:tr>
      <w:tr w14:paraId="2E540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62" w:hRule="atLeast"/>
          <w:jc w:val="center"/>
        </w:trPr>
        <w:tc>
          <w:tcPr>
            <w:tcW w:w="14203" w:type="dxa"/>
            <w:gridSpan w:val="13"/>
            <w:shd w:val="clear" w:color="auto" w:fill="auto"/>
            <w:vAlign w:val="center"/>
          </w:tcPr>
          <w:p w14:paraId="309AED7D">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auto"/>
                <w:sz w:val="21"/>
                <w:szCs w:val="21"/>
                <w:highlight w:val="none"/>
              </w:rPr>
            </w:pPr>
            <w:bookmarkStart w:id="83" w:name="_Toc636329439"/>
            <w:bookmarkStart w:id="84" w:name="_Toc2139406474"/>
            <w:bookmarkStart w:id="85" w:name="_Toc2100881276"/>
            <w:bookmarkStart w:id="86" w:name="_Toc110851463"/>
            <w:r>
              <w:rPr>
                <w:rFonts w:hint="eastAsia" w:cs="宋体" w:asciiTheme="minorEastAsia" w:hAnsiTheme="minorEastAsia" w:eastAsiaTheme="minorEastAsia"/>
                <w:color w:val="auto"/>
                <w:sz w:val="21"/>
                <w:szCs w:val="21"/>
                <w:highlight w:val="none"/>
                <w:lang w:val="en-US" w:eastAsia="zh-CN"/>
              </w:rPr>
              <w:t>《北京市建筑绿色发展条例》案由1项</w:t>
            </w:r>
            <w:bookmarkEnd w:id="83"/>
            <w:bookmarkEnd w:id="84"/>
          </w:p>
        </w:tc>
      </w:tr>
      <w:tr w14:paraId="04DA4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33" w:hRule="atLeast"/>
          <w:jc w:val="center"/>
        </w:trPr>
        <w:tc>
          <w:tcPr>
            <w:tcW w:w="610" w:type="dxa"/>
            <w:shd w:val="clear" w:color="auto" w:fill="auto"/>
            <w:vAlign w:val="center"/>
          </w:tcPr>
          <w:p w14:paraId="629840BF">
            <w:pPr>
              <w:spacing w:line="232" w:lineRule="exact"/>
              <w:ind w:left="6" w:leftChars="0" w:hanging="21" w:firstLineChars="0"/>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p>
        </w:tc>
        <w:tc>
          <w:tcPr>
            <w:tcW w:w="1830" w:type="dxa"/>
            <w:gridSpan w:val="3"/>
            <w:shd w:val="clear" w:color="auto" w:fill="auto"/>
            <w:vAlign w:val="center"/>
          </w:tcPr>
          <w:p w14:paraId="4B95B753">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供电、供气、供热单位未按照规定报送结算数据</w:t>
            </w:r>
          </w:p>
        </w:tc>
        <w:tc>
          <w:tcPr>
            <w:tcW w:w="2789" w:type="dxa"/>
            <w:gridSpan w:val="2"/>
            <w:shd w:val="clear" w:color="auto" w:fill="auto"/>
            <w:vAlign w:val="center"/>
          </w:tcPr>
          <w:p w14:paraId="5CB1C815">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违反条款：第二十六条第三款</w:t>
            </w:r>
          </w:p>
          <w:p w14:paraId="5F307360">
            <w:pPr>
              <w:pStyle w:val="8"/>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处罚条款：第五十八条，责令限期改正。</w:t>
            </w:r>
          </w:p>
        </w:tc>
        <w:tc>
          <w:tcPr>
            <w:tcW w:w="851" w:type="dxa"/>
            <w:shd w:val="clear" w:color="auto" w:fill="auto"/>
            <w:vAlign w:val="center"/>
          </w:tcPr>
          <w:p w14:paraId="10B53BBB">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6D77E81">
            <w:pPr>
              <w:spacing w:line="232" w:lineRule="exact"/>
              <w:ind w:left="6" w:leftChars="0" w:hanging="21" w:firstLineChars="0"/>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3AE06D8">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0537B9F9">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2C5ABAB6">
            <w:pPr>
              <w:spacing w:line="232" w:lineRule="exact"/>
              <w:ind w:left="6" w:leftChars="0" w:hanging="21" w:firstLineChars="0"/>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非</w:t>
            </w:r>
            <w:r>
              <w:rPr>
                <w:rFonts w:hint="eastAsia" w:cs="宋体" w:asciiTheme="minorEastAsia" w:hAnsiTheme="minorEastAsia" w:eastAsiaTheme="minorEastAsia"/>
                <w:color w:val="auto"/>
                <w:kern w:val="0"/>
                <w:sz w:val="15"/>
                <w:szCs w:val="15"/>
                <w:highlight w:val="none"/>
                <w:lang w:eastAsia="zh-CN"/>
              </w:rPr>
              <w:t>行政</w:t>
            </w:r>
            <w:r>
              <w:rPr>
                <w:rFonts w:hint="eastAsia" w:cs="宋体" w:asciiTheme="minorEastAsia" w:hAnsiTheme="minorEastAsia" w:eastAsiaTheme="minorEastAsia"/>
                <w:color w:val="auto"/>
                <w:kern w:val="0"/>
                <w:sz w:val="15"/>
                <w:szCs w:val="15"/>
                <w:highlight w:val="none"/>
              </w:rPr>
              <w:t>处罚</w:t>
            </w:r>
            <w:r>
              <w:rPr>
                <w:rFonts w:hint="eastAsia" w:cs="宋体" w:asciiTheme="minorEastAsia" w:hAnsiTheme="minorEastAsia" w:eastAsiaTheme="minorEastAsia"/>
                <w:color w:val="auto"/>
                <w:kern w:val="0"/>
                <w:sz w:val="15"/>
                <w:szCs w:val="15"/>
                <w:highlight w:val="none"/>
                <w:lang w:eastAsia="zh-CN"/>
              </w:rPr>
              <w:t>。</w:t>
            </w:r>
          </w:p>
        </w:tc>
      </w:tr>
      <w:bookmarkEnd w:id="85"/>
      <w:bookmarkEnd w:id="86"/>
      <w:tr w14:paraId="52292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70" w:hRule="atLeast"/>
          <w:jc w:val="center"/>
        </w:trPr>
        <w:tc>
          <w:tcPr>
            <w:tcW w:w="14203" w:type="dxa"/>
            <w:gridSpan w:val="13"/>
            <w:shd w:val="clear" w:color="auto" w:fill="auto"/>
            <w:vAlign w:val="center"/>
          </w:tcPr>
          <w:p w14:paraId="32F7FDA3">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7" w:name="_Toc780858134"/>
            <w:bookmarkStart w:id="88" w:name="_Toc1042078426"/>
            <w:bookmarkStart w:id="89" w:name="_Toc110851465"/>
            <w:r>
              <w:rPr>
                <w:rFonts w:hint="eastAsia" w:asciiTheme="minorEastAsia" w:hAnsiTheme="minorEastAsia" w:eastAsiaTheme="minorEastAsia"/>
                <w:color w:val="auto"/>
                <w:sz w:val="21"/>
                <w:szCs w:val="21"/>
                <w:highlight w:val="none"/>
              </w:rPr>
              <w:t>《北京市单用途预付卡管理条例》案由7项</w:t>
            </w:r>
            <w:bookmarkEnd w:id="87"/>
            <w:bookmarkEnd w:id="88"/>
            <w:bookmarkEnd w:id="89"/>
          </w:p>
        </w:tc>
      </w:tr>
      <w:tr w14:paraId="56054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87" w:hRule="atLeast"/>
          <w:jc w:val="center"/>
        </w:trPr>
        <w:tc>
          <w:tcPr>
            <w:tcW w:w="610" w:type="dxa"/>
            <w:shd w:val="clear" w:color="auto" w:fill="auto"/>
            <w:vAlign w:val="center"/>
          </w:tcPr>
          <w:p w14:paraId="66BC335E">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1830" w:type="dxa"/>
            <w:gridSpan w:val="3"/>
            <w:shd w:val="clear" w:color="auto" w:fill="auto"/>
            <w:vAlign w:val="center"/>
          </w:tcPr>
          <w:p w14:paraId="1103C4E4">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预付卡经营者违反规定发行预付卡或者为消费者办理续卡的</w:t>
            </w:r>
          </w:p>
        </w:tc>
        <w:tc>
          <w:tcPr>
            <w:tcW w:w="2789" w:type="dxa"/>
            <w:gridSpan w:val="2"/>
            <w:shd w:val="clear" w:color="auto" w:fill="auto"/>
            <w:vAlign w:val="center"/>
          </w:tcPr>
          <w:p w14:paraId="6D4258B7">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违反条款：第十一条；处罚条款：第二十八条 责令立即停止发卡、续卡，处两万元以上十万元以下罚款；情节严重的，责令停业。</w:t>
            </w:r>
          </w:p>
        </w:tc>
        <w:tc>
          <w:tcPr>
            <w:tcW w:w="851" w:type="dxa"/>
            <w:shd w:val="clear" w:color="auto" w:fill="auto"/>
            <w:vAlign w:val="center"/>
          </w:tcPr>
          <w:p w14:paraId="4D9F15D2">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14:paraId="400A6229">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3426" w:type="dxa"/>
            <w:shd w:val="clear" w:color="auto" w:fill="auto"/>
            <w:vAlign w:val="center"/>
          </w:tcPr>
          <w:p w14:paraId="32F12D66">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54C19F6">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hint="default" w:cs="仿宋_GB2312" w:asciiTheme="minorEastAsia" w:hAnsiTheme="minorEastAsia" w:eastAsiaTheme="minorEastAsia"/>
                <w:color w:val="auto"/>
                <w:sz w:val="15"/>
                <w:szCs w:val="15"/>
                <w:highlight w:val="none"/>
                <w:lang w:val="en-US"/>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4EAC25BC">
            <w:pPr>
              <w:spacing w:line="232" w:lineRule="exact"/>
              <w:rPr>
                <w:rFonts w:cs="宋体" w:asciiTheme="minorEastAsia" w:hAnsiTheme="minorEastAsia" w:eastAsiaTheme="minorEastAsia"/>
                <w:color w:val="auto"/>
                <w:kern w:val="0"/>
                <w:sz w:val="15"/>
                <w:szCs w:val="15"/>
                <w:highlight w:val="none"/>
              </w:rPr>
            </w:pPr>
          </w:p>
        </w:tc>
      </w:tr>
      <w:tr w14:paraId="02906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14" w:hRule="atLeast"/>
          <w:jc w:val="center"/>
        </w:trPr>
        <w:tc>
          <w:tcPr>
            <w:tcW w:w="610" w:type="dxa"/>
            <w:shd w:val="clear" w:color="auto" w:fill="auto"/>
            <w:vAlign w:val="center"/>
          </w:tcPr>
          <w:p w14:paraId="10B99DB4">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2</w:t>
            </w:r>
          </w:p>
        </w:tc>
        <w:tc>
          <w:tcPr>
            <w:tcW w:w="1830" w:type="dxa"/>
            <w:gridSpan w:val="3"/>
            <w:shd w:val="clear" w:color="auto" w:fill="auto"/>
            <w:vAlign w:val="center"/>
          </w:tcPr>
          <w:p w14:paraId="595D715F">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预付卡经营者未向消费者出具载明规定内容的凭据逾期不改正</w:t>
            </w:r>
          </w:p>
        </w:tc>
        <w:tc>
          <w:tcPr>
            <w:tcW w:w="2789" w:type="dxa"/>
            <w:gridSpan w:val="2"/>
            <w:shd w:val="clear" w:color="auto" w:fill="auto"/>
            <w:vAlign w:val="center"/>
          </w:tcPr>
          <w:p w14:paraId="148BBCEB">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shd w:val="clear" w:color="auto" w:fill="auto"/>
            <w:vAlign w:val="center"/>
          </w:tcPr>
          <w:p w14:paraId="14B33E04">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14:paraId="0D4BB4D5">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14:paraId="21F8D749">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04BB0677">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1958515C">
            <w:pPr>
              <w:spacing w:line="232" w:lineRule="exact"/>
              <w:rPr>
                <w:rFonts w:cs="宋体" w:asciiTheme="minorEastAsia" w:hAnsiTheme="minorEastAsia" w:eastAsiaTheme="minorEastAsia"/>
                <w:color w:val="auto"/>
                <w:kern w:val="0"/>
                <w:sz w:val="15"/>
                <w:szCs w:val="15"/>
                <w:highlight w:val="none"/>
              </w:rPr>
            </w:pPr>
          </w:p>
        </w:tc>
      </w:tr>
      <w:tr w14:paraId="72326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47" w:hRule="atLeast"/>
          <w:jc w:val="center"/>
        </w:trPr>
        <w:tc>
          <w:tcPr>
            <w:tcW w:w="610" w:type="dxa"/>
            <w:shd w:val="clear" w:color="auto" w:fill="auto"/>
            <w:vAlign w:val="center"/>
          </w:tcPr>
          <w:p w14:paraId="651BA055">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w:t>
            </w:r>
          </w:p>
        </w:tc>
        <w:tc>
          <w:tcPr>
            <w:tcW w:w="1830" w:type="dxa"/>
            <w:gridSpan w:val="3"/>
            <w:shd w:val="clear" w:color="auto" w:fill="auto"/>
            <w:vAlign w:val="center"/>
          </w:tcPr>
          <w:p w14:paraId="5D8B8891">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预付卡经营者未按照规定提供查询或者未按照规定履行告知义务逾期不改正</w:t>
            </w:r>
          </w:p>
        </w:tc>
        <w:tc>
          <w:tcPr>
            <w:tcW w:w="2789" w:type="dxa"/>
            <w:gridSpan w:val="2"/>
            <w:shd w:val="clear" w:color="auto" w:fill="auto"/>
            <w:vAlign w:val="center"/>
          </w:tcPr>
          <w:p w14:paraId="4ADF73DE">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shd w:val="clear" w:color="auto" w:fill="auto"/>
            <w:vAlign w:val="center"/>
          </w:tcPr>
          <w:p w14:paraId="6F8B4C5E">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14:paraId="15B40119">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14:paraId="46B68387">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217E030A">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2566F5CF">
            <w:pPr>
              <w:spacing w:line="232" w:lineRule="exact"/>
              <w:rPr>
                <w:rFonts w:cs="宋体" w:asciiTheme="minorEastAsia" w:hAnsiTheme="minorEastAsia" w:eastAsiaTheme="minorEastAsia"/>
                <w:color w:val="auto"/>
                <w:kern w:val="0"/>
                <w:sz w:val="15"/>
                <w:szCs w:val="15"/>
                <w:highlight w:val="none"/>
              </w:rPr>
            </w:pPr>
          </w:p>
        </w:tc>
      </w:tr>
      <w:tr w14:paraId="22229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01" w:hRule="atLeast"/>
          <w:jc w:val="center"/>
        </w:trPr>
        <w:tc>
          <w:tcPr>
            <w:tcW w:w="610" w:type="dxa"/>
            <w:shd w:val="clear" w:color="auto" w:fill="auto"/>
            <w:vAlign w:val="center"/>
          </w:tcPr>
          <w:p w14:paraId="5F6B51FC">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4</w:t>
            </w:r>
          </w:p>
        </w:tc>
        <w:tc>
          <w:tcPr>
            <w:tcW w:w="1830" w:type="dxa"/>
            <w:gridSpan w:val="3"/>
            <w:shd w:val="clear" w:color="auto" w:fill="auto"/>
            <w:vAlign w:val="center"/>
          </w:tcPr>
          <w:p w14:paraId="6378CE54">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预付卡经营者未按照规定保存交易记录逾期不改正</w:t>
            </w:r>
          </w:p>
        </w:tc>
        <w:tc>
          <w:tcPr>
            <w:tcW w:w="2789" w:type="dxa"/>
            <w:gridSpan w:val="2"/>
            <w:shd w:val="clear" w:color="auto" w:fill="auto"/>
            <w:vAlign w:val="center"/>
          </w:tcPr>
          <w:p w14:paraId="66A98AF1">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shd w:val="clear" w:color="auto" w:fill="auto"/>
            <w:vAlign w:val="center"/>
          </w:tcPr>
          <w:p w14:paraId="2AF0840C">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14:paraId="21CC453A">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14:paraId="701B672A">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D4D99EB">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53282EA1">
            <w:pPr>
              <w:spacing w:line="232" w:lineRule="exact"/>
              <w:rPr>
                <w:rFonts w:cs="宋体" w:asciiTheme="minorEastAsia" w:hAnsiTheme="minorEastAsia" w:eastAsiaTheme="minorEastAsia"/>
                <w:color w:val="auto"/>
                <w:kern w:val="0"/>
                <w:sz w:val="15"/>
                <w:szCs w:val="15"/>
                <w:highlight w:val="none"/>
              </w:rPr>
            </w:pPr>
          </w:p>
        </w:tc>
      </w:tr>
      <w:tr w14:paraId="708A0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53" w:hRule="atLeast"/>
          <w:jc w:val="center"/>
        </w:trPr>
        <w:tc>
          <w:tcPr>
            <w:tcW w:w="610" w:type="dxa"/>
            <w:shd w:val="clear" w:color="auto" w:fill="auto"/>
            <w:vAlign w:val="center"/>
          </w:tcPr>
          <w:p w14:paraId="2C7CE4EB">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5</w:t>
            </w:r>
          </w:p>
        </w:tc>
        <w:tc>
          <w:tcPr>
            <w:tcW w:w="1830" w:type="dxa"/>
            <w:gridSpan w:val="3"/>
            <w:shd w:val="clear" w:color="auto" w:fill="auto"/>
            <w:vAlign w:val="center"/>
          </w:tcPr>
          <w:p w14:paraId="4B45D274">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预付卡经营者故意拖延或者无理拒绝退回预收款逾期不改正</w:t>
            </w:r>
          </w:p>
        </w:tc>
        <w:tc>
          <w:tcPr>
            <w:tcW w:w="2789" w:type="dxa"/>
            <w:gridSpan w:val="2"/>
            <w:shd w:val="clear" w:color="auto" w:fill="auto"/>
            <w:vAlign w:val="center"/>
          </w:tcPr>
          <w:p w14:paraId="5E3AC9D3">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shd w:val="clear" w:color="auto" w:fill="auto"/>
            <w:vAlign w:val="center"/>
          </w:tcPr>
          <w:p w14:paraId="103C159E">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10000</w:t>
            </w:r>
          </w:p>
        </w:tc>
        <w:tc>
          <w:tcPr>
            <w:tcW w:w="840" w:type="dxa"/>
            <w:shd w:val="clear" w:color="auto" w:fill="auto"/>
            <w:vAlign w:val="center"/>
          </w:tcPr>
          <w:p w14:paraId="0E6728C2">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14:paraId="4C8C700E">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19EE151">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0FF217AA">
            <w:pPr>
              <w:spacing w:line="232" w:lineRule="exact"/>
              <w:rPr>
                <w:rFonts w:cs="宋体" w:asciiTheme="minorEastAsia" w:hAnsiTheme="minorEastAsia" w:eastAsiaTheme="minorEastAsia"/>
                <w:color w:val="auto"/>
                <w:kern w:val="0"/>
                <w:sz w:val="15"/>
                <w:szCs w:val="15"/>
                <w:highlight w:val="none"/>
              </w:rPr>
            </w:pPr>
          </w:p>
        </w:tc>
      </w:tr>
      <w:tr w14:paraId="17489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17" w:hRule="atLeast"/>
          <w:jc w:val="center"/>
        </w:trPr>
        <w:tc>
          <w:tcPr>
            <w:tcW w:w="610" w:type="dxa"/>
            <w:shd w:val="clear" w:color="auto" w:fill="auto"/>
            <w:vAlign w:val="center"/>
          </w:tcPr>
          <w:p w14:paraId="3D4FC13D">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6</w:t>
            </w:r>
          </w:p>
        </w:tc>
        <w:tc>
          <w:tcPr>
            <w:tcW w:w="1830" w:type="dxa"/>
            <w:gridSpan w:val="3"/>
            <w:shd w:val="clear" w:color="auto" w:fill="auto"/>
            <w:vAlign w:val="center"/>
          </w:tcPr>
          <w:p w14:paraId="02B768FB">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预付卡经营者迟报、瞒报、虚报有关信息逾期不改正</w:t>
            </w:r>
          </w:p>
        </w:tc>
        <w:tc>
          <w:tcPr>
            <w:tcW w:w="2789" w:type="dxa"/>
            <w:gridSpan w:val="2"/>
            <w:shd w:val="clear" w:color="auto" w:fill="auto"/>
            <w:vAlign w:val="center"/>
          </w:tcPr>
          <w:p w14:paraId="4391B6A3">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违反条款：第二十条；处罚条款：第三十一条  责令限期改正；逾期不改的，处一千元以上五千元以下罚款。</w:t>
            </w:r>
          </w:p>
        </w:tc>
        <w:tc>
          <w:tcPr>
            <w:tcW w:w="851" w:type="dxa"/>
            <w:shd w:val="clear" w:color="auto" w:fill="auto"/>
            <w:vAlign w:val="center"/>
          </w:tcPr>
          <w:p w14:paraId="7938F13C">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w:t>
            </w:r>
          </w:p>
        </w:tc>
        <w:tc>
          <w:tcPr>
            <w:tcW w:w="840" w:type="dxa"/>
            <w:shd w:val="clear" w:color="auto" w:fill="auto"/>
            <w:vAlign w:val="center"/>
          </w:tcPr>
          <w:p w14:paraId="08AF7CED">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14:paraId="1AF55619">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6E0D4C78">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53154B46">
            <w:pPr>
              <w:spacing w:line="232" w:lineRule="exact"/>
              <w:rPr>
                <w:rFonts w:cs="宋体" w:asciiTheme="minorEastAsia" w:hAnsiTheme="minorEastAsia" w:eastAsiaTheme="minorEastAsia"/>
                <w:color w:val="auto"/>
                <w:kern w:val="0"/>
                <w:sz w:val="15"/>
                <w:szCs w:val="15"/>
                <w:highlight w:val="none"/>
              </w:rPr>
            </w:pPr>
          </w:p>
        </w:tc>
      </w:tr>
      <w:tr w14:paraId="0E9A2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74" w:hRule="atLeast"/>
          <w:jc w:val="center"/>
        </w:trPr>
        <w:tc>
          <w:tcPr>
            <w:tcW w:w="610" w:type="dxa"/>
            <w:shd w:val="clear" w:color="auto" w:fill="auto"/>
            <w:vAlign w:val="center"/>
          </w:tcPr>
          <w:p w14:paraId="6AC80EE8">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7</w:t>
            </w:r>
          </w:p>
        </w:tc>
        <w:tc>
          <w:tcPr>
            <w:tcW w:w="1830" w:type="dxa"/>
            <w:gridSpan w:val="3"/>
            <w:shd w:val="clear" w:color="auto" w:fill="auto"/>
            <w:vAlign w:val="center"/>
          </w:tcPr>
          <w:p w14:paraId="7C9BD28D">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预付卡经营者未按照规定存管资金逾期不改正</w:t>
            </w:r>
          </w:p>
        </w:tc>
        <w:tc>
          <w:tcPr>
            <w:tcW w:w="2789" w:type="dxa"/>
            <w:gridSpan w:val="2"/>
            <w:shd w:val="clear" w:color="auto" w:fill="auto"/>
            <w:vAlign w:val="center"/>
          </w:tcPr>
          <w:p w14:paraId="59E5C8A1">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shd w:val="clear" w:color="auto" w:fill="auto"/>
            <w:vAlign w:val="center"/>
          </w:tcPr>
          <w:p w14:paraId="72F33AC3">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14:paraId="4071170A">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14:paraId="5A4B8B86">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造成较大社会影响或者严重后果的，系数4。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E1C1565">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cs="仿宋_GB2312" w:asciiTheme="minorEastAsia" w:hAnsiTheme="minorEastAsia" w:eastAsiaTheme="minorEastAsia"/>
                <w:color w:val="auto"/>
                <w:sz w:val="15"/>
                <w:szCs w:val="15"/>
                <w:highlight w:val="none"/>
                <w:lang w:val="en"/>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情节</w:t>
            </w:r>
            <w:r>
              <w:rPr>
                <w:rFonts w:hint="eastAsia" w:cs="仿宋_GB2312"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425B697A">
            <w:pPr>
              <w:spacing w:line="232" w:lineRule="exact"/>
              <w:rPr>
                <w:rFonts w:cs="宋体" w:asciiTheme="minorEastAsia" w:hAnsiTheme="minorEastAsia" w:eastAsiaTheme="minorEastAsia"/>
                <w:color w:val="auto"/>
                <w:kern w:val="0"/>
                <w:sz w:val="15"/>
                <w:szCs w:val="15"/>
                <w:highlight w:val="none"/>
              </w:rPr>
            </w:pPr>
          </w:p>
        </w:tc>
      </w:tr>
      <w:tr w14:paraId="4083A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06" w:hRule="atLeast"/>
          <w:jc w:val="center"/>
        </w:trPr>
        <w:tc>
          <w:tcPr>
            <w:tcW w:w="14203" w:type="dxa"/>
            <w:gridSpan w:val="13"/>
            <w:shd w:val="clear" w:color="auto" w:fill="auto"/>
            <w:vAlign w:val="center"/>
          </w:tcPr>
          <w:p w14:paraId="4D05D69D">
            <w:pPr>
              <w:pStyle w:val="2"/>
              <w:keepNext w:val="0"/>
              <w:keepLines w:val="0"/>
              <w:rPr>
                <w:rFonts w:ascii="黑体" w:hAnsi="黑体" w:eastAsia="黑体"/>
                <w:b w:val="0"/>
                <w:color w:val="auto"/>
                <w:sz w:val="24"/>
                <w:szCs w:val="24"/>
                <w:highlight w:val="none"/>
              </w:rPr>
            </w:pPr>
            <w:bookmarkStart w:id="90" w:name="_Toc382391396"/>
            <w:bookmarkStart w:id="91" w:name="_Toc110851466"/>
            <w:bookmarkStart w:id="92" w:name="_Toc1495699393"/>
            <w:r>
              <w:rPr>
                <w:rFonts w:hint="eastAsia" w:ascii="黑体" w:hAnsi="黑体" w:eastAsia="黑体"/>
                <w:b w:val="0"/>
                <w:color w:val="auto"/>
                <w:sz w:val="28"/>
                <w:szCs w:val="28"/>
                <w:highlight w:val="none"/>
              </w:rPr>
              <w:t>园林绿化管理方面</w:t>
            </w:r>
            <w:bookmarkEnd w:id="90"/>
            <w:bookmarkEnd w:id="91"/>
            <w:bookmarkEnd w:id="92"/>
          </w:p>
        </w:tc>
      </w:tr>
      <w:tr w14:paraId="5BAEC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12" w:hRule="atLeast"/>
          <w:jc w:val="center"/>
        </w:trPr>
        <w:tc>
          <w:tcPr>
            <w:tcW w:w="14203" w:type="dxa"/>
            <w:gridSpan w:val="13"/>
            <w:shd w:val="clear" w:color="auto" w:fill="auto"/>
            <w:vAlign w:val="center"/>
          </w:tcPr>
          <w:p w14:paraId="56D7F6AE">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3" w:name="_Toc1801139429"/>
            <w:bookmarkStart w:id="94" w:name="_Toc110851467"/>
            <w:bookmarkStart w:id="95" w:name="_Toc1752458156"/>
            <w:r>
              <w:rPr>
                <w:rFonts w:hint="eastAsia" w:asciiTheme="minorEastAsia" w:hAnsiTheme="minorEastAsia" w:eastAsiaTheme="minorEastAsia"/>
                <w:color w:val="auto"/>
                <w:sz w:val="21"/>
                <w:szCs w:val="21"/>
                <w:highlight w:val="none"/>
              </w:rPr>
              <w:t>《北京市绿化条例》案由16项</w:t>
            </w:r>
            <w:bookmarkEnd w:id="93"/>
            <w:bookmarkEnd w:id="94"/>
            <w:bookmarkEnd w:id="95"/>
          </w:p>
        </w:tc>
      </w:tr>
      <w:tr w14:paraId="0D9D7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24" w:hRule="atLeast"/>
          <w:jc w:val="center"/>
        </w:trPr>
        <w:tc>
          <w:tcPr>
            <w:tcW w:w="610" w:type="dxa"/>
            <w:shd w:val="clear" w:color="auto" w:fill="auto"/>
            <w:vAlign w:val="center"/>
          </w:tcPr>
          <w:p w14:paraId="00B6648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6D2461F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未按要求公示绿地平面图</w:t>
            </w:r>
          </w:p>
        </w:tc>
        <w:tc>
          <w:tcPr>
            <w:tcW w:w="2789" w:type="dxa"/>
            <w:gridSpan w:val="2"/>
            <w:shd w:val="clear" w:color="auto" w:fill="auto"/>
            <w:vAlign w:val="center"/>
          </w:tcPr>
          <w:p w14:paraId="29C1DBD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违反条款：第二十五条；</w:t>
            </w:r>
          </w:p>
          <w:p w14:paraId="16796DF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处罚条款：第六十三条 责令限期改正；逾期不改正的，处5000元罚款。</w:t>
            </w:r>
          </w:p>
        </w:tc>
        <w:tc>
          <w:tcPr>
            <w:tcW w:w="851" w:type="dxa"/>
            <w:shd w:val="clear" w:color="auto" w:fill="auto"/>
            <w:vAlign w:val="center"/>
          </w:tcPr>
          <w:p w14:paraId="0C609F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9F7B761">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EE6EE9B">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46109E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p>
        </w:tc>
        <w:tc>
          <w:tcPr>
            <w:tcW w:w="1982" w:type="dxa"/>
            <w:gridSpan w:val="2"/>
            <w:shd w:val="clear" w:color="auto" w:fill="auto"/>
            <w:vAlign w:val="center"/>
          </w:tcPr>
          <w:p w14:paraId="21CAB774">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按照条款规定执行</w:t>
            </w:r>
            <w:r>
              <w:rPr>
                <w:rFonts w:hint="eastAsia" w:cs="宋体" w:asciiTheme="minorEastAsia" w:hAnsiTheme="minorEastAsia" w:eastAsiaTheme="minorEastAsia"/>
                <w:color w:val="auto"/>
                <w:kern w:val="0"/>
                <w:sz w:val="15"/>
                <w:szCs w:val="15"/>
                <w:highlight w:val="none"/>
                <w:lang w:eastAsia="zh-CN"/>
              </w:rPr>
              <w:t>。</w:t>
            </w:r>
          </w:p>
        </w:tc>
      </w:tr>
      <w:tr w14:paraId="23329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00" w:hRule="atLeast"/>
          <w:jc w:val="center"/>
        </w:trPr>
        <w:tc>
          <w:tcPr>
            <w:tcW w:w="610" w:type="dxa"/>
            <w:shd w:val="clear" w:color="auto" w:fill="auto"/>
            <w:vAlign w:val="center"/>
          </w:tcPr>
          <w:p w14:paraId="1A5DDE6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FFFFFF"/>
            <w:vAlign w:val="center"/>
          </w:tcPr>
          <w:p w14:paraId="7478AC1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未按规定对闲置土地进行临时绿化</w:t>
            </w:r>
          </w:p>
        </w:tc>
        <w:tc>
          <w:tcPr>
            <w:tcW w:w="2789" w:type="dxa"/>
            <w:gridSpan w:val="2"/>
            <w:shd w:val="clear" w:color="auto" w:fill="auto"/>
            <w:vAlign w:val="center"/>
          </w:tcPr>
          <w:p w14:paraId="34BF812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违反条款：第二十七条；</w:t>
            </w:r>
          </w:p>
          <w:p w14:paraId="43C0662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处罚条款：第六十四条 责令限期改正；逾期不改正的，处2000元以上2万元以下罚款。</w:t>
            </w:r>
          </w:p>
        </w:tc>
        <w:tc>
          <w:tcPr>
            <w:tcW w:w="851" w:type="dxa"/>
            <w:shd w:val="clear" w:color="auto" w:fill="auto"/>
            <w:vAlign w:val="center"/>
          </w:tcPr>
          <w:p w14:paraId="014E973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55B0192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D603877">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以内，</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以上的，每增加500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，系数增加1；</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闲置时间超过一年的，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4；3. 尘土飞扬，对市容环境造成严重影响的，系数9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0EA562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D1B4DC0">
            <w:pPr>
              <w:spacing w:line="232" w:lineRule="exact"/>
              <w:rPr>
                <w:rFonts w:hint="eastAsia" w:asciiTheme="minorEastAsia" w:hAnsiTheme="minorEastAsia" w:eastAsiaTheme="minorEastAsia"/>
                <w:strike/>
                <w:dstrike w:val="0"/>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逾期不改正的情形，不纳入本案由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14:paraId="64CBB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579" w:hRule="atLeast"/>
          <w:jc w:val="center"/>
        </w:trPr>
        <w:tc>
          <w:tcPr>
            <w:tcW w:w="610" w:type="dxa"/>
            <w:shd w:val="clear" w:color="auto" w:fill="auto"/>
            <w:vAlign w:val="center"/>
          </w:tcPr>
          <w:p w14:paraId="152BE71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22BD0D5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未按养护规范养护绿地、树木</w:t>
            </w:r>
          </w:p>
        </w:tc>
        <w:tc>
          <w:tcPr>
            <w:tcW w:w="2789" w:type="dxa"/>
            <w:gridSpan w:val="2"/>
            <w:shd w:val="clear" w:color="auto" w:fill="auto"/>
            <w:vAlign w:val="center"/>
          </w:tcPr>
          <w:p w14:paraId="47E7A7F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违反条款：第四十条第一款；</w:t>
            </w:r>
          </w:p>
          <w:p w14:paraId="64142A7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处罚条款：第六十五条 责令限期改正；逾期不改正，造成树木死亡、绿化设施损毁、景区风貌破坏的，处2000元以上2万元以下罚款。</w:t>
            </w:r>
          </w:p>
        </w:tc>
        <w:tc>
          <w:tcPr>
            <w:tcW w:w="851" w:type="dxa"/>
            <w:shd w:val="clear" w:color="auto" w:fill="auto"/>
            <w:vAlign w:val="center"/>
          </w:tcPr>
          <w:p w14:paraId="65639DA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39527C7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164A43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1.造成树木死亡（胸径小于30厘米且不满3株），绿化设施损毁、景区风貌破坏较重的，或者造成较大社会影响的，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2.造成树木死亡（胸径30厘米以上的，或树木死亡3株以上5株以下），或者造成较大损失的，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4；造成树木死亡（胸径30厘米以上树木3棵以上，以及树木死亡10株以上的），或者造成珍贵树种死亡，景区风貌破坏严重难以复原，以及</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社会恶劣影响和重大经济损失的，系数9。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696BC12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BE25B3F">
            <w:pPr>
              <w:spacing w:line="232" w:lineRule="exact"/>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14:paraId="1EB34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76" w:hRule="atLeast"/>
          <w:jc w:val="center"/>
        </w:trPr>
        <w:tc>
          <w:tcPr>
            <w:tcW w:w="610" w:type="dxa"/>
            <w:shd w:val="clear" w:color="auto" w:fill="auto"/>
            <w:vAlign w:val="center"/>
          </w:tcPr>
          <w:p w14:paraId="114DB60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4058F2F2">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未按规范开发利用绿地地下空间</w:t>
            </w:r>
          </w:p>
        </w:tc>
        <w:tc>
          <w:tcPr>
            <w:tcW w:w="2789" w:type="dxa"/>
            <w:gridSpan w:val="2"/>
            <w:shd w:val="clear" w:color="auto" w:fill="auto"/>
            <w:vAlign w:val="center"/>
          </w:tcPr>
          <w:p w14:paraId="78A46911">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违反条款：第四十六条；</w:t>
            </w:r>
          </w:p>
          <w:p w14:paraId="7EADB809">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处罚条款：第六十六条 责令限期改正；逾期不改正的，处2万元以上10万元以下罚款。</w:t>
            </w:r>
          </w:p>
        </w:tc>
        <w:tc>
          <w:tcPr>
            <w:tcW w:w="851" w:type="dxa"/>
            <w:shd w:val="clear" w:color="auto" w:fill="auto"/>
            <w:vAlign w:val="center"/>
          </w:tcPr>
          <w:p w14:paraId="1BD1B7F7">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1C254891">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8FED813">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1.造成树木死亡（胸径小于30厘米且不满3株），绿地损毁的，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2.造成树木死亡（胸径30厘米以上的，或树木死亡3株以上），绿地使用功能丧失，或者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社会恶劣影响和重大经济损失的，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6168EBCC">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345A547C">
            <w:pPr>
              <w:spacing w:line="206"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w:t>
            </w:r>
            <w:r>
              <w:rPr>
                <w:rFonts w:hint="eastAsia" w:asciiTheme="minorEastAsia" w:hAnsiTheme="minorEastAsia" w:eastAsiaTheme="minorEastAsia"/>
                <w:color w:val="auto"/>
                <w:sz w:val="15"/>
                <w:szCs w:val="15"/>
                <w:highlight w:val="none"/>
                <w:lang w:eastAsia="zh-CN"/>
              </w:rPr>
              <w:t>计入</w:t>
            </w:r>
            <w:r>
              <w:rPr>
                <w:rFonts w:hint="eastAsia" w:asciiTheme="minorEastAsia" w:hAnsiTheme="minorEastAsia" w:eastAsiaTheme="minorEastAsia"/>
                <w:color w:val="auto"/>
                <w:sz w:val="15"/>
                <w:szCs w:val="15"/>
                <w:highlight w:val="none"/>
              </w:rPr>
              <w:t>本项</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r>
      <w:tr w14:paraId="4A820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99" w:hRule="atLeast"/>
          <w:jc w:val="center"/>
        </w:trPr>
        <w:tc>
          <w:tcPr>
            <w:tcW w:w="610" w:type="dxa"/>
            <w:vMerge w:val="restart"/>
            <w:shd w:val="clear" w:color="auto" w:fill="auto"/>
            <w:vAlign w:val="center"/>
          </w:tcPr>
          <w:p w14:paraId="221EB3B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vMerge w:val="restart"/>
            <w:shd w:val="clear" w:color="auto" w:fill="auto"/>
            <w:vAlign w:val="center"/>
          </w:tcPr>
          <w:p w14:paraId="37086FC7">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在树木旁或者绿地内倾倒、排放污水、垃圾、渣</w:t>
            </w:r>
            <w:r>
              <w:rPr>
                <w:rFonts w:hint="eastAsia" w:cs="宋体" w:asciiTheme="minorEastAsia" w:hAnsiTheme="minorEastAsia" w:eastAsiaTheme="minorEastAsia"/>
                <w:color w:val="auto"/>
                <w:kern w:val="0"/>
                <w:sz w:val="15"/>
                <w:szCs w:val="15"/>
                <w:highlight w:val="none"/>
                <w:shd w:val="clear"/>
              </w:rPr>
              <w:t>土及其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shd w:val="clear"/>
              </w:rPr>
              <w:t>废弃</w:t>
            </w:r>
            <w:r>
              <w:rPr>
                <w:rFonts w:hint="eastAsia" w:cs="宋体" w:asciiTheme="minorEastAsia" w:hAnsiTheme="minorEastAsia" w:eastAsiaTheme="minorEastAsia"/>
                <w:color w:val="auto"/>
                <w:kern w:val="0"/>
                <w:sz w:val="15"/>
                <w:szCs w:val="15"/>
                <w:highlight w:val="none"/>
              </w:rPr>
              <w:t>物</w:t>
            </w:r>
          </w:p>
        </w:tc>
        <w:tc>
          <w:tcPr>
            <w:tcW w:w="2789" w:type="dxa"/>
            <w:gridSpan w:val="2"/>
            <w:vMerge w:val="restart"/>
            <w:shd w:val="clear" w:color="auto" w:fill="auto"/>
            <w:vAlign w:val="center"/>
          </w:tcPr>
          <w:p w14:paraId="21EE0D26">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shd w:val="clear" w:color="auto" w:fill="auto"/>
            <w:vAlign w:val="center"/>
          </w:tcPr>
          <w:p w14:paraId="4F2671CF">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406F406D">
            <w:pPr>
              <w:spacing w:line="206"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513BF6EA">
            <w:pPr>
              <w:spacing w:line="206"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3BF32F3D">
            <w:pPr>
              <w:spacing w:line="206"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7EC416D1">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14:paraId="2F328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98" w:hRule="atLeast"/>
          <w:jc w:val="center"/>
        </w:trPr>
        <w:tc>
          <w:tcPr>
            <w:tcW w:w="610" w:type="dxa"/>
            <w:vMerge w:val="continue"/>
            <w:shd w:val="clear" w:color="auto" w:fill="auto"/>
            <w:vAlign w:val="center"/>
          </w:tcPr>
          <w:p w14:paraId="1C1BE918">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4D88F3E1">
            <w:pPr>
              <w:spacing w:line="206"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00ECC5EF">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7A5F46E7">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6A60D8B9">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61DE52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7DA1969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EF2F07D">
            <w:pPr>
              <w:spacing w:line="206" w:lineRule="exact"/>
              <w:rPr>
                <w:rFonts w:cs="宋体" w:asciiTheme="minorEastAsia" w:hAnsiTheme="minorEastAsia" w:eastAsiaTheme="minorEastAsia"/>
                <w:color w:val="auto"/>
                <w:kern w:val="0"/>
                <w:sz w:val="15"/>
                <w:szCs w:val="15"/>
                <w:highlight w:val="none"/>
              </w:rPr>
            </w:pPr>
          </w:p>
        </w:tc>
      </w:tr>
      <w:tr w14:paraId="42863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14:paraId="208DCE3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vMerge w:val="restart"/>
            <w:shd w:val="clear" w:color="auto" w:fill="auto"/>
            <w:vAlign w:val="center"/>
          </w:tcPr>
          <w:p w14:paraId="544263AA">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损毁树木、花草及绿化设施</w:t>
            </w:r>
          </w:p>
        </w:tc>
        <w:tc>
          <w:tcPr>
            <w:tcW w:w="2789" w:type="dxa"/>
            <w:gridSpan w:val="2"/>
            <w:vMerge w:val="restart"/>
            <w:shd w:val="clear" w:color="auto" w:fill="auto"/>
            <w:vAlign w:val="center"/>
          </w:tcPr>
          <w:p w14:paraId="6FE3DFA4">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shd w:val="clear" w:color="auto" w:fill="auto"/>
            <w:vAlign w:val="center"/>
          </w:tcPr>
          <w:p w14:paraId="1C62EDFD">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357FBCEB">
            <w:pPr>
              <w:spacing w:line="206"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7D38DFFE">
            <w:pPr>
              <w:spacing w:line="206"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2F0B0275">
            <w:pPr>
              <w:spacing w:line="206"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5D1BCAB4">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14:paraId="7744A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2" w:hRule="atLeast"/>
          <w:jc w:val="center"/>
        </w:trPr>
        <w:tc>
          <w:tcPr>
            <w:tcW w:w="610" w:type="dxa"/>
            <w:vMerge w:val="continue"/>
            <w:shd w:val="clear" w:color="auto" w:fill="auto"/>
            <w:vAlign w:val="center"/>
          </w:tcPr>
          <w:p w14:paraId="731280ED">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3136BDAB">
            <w:pPr>
              <w:spacing w:line="206"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7569A803">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2C36DCAE">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29C41782">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9E7319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00E5259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D458B88">
            <w:pPr>
              <w:spacing w:line="206" w:lineRule="exact"/>
              <w:rPr>
                <w:rFonts w:cs="宋体" w:asciiTheme="minorEastAsia" w:hAnsiTheme="minorEastAsia" w:eastAsiaTheme="minorEastAsia"/>
                <w:color w:val="auto"/>
                <w:kern w:val="0"/>
                <w:sz w:val="15"/>
                <w:szCs w:val="15"/>
                <w:highlight w:val="none"/>
              </w:rPr>
            </w:pPr>
          </w:p>
        </w:tc>
      </w:tr>
      <w:tr w14:paraId="40016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01" w:hRule="atLeast"/>
          <w:jc w:val="center"/>
        </w:trPr>
        <w:tc>
          <w:tcPr>
            <w:tcW w:w="610" w:type="dxa"/>
            <w:vMerge w:val="restart"/>
            <w:shd w:val="clear" w:color="auto" w:fill="auto"/>
            <w:vAlign w:val="center"/>
          </w:tcPr>
          <w:p w14:paraId="2B19BEB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vMerge w:val="restart"/>
            <w:shd w:val="clear" w:color="auto" w:fill="auto"/>
            <w:vAlign w:val="center"/>
          </w:tcPr>
          <w:p w14:paraId="02563359">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在树木或者绿化设施上悬挂广告牌或者其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rPr>
              <w:t>物品</w:t>
            </w:r>
          </w:p>
        </w:tc>
        <w:tc>
          <w:tcPr>
            <w:tcW w:w="2789" w:type="dxa"/>
            <w:gridSpan w:val="2"/>
            <w:vMerge w:val="restart"/>
            <w:shd w:val="clear" w:color="auto" w:fill="auto"/>
            <w:vAlign w:val="center"/>
          </w:tcPr>
          <w:p w14:paraId="02B6182A">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shd w:val="clear" w:color="auto" w:fill="auto"/>
            <w:vAlign w:val="center"/>
          </w:tcPr>
          <w:p w14:paraId="65697232">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464A190B">
            <w:pPr>
              <w:spacing w:line="25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00CBA58C">
            <w:pPr>
              <w:spacing w:line="25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AAE8264">
            <w:pPr>
              <w:spacing w:line="25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772AB607">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14:paraId="6F7A8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8" w:hRule="atLeast"/>
          <w:jc w:val="center"/>
        </w:trPr>
        <w:tc>
          <w:tcPr>
            <w:tcW w:w="610" w:type="dxa"/>
            <w:vMerge w:val="continue"/>
            <w:shd w:val="clear" w:color="auto" w:fill="auto"/>
            <w:vAlign w:val="center"/>
          </w:tcPr>
          <w:p w14:paraId="71F98CC0">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5719AD09">
            <w:pPr>
              <w:spacing w:line="250"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18123260">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48393346">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49994EAD">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2FF46B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483689B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6D8E565">
            <w:pPr>
              <w:spacing w:line="250" w:lineRule="exact"/>
              <w:rPr>
                <w:rFonts w:cs="宋体" w:asciiTheme="minorEastAsia" w:hAnsiTheme="minorEastAsia" w:eastAsiaTheme="minorEastAsia"/>
                <w:color w:val="auto"/>
                <w:kern w:val="0"/>
                <w:sz w:val="15"/>
                <w:szCs w:val="15"/>
                <w:highlight w:val="none"/>
              </w:rPr>
            </w:pPr>
          </w:p>
        </w:tc>
      </w:tr>
      <w:tr w14:paraId="786AD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47" w:hRule="atLeast"/>
          <w:jc w:val="center"/>
        </w:trPr>
        <w:tc>
          <w:tcPr>
            <w:tcW w:w="610" w:type="dxa"/>
            <w:vMerge w:val="restart"/>
            <w:shd w:val="clear" w:color="auto" w:fill="auto"/>
            <w:vAlign w:val="center"/>
          </w:tcPr>
          <w:p w14:paraId="3212FFC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vMerge w:val="restart"/>
            <w:shd w:val="clear" w:color="auto" w:fill="auto"/>
            <w:vAlign w:val="center"/>
          </w:tcPr>
          <w:p w14:paraId="05D67419">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在绿地内取土、搭建构筑物</w:t>
            </w:r>
          </w:p>
        </w:tc>
        <w:tc>
          <w:tcPr>
            <w:tcW w:w="2789" w:type="dxa"/>
            <w:gridSpan w:val="2"/>
            <w:vMerge w:val="restart"/>
            <w:shd w:val="clear" w:color="auto" w:fill="auto"/>
            <w:vAlign w:val="center"/>
          </w:tcPr>
          <w:p w14:paraId="44419AC7">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shd w:val="clear" w:color="auto" w:fill="auto"/>
            <w:vAlign w:val="center"/>
          </w:tcPr>
          <w:p w14:paraId="11CF066D">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6C1DAD0">
            <w:pPr>
              <w:spacing w:line="25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14BBD855">
            <w:pPr>
              <w:spacing w:line="25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06480F56">
            <w:pPr>
              <w:spacing w:line="25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7636D47A">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14:paraId="6EA64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56" w:hRule="atLeast"/>
          <w:jc w:val="center"/>
        </w:trPr>
        <w:tc>
          <w:tcPr>
            <w:tcW w:w="610" w:type="dxa"/>
            <w:vMerge w:val="continue"/>
            <w:shd w:val="clear" w:color="auto" w:fill="auto"/>
            <w:vAlign w:val="center"/>
          </w:tcPr>
          <w:p w14:paraId="1033B3AC">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610A4A3E">
            <w:pPr>
              <w:spacing w:line="250"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1AB2634E">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482BCAE8">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16948FE3">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E93188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5B5AFEE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A62D4E1">
            <w:pPr>
              <w:spacing w:line="250" w:lineRule="exact"/>
              <w:rPr>
                <w:rFonts w:cs="宋体" w:asciiTheme="minorEastAsia" w:hAnsiTheme="minorEastAsia" w:eastAsiaTheme="minorEastAsia"/>
                <w:color w:val="auto"/>
                <w:kern w:val="0"/>
                <w:sz w:val="15"/>
                <w:szCs w:val="15"/>
                <w:highlight w:val="none"/>
              </w:rPr>
            </w:pPr>
          </w:p>
        </w:tc>
      </w:tr>
      <w:tr w14:paraId="55E33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09" w:hRule="atLeast"/>
          <w:jc w:val="center"/>
        </w:trPr>
        <w:tc>
          <w:tcPr>
            <w:tcW w:w="610" w:type="dxa"/>
            <w:vMerge w:val="restart"/>
            <w:shd w:val="clear" w:color="auto" w:fill="auto"/>
            <w:vAlign w:val="center"/>
          </w:tcPr>
          <w:p w14:paraId="0016596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vMerge w:val="restart"/>
            <w:shd w:val="clear" w:color="auto" w:fill="auto"/>
            <w:vAlign w:val="center"/>
          </w:tcPr>
          <w:p w14:paraId="7FAD4242">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在绿地内用火、烧烤</w:t>
            </w:r>
          </w:p>
        </w:tc>
        <w:tc>
          <w:tcPr>
            <w:tcW w:w="2789" w:type="dxa"/>
            <w:gridSpan w:val="2"/>
            <w:vMerge w:val="restart"/>
            <w:shd w:val="clear" w:color="auto" w:fill="auto"/>
            <w:vAlign w:val="center"/>
          </w:tcPr>
          <w:p w14:paraId="47A6C7D6">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shd w:val="clear" w:color="auto" w:fill="auto"/>
            <w:vAlign w:val="center"/>
          </w:tcPr>
          <w:p w14:paraId="5E3C99E3">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1A225DB2">
            <w:pPr>
              <w:spacing w:line="25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7565EC9F">
            <w:pPr>
              <w:spacing w:line="25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5CAD0A0D">
            <w:pPr>
              <w:spacing w:line="25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16B47244">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14:paraId="42188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25" w:hRule="atLeast"/>
          <w:jc w:val="center"/>
        </w:trPr>
        <w:tc>
          <w:tcPr>
            <w:tcW w:w="610" w:type="dxa"/>
            <w:vMerge w:val="continue"/>
            <w:shd w:val="clear" w:color="auto" w:fill="auto"/>
            <w:vAlign w:val="center"/>
          </w:tcPr>
          <w:p w14:paraId="10D5280B">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26932BA5">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5A193E99">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1F2B259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0294275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DF6563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6F42BC6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6CD8CEB">
            <w:pPr>
              <w:spacing w:line="232" w:lineRule="exact"/>
              <w:rPr>
                <w:rFonts w:cs="宋体" w:asciiTheme="minorEastAsia" w:hAnsiTheme="minorEastAsia" w:eastAsiaTheme="minorEastAsia"/>
                <w:color w:val="auto"/>
                <w:kern w:val="0"/>
                <w:sz w:val="15"/>
                <w:szCs w:val="15"/>
                <w:highlight w:val="none"/>
              </w:rPr>
            </w:pPr>
          </w:p>
        </w:tc>
      </w:tr>
      <w:tr w14:paraId="5A801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87" w:hRule="atLeast"/>
          <w:jc w:val="center"/>
        </w:trPr>
        <w:tc>
          <w:tcPr>
            <w:tcW w:w="610" w:type="dxa"/>
            <w:vMerge w:val="restart"/>
            <w:shd w:val="clear" w:color="auto" w:fill="auto"/>
            <w:vAlign w:val="center"/>
          </w:tcPr>
          <w:p w14:paraId="73D407F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vMerge w:val="restart"/>
            <w:shd w:val="clear" w:color="auto" w:fill="auto"/>
            <w:vAlign w:val="center"/>
          </w:tcPr>
          <w:p w14:paraId="5EF945A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实施其</w:t>
            </w:r>
            <w:r>
              <w:rPr>
                <w:rFonts w:hint="eastAsia" w:cs="宋体" w:asciiTheme="minorEastAsia" w:hAnsiTheme="minorEastAsia" w:eastAsiaTheme="minorEastAsia"/>
                <w:color w:val="auto"/>
                <w:kern w:val="0"/>
                <w:sz w:val="15"/>
                <w:szCs w:val="15"/>
                <w:highlight w:val="none"/>
                <w:shd w:val="clear"/>
                <w:lang w:eastAsia="zh-CN"/>
              </w:rPr>
              <w:t>他</w:t>
            </w:r>
            <w:r>
              <w:rPr>
                <w:rFonts w:hint="eastAsia" w:cs="宋体" w:asciiTheme="minorEastAsia" w:hAnsiTheme="minorEastAsia" w:eastAsiaTheme="minorEastAsia"/>
                <w:color w:val="auto"/>
                <w:kern w:val="0"/>
                <w:sz w:val="15"/>
                <w:szCs w:val="15"/>
                <w:highlight w:val="none"/>
              </w:rPr>
              <w:t>损害绿化成果及绿化设施的行为</w:t>
            </w:r>
          </w:p>
        </w:tc>
        <w:tc>
          <w:tcPr>
            <w:tcW w:w="2789" w:type="dxa"/>
            <w:gridSpan w:val="2"/>
            <w:vMerge w:val="restart"/>
            <w:shd w:val="clear" w:color="auto" w:fill="auto"/>
            <w:vAlign w:val="center"/>
          </w:tcPr>
          <w:p w14:paraId="7323D8E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shd w:val="clear" w:color="auto" w:fill="auto"/>
            <w:vAlign w:val="center"/>
          </w:tcPr>
          <w:p w14:paraId="370967C7">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1827D4ED">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42B18515">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3E0919E">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19CB5BC1">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14:paraId="50D94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85" w:hRule="atLeast"/>
          <w:jc w:val="center"/>
        </w:trPr>
        <w:tc>
          <w:tcPr>
            <w:tcW w:w="610" w:type="dxa"/>
            <w:vMerge w:val="continue"/>
            <w:shd w:val="clear" w:color="auto" w:fill="auto"/>
            <w:vAlign w:val="center"/>
          </w:tcPr>
          <w:p w14:paraId="707B061E">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3A3BEA56">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3AC1C0CC">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E906C2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21E6D84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47520C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造成树木、绿地或绿化设施损毁严重的，系数9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063C567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26F93BF">
            <w:pPr>
              <w:spacing w:line="232" w:lineRule="exact"/>
              <w:rPr>
                <w:rFonts w:cs="宋体" w:asciiTheme="minorEastAsia" w:hAnsiTheme="minorEastAsia" w:eastAsiaTheme="minorEastAsia"/>
                <w:color w:val="auto"/>
                <w:kern w:val="0"/>
                <w:sz w:val="15"/>
                <w:szCs w:val="15"/>
                <w:highlight w:val="none"/>
              </w:rPr>
            </w:pPr>
          </w:p>
        </w:tc>
      </w:tr>
      <w:tr w14:paraId="48057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48" w:hRule="atLeast"/>
          <w:jc w:val="center"/>
        </w:trPr>
        <w:tc>
          <w:tcPr>
            <w:tcW w:w="610" w:type="dxa"/>
            <w:shd w:val="clear" w:color="auto" w:fill="auto"/>
            <w:vAlign w:val="center"/>
          </w:tcPr>
          <w:p w14:paraId="34443A7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14:paraId="6CA4461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未经许可擅自改变绿地性质和用途</w:t>
            </w:r>
          </w:p>
        </w:tc>
        <w:tc>
          <w:tcPr>
            <w:tcW w:w="2789" w:type="dxa"/>
            <w:gridSpan w:val="2"/>
            <w:shd w:val="clear" w:color="auto" w:fill="auto"/>
            <w:vAlign w:val="center"/>
          </w:tcPr>
          <w:p w14:paraId="1DFF776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违反条款：第五十七条；处罚条款：第六十八条责令限期改正、恢复原状，并按照改变的面积处每平方米300元以上3000元以下罚款</w:t>
            </w:r>
            <w:r>
              <w:rPr>
                <w:rFonts w:cs="宋体" w:asciiTheme="minorEastAsia" w:hAnsiTheme="minorEastAsia" w:eastAsiaTheme="minorEastAsia"/>
                <w:color w:val="auto"/>
                <w:kern w:val="0"/>
                <w:sz w:val="15"/>
                <w:szCs w:val="15"/>
                <w:highlight w:val="none"/>
              </w:rPr>
              <w:t>。</w:t>
            </w:r>
          </w:p>
        </w:tc>
        <w:tc>
          <w:tcPr>
            <w:tcW w:w="851" w:type="dxa"/>
            <w:shd w:val="clear" w:color="auto" w:fill="auto"/>
            <w:vAlign w:val="center"/>
          </w:tcPr>
          <w:p w14:paraId="2829F96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14:paraId="65AB619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A15BC3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1.擅自改变公共绿地性质和用途的，系数5-9；主动改正违法行为或者减轻违法后果的，系数1-4。2.改变</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绿地的，系数1-4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3.存在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情节严重或者社会影响恶劣的情形，系数5-9。</w:t>
            </w:r>
          </w:p>
        </w:tc>
        <w:tc>
          <w:tcPr>
            <w:tcW w:w="1875" w:type="dxa"/>
            <w:gridSpan w:val="2"/>
            <w:shd w:val="clear" w:color="auto" w:fill="auto"/>
            <w:vAlign w:val="center"/>
          </w:tcPr>
          <w:p w14:paraId="6569F7C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BAB99F6">
            <w:pPr>
              <w:spacing w:line="232" w:lineRule="exact"/>
              <w:rPr>
                <w:rFonts w:cs="宋体" w:asciiTheme="minorEastAsia" w:hAnsiTheme="minorEastAsia" w:eastAsiaTheme="minorEastAsia"/>
                <w:b/>
                <w:color w:val="auto"/>
                <w:kern w:val="0"/>
                <w:sz w:val="15"/>
                <w:szCs w:val="15"/>
                <w:highlight w:val="none"/>
              </w:rPr>
            </w:pPr>
          </w:p>
        </w:tc>
      </w:tr>
      <w:tr w14:paraId="328E3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63" w:hRule="atLeast"/>
          <w:jc w:val="center"/>
        </w:trPr>
        <w:tc>
          <w:tcPr>
            <w:tcW w:w="610" w:type="dxa"/>
            <w:shd w:val="clear" w:color="auto" w:fill="auto"/>
            <w:vAlign w:val="center"/>
          </w:tcPr>
          <w:p w14:paraId="7266D7B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14:paraId="7BDA06F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未按规定移植树木</w:t>
            </w:r>
          </w:p>
        </w:tc>
        <w:tc>
          <w:tcPr>
            <w:tcW w:w="2789" w:type="dxa"/>
            <w:gridSpan w:val="2"/>
            <w:shd w:val="clear" w:color="auto" w:fill="auto"/>
            <w:vAlign w:val="center"/>
          </w:tcPr>
          <w:p w14:paraId="2C477CD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shd w:val="clear" w:color="auto" w:fill="auto"/>
            <w:vAlign w:val="center"/>
          </w:tcPr>
          <w:p w14:paraId="2203783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14:paraId="46C5E52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3426" w:type="dxa"/>
            <w:shd w:val="clear" w:color="auto" w:fill="auto"/>
            <w:vAlign w:val="center"/>
          </w:tcPr>
          <w:p w14:paraId="71D5CEE9">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407CEAF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罚款数额＝树木价值×（3＋</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383BFEF7">
            <w:pPr>
              <w:spacing w:line="232" w:lineRule="exact"/>
              <w:rPr>
                <w:rFonts w:cs="宋体" w:asciiTheme="minorEastAsia" w:hAnsiTheme="minorEastAsia" w:eastAsiaTheme="minorEastAsia"/>
                <w:color w:val="auto"/>
                <w:kern w:val="0"/>
                <w:sz w:val="15"/>
                <w:szCs w:val="15"/>
                <w:highlight w:val="none"/>
              </w:rPr>
            </w:pPr>
          </w:p>
        </w:tc>
      </w:tr>
      <w:tr w14:paraId="76A1B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44" w:hRule="atLeast"/>
          <w:jc w:val="center"/>
        </w:trPr>
        <w:tc>
          <w:tcPr>
            <w:tcW w:w="610" w:type="dxa"/>
            <w:shd w:val="clear" w:color="auto" w:fill="auto"/>
            <w:vAlign w:val="center"/>
          </w:tcPr>
          <w:p w14:paraId="717EDAA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14:paraId="18518EB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未按规定砍伐树木</w:t>
            </w:r>
          </w:p>
        </w:tc>
        <w:tc>
          <w:tcPr>
            <w:tcW w:w="2789" w:type="dxa"/>
            <w:gridSpan w:val="2"/>
            <w:shd w:val="clear" w:color="auto" w:fill="auto"/>
            <w:vAlign w:val="center"/>
          </w:tcPr>
          <w:p w14:paraId="638F43D4">
            <w:pPr>
              <w:spacing w:line="232"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shd w:val="clear" w:color="auto" w:fill="auto"/>
            <w:vAlign w:val="center"/>
          </w:tcPr>
          <w:p w14:paraId="569979E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14:paraId="05F7936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3426" w:type="dxa"/>
            <w:shd w:val="clear" w:color="auto" w:fill="auto"/>
            <w:vAlign w:val="center"/>
          </w:tcPr>
          <w:p w14:paraId="565AEBD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违反规定截除（擅自砍伐）第五十九条第一款四种情形之外树木主干、去除树冠的，系数 1-</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023F359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BB2CEB1">
            <w:pPr>
              <w:spacing w:line="232" w:lineRule="exact"/>
              <w:rPr>
                <w:rFonts w:cs="宋体" w:asciiTheme="minorEastAsia" w:hAnsiTheme="minorEastAsia" w:eastAsiaTheme="minorEastAsia"/>
                <w:color w:val="auto"/>
                <w:kern w:val="0"/>
                <w:sz w:val="15"/>
                <w:szCs w:val="15"/>
                <w:highlight w:val="none"/>
              </w:rPr>
            </w:pPr>
          </w:p>
        </w:tc>
      </w:tr>
      <w:tr w14:paraId="437B9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38" w:hRule="atLeast"/>
          <w:jc w:val="center"/>
        </w:trPr>
        <w:tc>
          <w:tcPr>
            <w:tcW w:w="610" w:type="dxa"/>
            <w:shd w:val="clear" w:color="auto" w:fill="auto"/>
            <w:vAlign w:val="center"/>
          </w:tcPr>
          <w:p w14:paraId="12551FE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14:paraId="28519E1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违反规定截除树木主干、去除树冠</w:t>
            </w:r>
          </w:p>
        </w:tc>
        <w:tc>
          <w:tcPr>
            <w:tcW w:w="2789" w:type="dxa"/>
            <w:gridSpan w:val="2"/>
            <w:shd w:val="clear" w:color="auto" w:fill="auto"/>
            <w:vAlign w:val="center"/>
          </w:tcPr>
          <w:p w14:paraId="3D5523DB">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第五十条第（六）项；</w:t>
            </w:r>
          </w:p>
          <w:p w14:paraId="180B5A6F">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第七十条第一款、第二款  责令停止违法行为，并在规定地点补种砍伐株数10倍的树木，处所砍伐树木价值5至10倍的罚款。</w:t>
            </w:r>
          </w:p>
        </w:tc>
        <w:tc>
          <w:tcPr>
            <w:tcW w:w="851" w:type="dxa"/>
            <w:shd w:val="clear" w:color="auto" w:fill="auto"/>
            <w:vAlign w:val="center"/>
          </w:tcPr>
          <w:p w14:paraId="2E6891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14:paraId="6C9148C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3426" w:type="dxa"/>
            <w:shd w:val="clear" w:color="auto" w:fill="auto"/>
            <w:vAlign w:val="center"/>
          </w:tcPr>
          <w:p w14:paraId="6884BA6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违反规定截除（擅自砍伐）第五十九条第一款四种情形之外树木主干、去除树冠的，系数1-</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1F1B556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DF7C9B1">
            <w:pPr>
              <w:spacing w:line="232" w:lineRule="exact"/>
              <w:rPr>
                <w:rFonts w:cs="宋体" w:asciiTheme="minorEastAsia" w:hAnsiTheme="minorEastAsia" w:eastAsiaTheme="minorEastAsia"/>
                <w:color w:val="auto"/>
                <w:kern w:val="0"/>
                <w:sz w:val="15"/>
                <w:szCs w:val="15"/>
                <w:highlight w:val="none"/>
              </w:rPr>
            </w:pPr>
          </w:p>
        </w:tc>
      </w:tr>
      <w:tr w14:paraId="0A312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07" w:hRule="atLeast"/>
          <w:jc w:val="center"/>
        </w:trPr>
        <w:tc>
          <w:tcPr>
            <w:tcW w:w="610" w:type="dxa"/>
            <w:shd w:val="clear" w:color="auto" w:fill="auto"/>
            <w:vAlign w:val="center"/>
          </w:tcPr>
          <w:p w14:paraId="301BD87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2F083A93">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未经许可临时占用绿地</w:t>
            </w:r>
          </w:p>
        </w:tc>
        <w:tc>
          <w:tcPr>
            <w:tcW w:w="2789" w:type="dxa"/>
            <w:gridSpan w:val="2"/>
            <w:shd w:val="clear" w:color="auto" w:fill="auto"/>
            <w:vAlign w:val="center"/>
          </w:tcPr>
          <w:p w14:paraId="5CD65FD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w:t>
            </w:r>
          </w:p>
          <w:p w14:paraId="73D72664">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处罚条款：第六十八条 责令限期改正、恢复原状，并按照改变的面积处每平方米300元以上3000元以下罚款。</w:t>
            </w:r>
          </w:p>
        </w:tc>
        <w:tc>
          <w:tcPr>
            <w:tcW w:w="851" w:type="dxa"/>
            <w:shd w:val="clear" w:color="auto" w:fill="auto"/>
            <w:vAlign w:val="center"/>
          </w:tcPr>
          <w:p w14:paraId="5EFC408E">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14:paraId="728E6CC2">
            <w:pPr>
              <w:spacing w:line="21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258422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1.临时占用公共绿地的，系数5-9；主动改正违法行为或者减轻违法后果的，系数1-4。2.临时占用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绿地的，系数1-4；3.存在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情节严重或者社会影响恶劣的情形，系数5-9。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DB3D931">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12408028">
            <w:pPr>
              <w:spacing w:line="212" w:lineRule="exact"/>
              <w:rPr>
                <w:rFonts w:cs="宋体" w:asciiTheme="minorEastAsia" w:hAnsiTheme="minorEastAsia" w:eastAsiaTheme="minorEastAsia"/>
                <w:b/>
                <w:color w:val="auto"/>
                <w:kern w:val="0"/>
                <w:sz w:val="15"/>
                <w:szCs w:val="15"/>
                <w:highlight w:val="none"/>
              </w:rPr>
            </w:pPr>
          </w:p>
        </w:tc>
      </w:tr>
      <w:tr w14:paraId="7A561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61" w:hRule="atLeast"/>
          <w:jc w:val="center"/>
        </w:trPr>
        <w:tc>
          <w:tcPr>
            <w:tcW w:w="610" w:type="dxa"/>
            <w:shd w:val="clear" w:color="auto" w:fill="auto"/>
            <w:vAlign w:val="center"/>
          </w:tcPr>
          <w:p w14:paraId="26954A9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14:paraId="363BB731">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未将代征绿地交绿化主管部门组织绿化</w:t>
            </w:r>
          </w:p>
        </w:tc>
        <w:tc>
          <w:tcPr>
            <w:tcW w:w="2789" w:type="dxa"/>
            <w:gridSpan w:val="2"/>
            <w:shd w:val="clear" w:color="auto" w:fill="auto"/>
            <w:vAlign w:val="center"/>
          </w:tcPr>
          <w:p w14:paraId="6026960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w:t>
            </w:r>
          </w:p>
          <w:p w14:paraId="3E07E274">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处罚条款：第七十一条 责令限期交回，并处每日每平方米0.5元的罚款。</w:t>
            </w:r>
          </w:p>
        </w:tc>
        <w:tc>
          <w:tcPr>
            <w:tcW w:w="851" w:type="dxa"/>
            <w:shd w:val="clear" w:color="auto" w:fill="auto"/>
            <w:vAlign w:val="center"/>
          </w:tcPr>
          <w:p w14:paraId="7B2F59B4">
            <w:pPr>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6263E690">
            <w:pPr>
              <w:spacing w:line="21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4914F8CA">
            <w:pPr>
              <w:spacing w:line="21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205E85FB">
            <w:pPr>
              <w:spacing w:line="21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66AF6AB5">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按规定计算罚款额度。</w:t>
            </w:r>
          </w:p>
        </w:tc>
      </w:tr>
      <w:tr w14:paraId="6EC02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81" w:hRule="atLeast"/>
          <w:jc w:val="center"/>
        </w:trPr>
        <w:tc>
          <w:tcPr>
            <w:tcW w:w="14203" w:type="dxa"/>
            <w:gridSpan w:val="13"/>
            <w:shd w:val="clear" w:color="auto" w:fill="auto"/>
            <w:vAlign w:val="center"/>
          </w:tcPr>
          <w:p w14:paraId="72EDD0AA">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6" w:name="_Toc177791596"/>
            <w:bookmarkStart w:id="97" w:name="_Toc110851468"/>
            <w:bookmarkStart w:id="98" w:name="_Toc2062926093"/>
            <w:r>
              <w:rPr>
                <w:rFonts w:hint="eastAsia" w:asciiTheme="minorEastAsia" w:hAnsiTheme="minorEastAsia" w:eastAsiaTheme="minorEastAsia"/>
                <w:color w:val="auto"/>
                <w:sz w:val="21"/>
                <w:szCs w:val="21"/>
                <w:highlight w:val="none"/>
              </w:rPr>
              <w:t>《北京市物业</w:t>
            </w:r>
            <w:r>
              <w:rPr>
                <w:rFonts w:asciiTheme="minorEastAsia" w:hAnsiTheme="minorEastAsia" w:eastAsiaTheme="minorEastAsia"/>
                <w:color w:val="auto"/>
                <w:sz w:val="21"/>
                <w:szCs w:val="21"/>
                <w:highlight w:val="none"/>
              </w:rPr>
              <w:t>管理条例</w:t>
            </w:r>
            <w:r>
              <w:rPr>
                <w:rFonts w:hint="eastAsia" w:asciiTheme="minorEastAsia" w:hAnsiTheme="minorEastAsia" w:eastAsiaTheme="minorEastAsia"/>
                <w:color w:val="auto"/>
                <w:sz w:val="21"/>
                <w:szCs w:val="21"/>
                <w:highlight w:val="none"/>
              </w:rPr>
              <w:t>》案由1项</w:t>
            </w:r>
            <w:bookmarkEnd w:id="96"/>
            <w:bookmarkEnd w:id="97"/>
            <w:bookmarkEnd w:id="98"/>
          </w:p>
        </w:tc>
      </w:tr>
      <w:tr w14:paraId="4A3C4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3" w:hRule="atLeast"/>
          <w:jc w:val="center"/>
        </w:trPr>
        <w:tc>
          <w:tcPr>
            <w:tcW w:w="610" w:type="dxa"/>
            <w:shd w:val="clear" w:color="auto" w:fill="auto"/>
            <w:vAlign w:val="center"/>
          </w:tcPr>
          <w:p w14:paraId="43E2596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shd w:val="clear" w:color="auto" w:fill="auto"/>
            <w:vAlign w:val="center"/>
          </w:tcPr>
          <w:p w14:paraId="59675AF9">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侵占绿地、毁坏绿化植物和绿化设施</w:t>
            </w:r>
          </w:p>
        </w:tc>
        <w:tc>
          <w:tcPr>
            <w:tcW w:w="2789" w:type="dxa"/>
            <w:gridSpan w:val="2"/>
            <w:shd w:val="clear" w:color="auto" w:fill="auto"/>
            <w:vAlign w:val="center"/>
          </w:tcPr>
          <w:p w14:paraId="48BBA85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违反条款：第七十八条第二款第(九)项。</w:t>
            </w:r>
          </w:p>
          <w:p w14:paraId="70FB3C28">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处罚条款：第九十八条第（九）项，责令改正，拒不改正的，处五百元以上五千元以下的罚款。</w:t>
            </w:r>
          </w:p>
        </w:tc>
        <w:tc>
          <w:tcPr>
            <w:tcW w:w="851" w:type="dxa"/>
            <w:shd w:val="clear" w:color="auto" w:fill="auto"/>
            <w:vAlign w:val="center"/>
          </w:tcPr>
          <w:p w14:paraId="5F39D294">
            <w:pPr>
              <w:spacing w:line="212" w:lineRule="exact"/>
              <w:ind w:firstLine="225" w:firstLine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5A4430E4">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197BE368">
            <w:pPr>
              <w:numPr>
                <w:ilvl w:val="0"/>
                <w:numId w:val="0"/>
              </w:num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造成绿化</w:t>
            </w:r>
            <w:r>
              <w:rPr>
                <w:rFonts w:asciiTheme="minorEastAsia" w:hAnsiTheme="minorEastAsia" w:eastAsiaTheme="minorEastAsia"/>
                <w:color w:val="auto"/>
                <w:sz w:val="15"/>
                <w:szCs w:val="15"/>
                <w:highlight w:val="none"/>
              </w:rPr>
              <w:t>植物</w:t>
            </w:r>
            <w:r>
              <w:rPr>
                <w:rFonts w:hint="eastAsia" w:asciiTheme="minorEastAsia" w:hAnsiTheme="minorEastAsia" w:eastAsiaTheme="minorEastAsia"/>
                <w:color w:val="auto"/>
                <w:sz w:val="15"/>
                <w:szCs w:val="15"/>
                <w:highlight w:val="none"/>
              </w:rPr>
              <w:t>、绿地或绿化设施损毁严重的，系数9。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82AB782">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28197DF2">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经责令改正后，当事人主动改正违法行为，不予处罚</w:t>
            </w:r>
            <w:r>
              <w:rPr>
                <w:rFonts w:hint="eastAsia" w:asciiTheme="minorEastAsia" w:hAnsiTheme="minorEastAsia" w:eastAsiaTheme="minorEastAsia"/>
                <w:strike w:val="0"/>
                <w:dstrike w:val="0"/>
                <w:color w:val="auto"/>
                <w:sz w:val="15"/>
                <w:szCs w:val="15"/>
                <w:highlight w:val="none"/>
                <w:lang w:eastAsia="zh-CN"/>
              </w:rPr>
              <w:t>。</w:t>
            </w:r>
          </w:p>
        </w:tc>
      </w:tr>
      <w:tr w14:paraId="52791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40" w:hRule="atLeast"/>
          <w:jc w:val="center"/>
        </w:trPr>
        <w:tc>
          <w:tcPr>
            <w:tcW w:w="14203" w:type="dxa"/>
            <w:gridSpan w:val="13"/>
            <w:shd w:val="clear" w:color="auto" w:fill="auto"/>
            <w:vAlign w:val="center"/>
          </w:tcPr>
          <w:p w14:paraId="12D2B7AC">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9" w:name="_Toc1576301640"/>
            <w:bookmarkStart w:id="100" w:name="_Toc110851469"/>
            <w:bookmarkStart w:id="101" w:name="_Toc87632220"/>
            <w:bookmarkStart w:id="102" w:name="_Toc1446129084"/>
            <w:r>
              <w:rPr>
                <w:rFonts w:hint="eastAsia" w:cs="宋体" w:asciiTheme="minorEastAsia" w:hAnsiTheme="minorEastAsia" w:eastAsiaTheme="minorEastAsia"/>
                <w:color w:val="auto"/>
                <w:sz w:val="21"/>
                <w:szCs w:val="21"/>
                <w:highlight w:val="none"/>
              </w:rPr>
              <w:t>《古树名木保护条例》案由11项</w:t>
            </w:r>
            <w:bookmarkEnd w:id="99"/>
            <w:bookmarkEnd w:id="100"/>
            <w:bookmarkEnd w:id="101"/>
            <w:bookmarkEnd w:id="102"/>
          </w:p>
        </w:tc>
      </w:tr>
      <w:tr w14:paraId="59762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47" w:hRule="atLeast"/>
          <w:jc w:val="center"/>
        </w:trPr>
        <w:tc>
          <w:tcPr>
            <w:tcW w:w="610" w:type="dxa"/>
            <w:vMerge w:val="restart"/>
            <w:noWrap w:val="0"/>
            <w:vAlign w:val="center"/>
          </w:tcPr>
          <w:p w14:paraId="3A1C93D0">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30" w:type="dxa"/>
            <w:gridSpan w:val="3"/>
            <w:vMerge w:val="restart"/>
            <w:noWrap w:val="0"/>
            <w:vAlign w:val="center"/>
          </w:tcPr>
          <w:p w14:paraId="5C7363F9">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w:t>
            </w:r>
            <w:r>
              <w:rPr>
                <w:rFonts w:hint="eastAsia" w:ascii="宋体" w:hAnsi="宋体" w:eastAsia="宋体" w:cs="宋体"/>
                <w:color w:val="auto"/>
                <w:kern w:val="0"/>
                <w:sz w:val="15"/>
                <w:szCs w:val="15"/>
                <w:highlight w:val="none"/>
                <w:lang w:eastAsia="zh-CN"/>
              </w:rPr>
              <w:t>移植古树名木</w:t>
            </w:r>
          </w:p>
        </w:tc>
        <w:tc>
          <w:tcPr>
            <w:tcW w:w="2789" w:type="dxa"/>
            <w:gridSpan w:val="2"/>
            <w:vMerge w:val="restart"/>
            <w:noWrap w:val="0"/>
            <w:vAlign w:val="center"/>
          </w:tcPr>
          <w:p w14:paraId="45BDDA4A">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eastAsia="宋体" w:cs="宋体"/>
                <w:color w:val="auto"/>
                <w:kern w:val="0"/>
                <w:sz w:val="15"/>
                <w:szCs w:val="15"/>
                <w:highlight w:val="none"/>
                <w:lang w:eastAsia="zh-CN"/>
              </w:rPr>
              <w:t>十五</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p>
          <w:p w14:paraId="32475396">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14:paraId="1495EE1C">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14:paraId="4B66DA53">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14:paraId="5FE781B0">
            <w:pPr>
              <w:spacing w:line="232" w:lineRule="exact"/>
              <w:ind w:firstLine="300" w:firstLineChars="200"/>
              <w:rPr>
                <w:rFonts w:ascii="宋体" w:hAnsi="宋体" w:eastAsia="宋体"/>
                <w:color w:val="auto"/>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14:paraId="4F6A9021">
            <w:pPr>
              <w:spacing w:line="232" w:lineRule="exact"/>
              <w:jc w:val="center"/>
              <w:rPr>
                <w:rFonts w:hint="default" w:ascii="宋体" w:hAnsi="宋体" w:eastAsia="宋体" w:cs="宋体"/>
                <w:color w:val="auto"/>
                <w:kern w:val="0"/>
                <w:sz w:val="15"/>
                <w:szCs w:val="15"/>
                <w:highlight w:val="none"/>
                <w:lang w:val="en-US"/>
              </w:rPr>
            </w:pPr>
            <w:r>
              <w:rPr>
                <w:rFonts w:hint="default" w:ascii="宋体" w:hAnsi="宋体" w:cs="宋体"/>
                <w:color w:val="auto"/>
                <w:kern w:val="0"/>
                <w:sz w:val="15"/>
                <w:szCs w:val="15"/>
                <w:highlight w:val="none"/>
                <w:lang w:val="en-US"/>
              </w:rPr>
              <w:t>500000</w:t>
            </w:r>
          </w:p>
        </w:tc>
        <w:tc>
          <w:tcPr>
            <w:tcW w:w="840" w:type="dxa"/>
            <w:noWrap w:val="0"/>
            <w:vAlign w:val="center"/>
          </w:tcPr>
          <w:p w14:paraId="52721579">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6AC2A281">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1.未按照批准的移植和养护方案执行的，系数0-0.2。2.制定相应移植和养护方案但未经审核批准的，系数0.3-0.</w:t>
            </w:r>
            <w:r>
              <w:rPr>
                <w:rFonts w:hint="default" w:ascii="宋体" w:hAnsi="宋体" w:cs="宋体"/>
                <w:color w:val="auto"/>
                <w:kern w:val="0"/>
                <w:sz w:val="15"/>
                <w:szCs w:val="15"/>
                <w:highlight w:val="none"/>
                <w:lang w:val="en-US" w:eastAsia="zh-CN"/>
              </w:rPr>
              <w:t>5</w:t>
            </w:r>
            <w:r>
              <w:rPr>
                <w:rFonts w:hint="eastAsia" w:ascii="宋体" w:hAnsi="宋体" w:cs="宋体"/>
                <w:color w:val="auto"/>
                <w:kern w:val="0"/>
                <w:sz w:val="15"/>
                <w:szCs w:val="15"/>
                <w:highlight w:val="none"/>
                <w:lang w:val="en-US" w:eastAsia="zh-CN"/>
              </w:rPr>
              <w:t>。3.未制定移植和养护方案的，系数0.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-0.</w:t>
            </w:r>
            <w:r>
              <w:rPr>
                <w:rFonts w:hint="default" w:ascii="宋体" w:hAnsi="宋体" w:cs="宋体"/>
                <w:color w:val="auto"/>
                <w:kern w:val="0"/>
                <w:sz w:val="15"/>
                <w:szCs w:val="15"/>
                <w:highlight w:val="none"/>
                <w:lang w:val="en-US" w:eastAsia="zh-CN"/>
              </w:rPr>
              <w:t>8</w:t>
            </w:r>
            <w:r>
              <w:rPr>
                <w:rFonts w:hint="eastAsia" w:ascii="宋体" w:hAnsi="宋体" w:cs="宋体"/>
                <w:color w:val="auto"/>
                <w:kern w:val="0"/>
                <w:sz w:val="15"/>
                <w:szCs w:val="15"/>
                <w:highlight w:val="none"/>
                <w:lang w:val="en-US" w:eastAsia="zh-CN"/>
              </w:rPr>
              <w:t>。4.造成古树名木死亡的，系数1。</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6DF24140">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14:paraId="58EB3A41">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r>
      <w:tr w14:paraId="7BF2A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74" w:hRule="atLeast"/>
          <w:jc w:val="center"/>
        </w:trPr>
        <w:tc>
          <w:tcPr>
            <w:tcW w:w="610" w:type="dxa"/>
            <w:vMerge w:val="continue"/>
            <w:noWrap w:val="0"/>
            <w:vAlign w:val="center"/>
          </w:tcPr>
          <w:p w14:paraId="2F27106D">
            <w:pPr>
              <w:spacing w:line="232" w:lineRule="exact"/>
              <w:jc w:val="center"/>
              <w:rPr>
                <w:rFonts w:hint="eastAsia" w:ascii="宋体" w:hAnsi="宋体" w:eastAsia="宋体" w:cs="宋体"/>
                <w:color w:val="auto"/>
                <w:kern w:val="0"/>
                <w:sz w:val="15"/>
                <w:szCs w:val="15"/>
                <w:highlight w:val="none"/>
              </w:rPr>
            </w:pPr>
          </w:p>
        </w:tc>
        <w:tc>
          <w:tcPr>
            <w:tcW w:w="1830" w:type="dxa"/>
            <w:gridSpan w:val="3"/>
            <w:vMerge w:val="continue"/>
            <w:noWrap w:val="0"/>
            <w:vAlign w:val="center"/>
          </w:tcPr>
          <w:p w14:paraId="23F034A3">
            <w:pPr>
              <w:spacing w:line="232" w:lineRule="exact"/>
              <w:rPr>
                <w:rFonts w:hint="eastAsia" w:ascii="宋体" w:hAnsi="宋体" w:eastAsia="宋体" w:cs="宋体"/>
                <w:color w:val="auto"/>
                <w:kern w:val="0"/>
                <w:sz w:val="15"/>
                <w:szCs w:val="15"/>
                <w:highlight w:val="none"/>
              </w:rPr>
            </w:pPr>
          </w:p>
        </w:tc>
        <w:tc>
          <w:tcPr>
            <w:tcW w:w="2789" w:type="dxa"/>
            <w:gridSpan w:val="2"/>
            <w:vMerge w:val="continue"/>
            <w:noWrap w:val="0"/>
            <w:vAlign w:val="center"/>
          </w:tcPr>
          <w:p w14:paraId="698C449E">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14:paraId="2A76CD57">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14:paraId="023BBE5E">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56E2AEF3">
            <w:pPr>
              <w:numPr>
                <w:ilvl w:val="0"/>
                <w:numId w:val="0"/>
              </w:numPr>
              <w:spacing w:line="232" w:lineRule="exact"/>
              <w:ind w:left="0" w:leftChars="0" w:firstLine="0" w:firstLineChars="0"/>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1.未按照批准的移植和养护方案执行的，系数0-0.3。2.制定相应移植和养护方案但未经审核批准的，系数0.4-0.7。3.未制定移植和养护方案的，系数0.8-1.1。3.造成古树名木死亡的，系数1.5。4</w:t>
            </w:r>
            <w:r>
              <w:rPr>
                <w:rFonts w:hint="eastAsia" w:ascii="宋体" w:hAnsi="宋体" w:eastAsia="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07E22374">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14:paraId="5A7B8F4C">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r>
      <w:tr w14:paraId="016EE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19" w:hRule="atLeast"/>
          <w:jc w:val="center"/>
        </w:trPr>
        <w:tc>
          <w:tcPr>
            <w:tcW w:w="610" w:type="dxa"/>
            <w:vMerge w:val="restart"/>
            <w:noWrap w:val="0"/>
            <w:vAlign w:val="center"/>
          </w:tcPr>
          <w:p w14:paraId="220CE324">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30" w:type="dxa"/>
            <w:gridSpan w:val="3"/>
            <w:vMerge w:val="restart"/>
            <w:noWrap w:val="0"/>
            <w:vAlign w:val="center"/>
          </w:tcPr>
          <w:p w14:paraId="4472B309">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非法采伐古树名木</w:t>
            </w:r>
          </w:p>
        </w:tc>
        <w:tc>
          <w:tcPr>
            <w:tcW w:w="2789" w:type="dxa"/>
            <w:gridSpan w:val="2"/>
            <w:vMerge w:val="restart"/>
            <w:noWrap w:val="0"/>
            <w:vAlign w:val="center"/>
          </w:tcPr>
          <w:p w14:paraId="3C6FDC8C">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十四条</w:t>
            </w:r>
            <w:r>
              <w:rPr>
                <w:rFonts w:hint="eastAsia" w:ascii="宋体" w:hAnsi="宋体" w:cs="宋体"/>
                <w:color w:val="auto"/>
                <w:kern w:val="0"/>
                <w:sz w:val="15"/>
                <w:szCs w:val="15"/>
                <w:highlight w:val="none"/>
                <w:lang w:val="en-US" w:eastAsia="zh-CN"/>
              </w:rPr>
              <w:t>第一款</w:t>
            </w:r>
            <w:r>
              <w:rPr>
                <w:rFonts w:hint="eastAsia" w:ascii="宋体" w:hAnsi="宋体" w:eastAsia="宋体" w:cs="宋体"/>
                <w:color w:val="auto"/>
                <w:kern w:val="0"/>
                <w:sz w:val="15"/>
                <w:szCs w:val="15"/>
                <w:highlight w:val="none"/>
              </w:rPr>
              <w:t>；</w:t>
            </w:r>
          </w:p>
          <w:p w14:paraId="7180DAEB">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14:paraId="19C2AB32">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14:paraId="786F0AC8">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14:paraId="029F96AE">
            <w:pPr>
              <w:spacing w:line="232" w:lineRule="exact"/>
              <w:ind w:firstLine="300" w:firstLineChars="200"/>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14:paraId="5D97CEC0">
            <w:pPr>
              <w:spacing w:line="232" w:lineRule="exact"/>
              <w:jc w:val="center"/>
              <w:rPr>
                <w:rFonts w:ascii="宋体" w:hAnsi="宋体" w:eastAsia="宋体" w:cs="宋体"/>
                <w:color w:val="auto"/>
                <w:kern w:val="0"/>
                <w:sz w:val="15"/>
                <w:szCs w:val="15"/>
                <w:highlight w:val="none"/>
              </w:rPr>
            </w:pPr>
            <w:r>
              <w:rPr>
                <w:rFonts w:hint="default" w:ascii="宋体" w:hAnsi="宋体" w:cs="宋体"/>
                <w:color w:val="auto"/>
                <w:kern w:val="0"/>
                <w:sz w:val="15"/>
                <w:szCs w:val="15"/>
                <w:highlight w:val="none"/>
                <w:lang w:val="en-US"/>
              </w:rPr>
              <w:t>500000</w:t>
            </w:r>
          </w:p>
        </w:tc>
        <w:tc>
          <w:tcPr>
            <w:tcW w:w="840" w:type="dxa"/>
            <w:noWrap w:val="0"/>
            <w:vAlign w:val="center"/>
          </w:tcPr>
          <w:p w14:paraId="1EA3BAFA">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162643AF">
            <w:pPr>
              <w:numPr>
                <w:ilvl w:val="0"/>
                <w:numId w:val="0"/>
              </w:num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树木生长在中心城区和城市副中心或者自然保护区、风景名胜区、森林公园等自然保护区和历史文化街区、风景保护区、历史名园、传统村落、名人故居以及其他文保单位的，系数0.2。2.</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，系数0.2-0.4。3.造成古树名木死亡的，系数1。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11FEC743">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14:paraId="34DEF355">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cs="宋体"/>
                <w:color w:val="auto"/>
                <w:kern w:val="0"/>
                <w:sz w:val="15"/>
                <w:szCs w:val="15"/>
                <w:highlight w:val="none"/>
                <w:lang w:eastAsia="zh-CN"/>
              </w:rPr>
              <w:t>一级保护的古树和名木</w:t>
            </w:r>
            <w:r>
              <w:rPr>
                <w:rFonts w:hint="eastAsia" w:ascii="宋体" w:hAnsi="宋体" w:eastAsia="宋体" w:cs="宋体"/>
                <w:color w:val="auto"/>
                <w:kern w:val="0"/>
                <w:sz w:val="15"/>
                <w:szCs w:val="15"/>
                <w:highlight w:val="none"/>
                <w:lang w:eastAsia="zh-CN"/>
              </w:rPr>
              <w:t>。</w:t>
            </w:r>
          </w:p>
        </w:tc>
      </w:tr>
      <w:tr w14:paraId="2A50D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45" w:hRule="atLeast"/>
          <w:jc w:val="center"/>
        </w:trPr>
        <w:tc>
          <w:tcPr>
            <w:tcW w:w="610" w:type="dxa"/>
            <w:vMerge w:val="continue"/>
            <w:noWrap w:val="0"/>
            <w:vAlign w:val="center"/>
          </w:tcPr>
          <w:p w14:paraId="33F8AE04">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14:paraId="43289188">
            <w:pPr>
              <w:spacing w:line="232" w:lineRule="exact"/>
              <w:jc w:val="center"/>
              <w:rPr>
                <w:rFonts w:ascii="宋体" w:hAnsi="宋体" w:eastAsia="宋体" w:cs="宋体"/>
                <w:color w:val="auto"/>
                <w:kern w:val="0"/>
                <w:sz w:val="15"/>
                <w:szCs w:val="15"/>
                <w:highlight w:val="none"/>
              </w:rPr>
            </w:pPr>
          </w:p>
        </w:tc>
        <w:tc>
          <w:tcPr>
            <w:tcW w:w="2789" w:type="dxa"/>
            <w:gridSpan w:val="2"/>
            <w:vMerge w:val="continue"/>
            <w:noWrap w:val="0"/>
            <w:vAlign w:val="center"/>
          </w:tcPr>
          <w:p w14:paraId="505234FC">
            <w:pPr>
              <w:spacing w:line="232" w:lineRule="exact"/>
              <w:rPr>
                <w:rFonts w:ascii="宋体" w:hAnsi="宋体" w:eastAsia="宋体" w:cs="宋体"/>
                <w:color w:val="auto"/>
                <w:kern w:val="0"/>
                <w:sz w:val="15"/>
                <w:szCs w:val="15"/>
                <w:highlight w:val="none"/>
              </w:rPr>
            </w:pPr>
          </w:p>
        </w:tc>
        <w:tc>
          <w:tcPr>
            <w:tcW w:w="851" w:type="dxa"/>
            <w:noWrap w:val="0"/>
            <w:vAlign w:val="center"/>
          </w:tcPr>
          <w:p w14:paraId="564FAB2E">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200000</w:t>
            </w:r>
          </w:p>
        </w:tc>
        <w:tc>
          <w:tcPr>
            <w:tcW w:w="840" w:type="dxa"/>
            <w:noWrap w:val="0"/>
            <w:vAlign w:val="center"/>
          </w:tcPr>
          <w:p w14:paraId="08C4E2C9">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45544B14">
            <w:pPr>
              <w:numPr>
                <w:ilvl w:val="0"/>
                <w:numId w:val="0"/>
              </w:numPr>
              <w:spacing w:line="232" w:lineRule="exact"/>
              <w:ind w:leftChars="0"/>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。3.造成古树名木死亡的，系数1.5。</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521CD22B">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14:paraId="55E3962B">
            <w:pPr>
              <w:spacing w:line="232" w:lineRule="exact"/>
              <w:rPr>
                <w:rFonts w:hint="eastAsia" w:ascii="宋体" w:hAnsi="宋体" w:eastAsia="宋体"/>
                <w:color w:val="auto"/>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r>
              <w:rPr>
                <w:rFonts w:hint="eastAsia" w:ascii="宋体" w:hAnsi="宋体" w:eastAsia="宋体" w:cs="宋体"/>
                <w:color w:val="auto"/>
                <w:kern w:val="0"/>
                <w:sz w:val="15"/>
                <w:szCs w:val="15"/>
                <w:highlight w:val="none"/>
                <w:lang w:eastAsia="zh-CN"/>
              </w:rPr>
              <w:t>。</w:t>
            </w:r>
          </w:p>
        </w:tc>
      </w:tr>
      <w:tr w14:paraId="6D179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02" w:hRule="atLeast"/>
          <w:jc w:val="center"/>
        </w:trPr>
        <w:tc>
          <w:tcPr>
            <w:tcW w:w="610" w:type="dxa"/>
            <w:vMerge w:val="restart"/>
            <w:noWrap w:val="0"/>
            <w:vAlign w:val="center"/>
          </w:tcPr>
          <w:p w14:paraId="79D7A570">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3</w:t>
            </w:r>
          </w:p>
        </w:tc>
        <w:tc>
          <w:tcPr>
            <w:tcW w:w="1830" w:type="dxa"/>
            <w:gridSpan w:val="3"/>
            <w:vMerge w:val="restart"/>
            <w:noWrap w:val="0"/>
            <w:vAlign w:val="center"/>
          </w:tcPr>
          <w:p w14:paraId="70E2D32A">
            <w:pPr>
              <w:spacing w:line="232" w:lineRule="exact"/>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eastAsia="zh-CN"/>
              </w:rPr>
              <w:t>买卖、运输、加工非法采伐、移植的古树名木（林木</w:t>
            </w:r>
            <w:r>
              <w:rPr>
                <w:rFonts w:hint="eastAsia" w:ascii="宋体" w:hAnsi="宋体" w:cs="宋体"/>
                <w:color w:val="auto"/>
                <w:kern w:val="0"/>
                <w:sz w:val="15"/>
                <w:szCs w:val="15"/>
                <w:highlight w:val="none"/>
                <w:lang w:val="en-US" w:eastAsia="zh-CN"/>
              </w:rPr>
              <w:t>除外</w:t>
            </w:r>
            <w:r>
              <w:rPr>
                <w:rFonts w:hint="eastAsia" w:ascii="宋体" w:hAnsi="宋体" w:cs="宋体"/>
                <w:color w:val="auto"/>
                <w:kern w:val="0"/>
                <w:sz w:val="15"/>
                <w:szCs w:val="15"/>
                <w:highlight w:val="none"/>
                <w:lang w:eastAsia="zh-CN"/>
              </w:rPr>
              <w:t>）</w:t>
            </w:r>
          </w:p>
        </w:tc>
        <w:tc>
          <w:tcPr>
            <w:tcW w:w="2789" w:type="dxa"/>
            <w:gridSpan w:val="2"/>
            <w:vMerge w:val="restart"/>
            <w:noWrap w:val="0"/>
            <w:vAlign w:val="center"/>
          </w:tcPr>
          <w:p w14:paraId="0645587C">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十七条第一</w:t>
            </w:r>
            <w:r>
              <w:rPr>
                <w:rFonts w:hint="eastAsia" w:ascii="宋体" w:hAnsi="宋体" w:eastAsia="宋体" w:cs="宋体"/>
                <w:color w:val="auto"/>
                <w:kern w:val="0"/>
                <w:sz w:val="15"/>
                <w:szCs w:val="15"/>
                <w:highlight w:val="none"/>
              </w:rPr>
              <w:t>项；</w:t>
            </w:r>
          </w:p>
          <w:p w14:paraId="384AF403">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14:paraId="3A0C532F">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0D00C08F">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3CBC065B">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 。2.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2D58B0C4">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14:paraId="2C1D8F53">
            <w:pPr>
              <w:spacing w:line="232" w:lineRule="exact"/>
              <w:rPr>
                <w:rFonts w:hint="eastAsia" w:ascii="宋体" w:hAnsi="宋体" w:eastAsia="宋体" w:cs="宋体"/>
                <w:color w:val="auto"/>
                <w:kern w:val="0"/>
                <w:sz w:val="15"/>
                <w:szCs w:val="15"/>
                <w:highlight w:val="none"/>
                <w:lang w:eastAsia="zh-CN"/>
              </w:rPr>
            </w:pPr>
          </w:p>
        </w:tc>
      </w:tr>
      <w:tr w14:paraId="57B93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5" w:hRule="atLeast"/>
          <w:jc w:val="center"/>
        </w:trPr>
        <w:tc>
          <w:tcPr>
            <w:tcW w:w="610" w:type="dxa"/>
            <w:vMerge w:val="continue"/>
            <w:noWrap w:val="0"/>
            <w:vAlign w:val="center"/>
          </w:tcPr>
          <w:p w14:paraId="0F39A557">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14:paraId="4261BD71">
            <w:pPr>
              <w:spacing w:line="232" w:lineRule="exact"/>
              <w:rPr>
                <w:rFonts w:ascii="宋体" w:hAnsi="宋体" w:eastAsia="宋体"/>
                <w:color w:val="auto"/>
                <w:sz w:val="15"/>
                <w:szCs w:val="15"/>
                <w:highlight w:val="none"/>
              </w:rPr>
            </w:pPr>
          </w:p>
        </w:tc>
        <w:tc>
          <w:tcPr>
            <w:tcW w:w="2789" w:type="dxa"/>
            <w:gridSpan w:val="2"/>
            <w:vMerge w:val="continue"/>
            <w:noWrap w:val="0"/>
            <w:vAlign w:val="center"/>
          </w:tcPr>
          <w:p w14:paraId="396172F5">
            <w:pPr>
              <w:spacing w:line="232" w:lineRule="exact"/>
              <w:rPr>
                <w:rFonts w:ascii="宋体" w:hAnsi="宋体" w:eastAsia="宋体" w:cs="宋体"/>
                <w:color w:val="auto"/>
                <w:kern w:val="0"/>
                <w:sz w:val="15"/>
                <w:szCs w:val="15"/>
                <w:highlight w:val="none"/>
              </w:rPr>
            </w:pPr>
          </w:p>
        </w:tc>
        <w:tc>
          <w:tcPr>
            <w:tcW w:w="851" w:type="dxa"/>
            <w:noWrap w:val="0"/>
            <w:vAlign w:val="center"/>
          </w:tcPr>
          <w:p w14:paraId="05BDEDE8">
            <w:pPr>
              <w:spacing w:line="232" w:lineRule="exact"/>
              <w:jc w:val="center"/>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50000</w:t>
            </w:r>
          </w:p>
        </w:tc>
        <w:tc>
          <w:tcPr>
            <w:tcW w:w="840" w:type="dxa"/>
            <w:noWrap w:val="0"/>
            <w:vAlign w:val="center"/>
          </w:tcPr>
          <w:p w14:paraId="35C24357">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2B2CDB86">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099B70A5">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14:paraId="76BB12DD">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4E9CD3AB">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14:paraId="045B2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28" w:hRule="atLeast"/>
          <w:jc w:val="center"/>
        </w:trPr>
        <w:tc>
          <w:tcPr>
            <w:tcW w:w="610" w:type="dxa"/>
            <w:vMerge w:val="restart"/>
            <w:noWrap w:val="0"/>
            <w:vAlign w:val="center"/>
          </w:tcPr>
          <w:p w14:paraId="787E9055">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30" w:type="dxa"/>
            <w:gridSpan w:val="3"/>
            <w:vMerge w:val="restart"/>
            <w:noWrap w:val="0"/>
            <w:vAlign w:val="center"/>
          </w:tcPr>
          <w:p w14:paraId="516A9A0F">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对古树名木挖根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剥损树皮、过度修剪枝干</w:t>
            </w:r>
          </w:p>
        </w:tc>
        <w:tc>
          <w:tcPr>
            <w:tcW w:w="2789" w:type="dxa"/>
            <w:gridSpan w:val="2"/>
            <w:vMerge w:val="restart"/>
            <w:noWrap w:val="0"/>
            <w:vAlign w:val="center"/>
          </w:tcPr>
          <w:p w14:paraId="3152FFEA">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十七条第二</w:t>
            </w:r>
            <w:r>
              <w:rPr>
                <w:rFonts w:hint="eastAsia" w:ascii="宋体" w:hAnsi="宋体" w:eastAsia="宋体" w:cs="宋体"/>
                <w:color w:val="auto"/>
                <w:kern w:val="0"/>
                <w:sz w:val="15"/>
                <w:szCs w:val="15"/>
                <w:highlight w:val="none"/>
              </w:rPr>
              <w:t>项；</w:t>
            </w:r>
          </w:p>
          <w:p w14:paraId="35BA5F55">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14:paraId="0928093C">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0B22765C">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338C1952">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5BA1196E">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14:paraId="050DCECD">
            <w:pPr>
              <w:spacing w:line="232" w:lineRule="exact"/>
              <w:rPr>
                <w:rFonts w:hint="eastAsia" w:ascii="宋体" w:hAnsi="宋体" w:eastAsia="宋体" w:cs="宋体"/>
                <w:color w:val="auto"/>
                <w:kern w:val="0"/>
                <w:sz w:val="15"/>
                <w:szCs w:val="15"/>
                <w:highlight w:val="none"/>
                <w:lang w:eastAsia="zh-CN"/>
              </w:rPr>
            </w:pPr>
          </w:p>
        </w:tc>
      </w:tr>
      <w:tr w14:paraId="6EC03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6" w:hRule="atLeast"/>
          <w:jc w:val="center"/>
        </w:trPr>
        <w:tc>
          <w:tcPr>
            <w:tcW w:w="610" w:type="dxa"/>
            <w:vMerge w:val="continue"/>
            <w:noWrap w:val="0"/>
            <w:vAlign w:val="center"/>
          </w:tcPr>
          <w:p w14:paraId="7449242F">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14:paraId="47B80A7E">
            <w:pPr>
              <w:spacing w:line="232" w:lineRule="exact"/>
              <w:rPr>
                <w:rFonts w:ascii="宋体" w:hAnsi="宋体" w:eastAsia="宋体"/>
                <w:color w:val="auto"/>
                <w:sz w:val="15"/>
                <w:szCs w:val="15"/>
                <w:highlight w:val="none"/>
              </w:rPr>
            </w:pPr>
          </w:p>
        </w:tc>
        <w:tc>
          <w:tcPr>
            <w:tcW w:w="2789" w:type="dxa"/>
            <w:gridSpan w:val="2"/>
            <w:vMerge w:val="continue"/>
            <w:noWrap w:val="0"/>
            <w:vAlign w:val="center"/>
          </w:tcPr>
          <w:p w14:paraId="6BE10289">
            <w:pPr>
              <w:spacing w:line="232" w:lineRule="exact"/>
              <w:rPr>
                <w:rFonts w:ascii="宋体" w:hAnsi="宋体" w:eastAsia="宋体"/>
                <w:color w:val="auto"/>
                <w:sz w:val="15"/>
                <w:szCs w:val="15"/>
                <w:highlight w:val="none"/>
              </w:rPr>
            </w:pPr>
          </w:p>
        </w:tc>
        <w:tc>
          <w:tcPr>
            <w:tcW w:w="851" w:type="dxa"/>
            <w:noWrap w:val="0"/>
            <w:vAlign w:val="center"/>
          </w:tcPr>
          <w:p w14:paraId="11FB3916">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14:paraId="43E59331">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7193AD45">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 xml:space="preserve"> 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4FCA39F4">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14:paraId="54A0EF61">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122C1143">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14:paraId="40ACA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02" w:hRule="atLeast"/>
          <w:jc w:val="center"/>
        </w:trPr>
        <w:tc>
          <w:tcPr>
            <w:tcW w:w="610" w:type="dxa"/>
            <w:vMerge w:val="restart"/>
            <w:noWrap w:val="0"/>
            <w:vAlign w:val="center"/>
          </w:tcPr>
          <w:p w14:paraId="2A56DC64">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5</w:t>
            </w:r>
          </w:p>
        </w:tc>
        <w:tc>
          <w:tcPr>
            <w:tcW w:w="1830" w:type="dxa"/>
            <w:gridSpan w:val="3"/>
            <w:vMerge w:val="restart"/>
            <w:noWrap w:val="0"/>
            <w:vAlign w:val="center"/>
          </w:tcPr>
          <w:p w14:paraId="5436F5D8">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向古树名木灌注有毒有害物质</w:t>
            </w:r>
          </w:p>
        </w:tc>
        <w:tc>
          <w:tcPr>
            <w:tcW w:w="2789" w:type="dxa"/>
            <w:gridSpan w:val="2"/>
            <w:vMerge w:val="restart"/>
            <w:noWrap w:val="0"/>
            <w:vAlign w:val="center"/>
          </w:tcPr>
          <w:p w14:paraId="71BCF82E">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十七条第三</w:t>
            </w:r>
            <w:r>
              <w:rPr>
                <w:rFonts w:hint="eastAsia" w:ascii="宋体" w:hAnsi="宋体" w:eastAsia="宋体" w:cs="宋体"/>
                <w:color w:val="auto"/>
                <w:kern w:val="0"/>
                <w:sz w:val="15"/>
                <w:szCs w:val="15"/>
                <w:highlight w:val="none"/>
              </w:rPr>
              <w:t>项；</w:t>
            </w:r>
          </w:p>
          <w:p w14:paraId="7FF0344C">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14:paraId="0FFD9E84">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3DD2B493">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28ECFB04">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0CC4F17B">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14:paraId="1FD83A07">
            <w:pPr>
              <w:spacing w:line="232" w:lineRule="exact"/>
              <w:rPr>
                <w:rFonts w:ascii="宋体" w:hAnsi="宋体" w:eastAsia="宋体"/>
                <w:color w:val="auto"/>
                <w:sz w:val="15"/>
                <w:szCs w:val="15"/>
                <w:highlight w:val="none"/>
              </w:rPr>
            </w:pPr>
          </w:p>
        </w:tc>
      </w:tr>
      <w:tr w14:paraId="7A573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26" w:hRule="atLeast"/>
          <w:jc w:val="center"/>
        </w:trPr>
        <w:tc>
          <w:tcPr>
            <w:tcW w:w="610" w:type="dxa"/>
            <w:vMerge w:val="continue"/>
            <w:noWrap w:val="0"/>
            <w:vAlign w:val="center"/>
          </w:tcPr>
          <w:p w14:paraId="730CFA0E">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14:paraId="42FFAB98">
            <w:pPr>
              <w:spacing w:line="232" w:lineRule="exact"/>
              <w:rPr>
                <w:rFonts w:ascii="宋体" w:hAnsi="宋体" w:eastAsia="宋体"/>
                <w:color w:val="auto"/>
                <w:sz w:val="15"/>
                <w:szCs w:val="15"/>
                <w:highlight w:val="none"/>
              </w:rPr>
            </w:pPr>
          </w:p>
        </w:tc>
        <w:tc>
          <w:tcPr>
            <w:tcW w:w="2789" w:type="dxa"/>
            <w:gridSpan w:val="2"/>
            <w:vMerge w:val="continue"/>
            <w:noWrap w:val="0"/>
            <w:vAlign w:val="center"/>
          </w:tcPr>
          <w:p w14:paraId="4D2F8CDD">
            <w:pPr>
              <w:spacing w:line="232" w:lineRule="exact"/>
              <w:rPr>
                <w:rFonts w:ascii="宋体" w:hAnsi="宋体" w:eastAsia="宋体"/>
                <w:color w:val="auto"/>
                <w:sz w:val="15"/>
                <w:szCs w:val="15"/>
                <w:highlight w:val="none"/>
              </w:rPr>
            </w:pPr>
          </w:p>
        </w:tc>
        <w:tc>
          <w:tcPr>
            <w:tcW w:w="851" w:type="dxa"/>
            <w:noWrap w:val="0"/>
            <w:vAlign w:val="center"/>
          </w:tcPr>
          <w:p w14:paraId="063B8B65">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14:paraId="28DB47C0">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78801135">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18B061C1">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14:paraId="64D3CD44">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2057D8F8">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14:paraId="4FE55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34" w:hRule="atLeast"/>
          <w:jc w:val="center"/>
        </w:trPr>
        <w:tc>
          <w:tcPr>
            <w:tcW w:w="610" w:type="dxa"/>
            <w:vMerge w:val="restart"/>
            <w:noWrap w:val="0"/>
            <w:vAlign w:val="center"/>
          </w:tcPr>
          <w:p w14:paraId="5938CA85">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6</w:t>
            </w:r>
          </w:p>
        </w:tc>
        <w:tc>
          <w:tcPr>
            <w:tcW w:w="1830" w:type="dxa"/>
            <w:gridSpan w:val="3"/>
            <w:vMerge w:val="restart"/>
            <w:noWrap w:val="0"/>
            <w:vAlign w:val="center"/>
          </w:tcPr>
          <w:p w14:paraId="0752EBCF">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在古树名木保护范围内铺设非通透性硬化地面、使用明火、堆放重物、倾倒易燃易爆物品或者有毒有害物质</w:t>
            </w:r>
          </w:p>
        </w:tc>
        <w:tc>
          <w:tcPr>
            <w:tcW w:w="2789" w:type="dxa"/>
            <w:gridSpan w:val="2"/>
            <w:vMerge w:val="restart"/>
            <w:noWrap w:val="0"/>
            <w:vAlign w:val="center"/>
          </w:tcPr>
          <w:p w14:paraId="37AF46F4">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十七条第四</w:t>
            </w:r>
            <w:r>
              <w:rPr>
                <w:rFonts w:hint="eastAsia" w:ascii="宋体" w:hAnsi="宋体" w:eastAsia="宋体" w:cs="宋体"/>
                <w:color w:val="auto"/>
                <w:kern w:val="0"/>
                <w:sz w:val="15"/>
                <w:szCs w:val="15"/>
                <w:highlight w:val="none"/>
              </w:rPr>
              <w:t>项；</w:t>
            </w:r>
          </w:p>
          <w:p w14:paraId="59B0BBE8">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处罚条款：第二十七条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 责令停止违法行为、采取补救措施，没收违法所得，并处1万元以上10万元以下的罚款；拒不停止违法行为、不采取补救措施或者造成严重后果的，并处5万元以上20万元以下的罚款。</w:t>
            </w:r>
          </w:p>
        </w:tc>
        <w:tc>
          <w:tcPr>
            <w:tcW w:w="851" w:type="dxa"/>
            <w:noWrap w:val="0"/>
            <w:vAlign w:val="center"/>
          </w:tcPr>
          <w:p w14:paraId="37B5643A">
            <w:pPr>
              <w:spacing w:line="232" w:lineRule="exact"/>
              <w:jc w:val="center"/>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42462057">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5E3466F4">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6252A9DF">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14:paraId="0BA6F371">
            <w:pPr>
              <w:spacing w:line="232" w:lineRule="exact"/>
              <w:rPr>
                <w:rFonts w:ascii="宋体" w:hAnsi="宋体" w:eastAsia="宋体" w:cs="宋体"/>
                <w:color w:val="auto"/>
                <w:kern w:val="0"/>
                <w:sz w:val="15"/>
                <w:szCs w:val="15"/>
                <w:highlight w:val="none"/>
              </w:rPr>
            </w:pPr>
          </w:p>
        </w:tc>
      </w:tr>
      <w:tr w14:paraId="508E0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1" w:hRule="atLeast"/>
          <w:jc w:val="center"/>
        </w:trPr>
        <w:tc>
          <w:tcPr>
            <w:tcW w:w="610" w:type="dxa"/>
            <w:vMerge w:val="continue"/>
            <w:noWrap w:val="0"/>
            <w:vAlign w:val="center"/>
          </w:tcPr>
          <w:p w14:paraId="626603B4">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14:paraId="56537F5C">
            <w:pPr>
              <w:spacing w:line="232" w:lineRule="exact"/>
              <w:rPr>
                <w:rFonts w:ascii="宋体" w:hAnsi="宋体" w:eastAsia="宋体" w:cs="宋体"/>
                <w:color w:val="auto"/>
                <w:kern w:val="0"/>
                <w:sz w:val="15"/>
                <w:szCs w:val="15"/>
                <w:highlight w:val="none"/>
              </w:rPr>
            </w:pPr>
          </w:p>
        </w:tc>
        <w:tc>
          <w:tcPr>
            <w:tcW w:w="2789" w:type="dxa"/>
            <w:gridSpan w:val="2"/>
            <w:vMerge w:val="continue"/>
            <w:noWrap w:val="0"/>
            <w:vAlign w:val="center"/>
          </w:tcPr>
          <w:p w14:paraId="4289752F">
            <w:pPr>
              <w:spacing w:line="232" w:lineRule="exact"/>
              <w:rPr>
                <w:rFonts w:ascii="宋体" w:hAnsi="宋体" w:eastAsia="宋体" w:cs="宋体"/>
                <w:color w:val="auto"/>
                <w:kern w:val="0"/>
                <w:sz w:val="15"/>
                <w:szCs w:val="15"/>
                <w:highlight w:val="none"/>
              </w:rPr>
            </w:pPr>
          </w:p>
        </w:tc>
        <w:tc>
          <w:tcPr>
            <w:tcW w:w="851" w:type="dxa"/>
            <w:noWrap w:val="0"/>
            <w:vAlign w:val="center"/>
          </w:tcPr>
          <w:p w14:paraId="196042DC">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50000</w:t>
            </w:r>
          </w:p>
        </w:tc>
        <w:tc>
          <w:tcPr>
            <w:tcW w:w="840" w:type="dxa"/>
            <w:noWrap w:val="0"/>
            <w:vAlign w:val="center"/>
          </w:tcPr>
          <w:p w14:paraId="7FFFA1DB">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5A335E64">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1.一级保护的古树或名木，系数2。2.</w:t>
            </w:r>
            <w:r>
              <w:rPr>
                <w:rFonts w:hint="eastAsia" w:ascii="宋体" w:hAnsi="宋体" w:cs="宋体"/>
                <w:color w:val="auto"/>
                <w:kern w:val="0"/>
                <w:sz w:val="15"/>
                <w:szCs w:val="15"/>
                <w:highlight w:val="none"/>
                <w:lang w:eastAsia="zh-CN"/>
              </w:rPr>
              <w:t>买卖、运输、加工非法采伐、移植的古树名木</w:t>
            </w:r>
            <w:r>
              <w:rPr>
                <w:rFonts w:hint="eastAsia" w:ascii="宋体" w:hAnsi="宋体" w:cs="宋体"/>
                <w:color w:val="auto"/>
                <w:kern w:val="0"/>
                <w:sz w:val="15"/>
                <w:szCs w:val="15"/>
                <w:highlight w:val="none"/>
                <w:lang w:val="en-US" w:eastAsia="zh-CN"/>
              </w:rPr>
              <w:t>2株的，系数0</w:t>
            </w:r>
            <w:r>
              <w:rPr>
                <w:rFonts w:hint="default"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val="en-US" w:eastAsia="zh-CN"/>
              </w:rPr>
              <w:t>;3株的，系数</w:t>
            </w:r>
            <w:r>
              <w:rPr>
                <w:rFonts w:hint="default" w:ascii="宋体" w:hAnsi="宋体" w:cs="宋体"/>
                <w:color w:val="auto"/>
                <w:kern w:val="0"/>
                <w:sz w:val="15"/>
                <w:szCs w:val="15"/>
                <w:highlight w:val="none"/>
                <w:lang w:val="en-US" w:eastAsia="zh-CN"/>
              </w:rPr>
              <w:t xml:space="preserve"> 1.2</w:t>
            </w:r>
            <w:r>
              <w:rPr>
                <w:rFonts w:hint="eastAsia" w:ascii="宋体" w:hAnsi="宋体" w:cs="宋体"/>
                <w:color w:val="auto"/>
                <w:kern w:val="0"/>
                <w:sz w:val="15"/>
                <w:szCs w:val="15"/>
                <w:highlight w:val="none"/>
                <w:lang w:val="en-US" w:eastAsia="zh-CN"/>
              </w:rPr>
              <w:t>；4株的，系数1.8；5株的，系数2.4；6</w:t>
            </w:r>
            <w:r>
              <w:rPr>
                <w:rFonts w:hint="eastAsia" w:ascii="宋体" w:hAnsi="宋体" w:cs="宋体"/>
                <w:strike w:val="0"/>
                <w:dstrike w:val="0"/>
                <w:color w:val="auto"/>
                <w:kern w:val="0"/>
                <w:sz w:val="15"/>
                <w:szCs w:val="15"/>
                <w:highlight w:val="none"/>
                <w:lang w:val="en-US" w:eastAsia="zh-CN"/>
              </w:rPr>
              <w:t>株及以上的，系数3</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3B2FC74A">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14:paraId="5D872C4A">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40A80AEA">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14:paraId="4DEE6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75" w:hRule="atLeast"/>
          <w:jc w:val="center"/>
        </w:trPr>
        <w:tc>
          <w:tcPr>
            <w:tcW w:w="610" w:type="dxa"/>
            <w:vMerge w:val="restart"/>
            <w:noWrap w:val="0"/>
            <w:vAlign w:val="center"/>
          </w:tcPr>
          <w:p w14:paraId="72397AB5">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cs="宋体"/>
                <w:color w:val="auto"/>
                <w:kern w:val="0"/>
                <w:sz w:val="15"/>
                <w:szCs w:val="15"/>
                <w:highlight w:val="none"/>
                <w:lang w:val="en-US" w:eastAsia="zh-CN"/>
              </w:rPr>
              <w:t>7</w:t>
            </w:r>
          </w:p>
        </w:tc>
        <w:tc>
          <w:tcPr>
            <w:tcW w:w="1830" w:type="dxa"/>
            <w:gridSpan w:val="3"/>
            <w:vMerge w:val="restart"/>
            <w:noWrap w:val="0"/>
            <w:vAlign w:val="center"/>
          </w:tcPr>
          <w:p w14:paraId="4C5C37C1">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在古树名木上刻划、架设线缆、缠绕或者悬挂物体等，攀爬古树名木</w:t>
            </w:r>
          </w:p>
        </w:tc>
        <w:tc>
          <w:tcPr>
            <w:tcW w:w="2789" w:type="dxa"/>
            <w:gridSpan w:val="2"/>
            <w:vMerge w:val="restart"/>
            <w:noWrap w:val="0"/>
            <w:vAlign w:val="center"/>
          </w:tcPr>
          <w:p w14:paraId="33B2E785">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十七条第五</w:t>
            </w:r>
            <w:r>
              <w:rPr>
                <w:rFonts w:hint="eastAsia" w:ascii="宋体" w:hAnsi="宋体" w:eastAsia="宋体" w:cs="宋体"/>
                <w:color w:val="auto"/>
                <w:kern w:val="0"/>
                <w:sz w:val="15"/>
                <w:szCs w:val="15"/>
                <w:highlight w:val="none"/>
              </w:rPr>
              <w:t>项；</w:t>
            </w:r>
          </w:p>
          <w:p w14:paraId="29B272D6">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14:paraId="66062A08">
            <w:pPr>
              <w:spacing w:line="232" w:lineRule="exact"/>
              <w:jc w:val="center"/>
              <w:rPr>
                <w:rFonts w:hint="default" w:ascii="宋体" w:hAnsi="宋体" w:eastAsia="宋体" w:cs="宋体"/>
                <w:color w:val="auto"/>
                <w:kern w:val="0"/>
                <w:sz w:val="15"/>
                <w:szCs w:val="15"/>
                <w:highlight w:val="none"/>
                <w:lang w:val="en-US"/>
              </w:rPr>
            </w:pPr>
          </w:p>
        </w:tc>
        <w:tc>
          <w:tcPr>
            <w:tcW w:w="840" w:type="dxa"/>
            <w:noWrap w:val="0"/>
            <w:vAlign w:val="center"/>
          </w:tcPr>
          <w:p w14:paraId="70464DD5">
            <w:pPr>
              <w:spacing w:line="232" w:lineRule="exact"/>
              <w:jc w:val="center"/>
              <w:rPr>
                <w:rFonts w:ascii="宋体" w:hAnsi="宋体" w:eastAsia="宋体" w:cs="宋体"/>
                <w:color w:val="auto"/>
                <w:kern w:val="0"/>
                <w:sz w:val="15"/>
                <w:szCs w:val="15"/>
                <w:highlight w:val="none"/>
              </w:rPr>
            </w:pPr>
          </w:p>
        </w:tc>
        <w:tc>
          <w:tcPr>
            <w:tcW w:w="3426" w:type="dxa"/>
            <w:noWrap w:val="0"/>
            <w:vAlign w:val="center"/>
          </w:tcPr>
          <w:p w14:paraId="7D9D6CA4">
            <w:pPr>
              <w:spacing w:line="232" w:lineRule="exact"/>
              <w:rPr>
                <w:rFonts w:hint="default" w:ascii="宋体" w:hAnsi="宋体" w:cs="宋体"/>
                <w:color w:val="auto"/>
                <w:kern w:val="0"/>
                <w:sz w:val="15"/>
                <w:szCs w:val="15"/>
                <w:highlight w:val="none"/>
                <w:lang w:val="en-US" w:eastAsia="zh-CN"/>
              </w:rPr>
            </w:pPr>
          </w:p>
        </w:tc>
        <w:tc>
          <w:tcPr>
            <w:tcW w:w="1875" w:type="dxa"/>
            <w:gridSpan w:val="2"/>
            <w:noWrap w:val="0"/>
            <w:vAlign w:val="center"/>
          </w:tcPr>
          <w:p w14:paraId="74BD6DA6">
            <w:pPr>
              <w:spacing w:line="232" w:lineRule="exact"/>
              <w:rPr>
                <w:rFonts w:ascii="宋体" w:hAnsi="宋体" w:eastAsia="宋体" w:cs="宋体"/>
                <w:color w:val="auto"/>
                <w:kern w:val="0"/>
                <w:sz w:val="15"/>
                <w:szCs w:val="15"/>
                <w:highlight w:val="none"/>
              </w:rPr>
            </w:pPr>
          </w:p>
        </w:tc>
        <w:tc>
          <w:tcPr>
            <w:tcW w:w="1982" w:type="dxa"/>
            <w:gridSpan w:val="2"/>
            <w:noWrap w:val="0"/>
            <w:vAlign w:val="center"/>
          </w:tcPr>
          <w:p w14:paraId="54BF1979">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r>
      <w:tr w14:paraId="11323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75" w:hRule="atLeast"/>
          <w:jc w:val="center"/>
        </w:trPr>
        <w:tc>
          <w:tcPr>
            <w:tcW w:w="610" w:type="dxa"/>
            <w:vMerge w:val="continue"/>
            <w:noWrap w:val="0"/>
            <w:vAlign w:val="center"/>
          </w:tcPr>
          <w:p w14:paraId="504366A4">
            <w:pPr>
              <w:spacing w:line="232" w:lineRule="exact"/>
              <w:jc w:val="center"/>
              <w:rPr>
                <w:rFonts w:hint="eastAsia" w:ascii="宋体" w:hAnsi="宋体" w:cs="宋体"/>
                <w:color w:val="auto"/>
                <w:kern w:val="0"/>
                <w:sz w:val="15"/>
                <w:szCs w:val="15"/>
                <w:highlight w:val="none"/>
                <w:lang w:val="en-US" w:eastAsia="zh-CN"/>
              </w:rPr>
            </w:pPr>
          </w:p>
        </w:tc>
        <w:tc>
          <w:tcPr>
            <w:tcW w:w="1830" w:type="dxa"/>
            <w:gridSpan w:val="3"/>
            <w:vMerge w:val="continue"/>
            <w:noWrap w:val="0"/>
            <w:vAlign w:val="center"/>
          </w:tcPr>
          <w:p w14:paraId="5E5280EC">
            <w:pPr>
              <w:spacing w:line="232" w:lineRule="exact"/>
              <w:rPr>
                <w:rFonts w:hint="eastAsia" w:ascii="宋体" w:hAnsi="宋体" w:eastAsia="宋体" w:cs="宋体"/>
                <w:color w:val="auto"/>
                <w:kern w:val="0"/>
                <w:sz w:val="15"/>
                <w:szCs w:val="15"/>
                <w:highlight w:val="none"/>
              </w:rPr>
            </w:pPr>
          </w:p>
        </w:tc>
        <w:tc>
          <w:tcPr>
            <w:tcW w:w="2789" w:type="dxa"/>
            <w:gridSpan w:val="2"/>
            <w:vMerge w:val="continue"/>
            <w:noWrap w:val="0"/>
            <w:vAlign w:val="center"/>
          </w:tcPr>
          <w:p w14:paraId="7614E6F4">
            <w:pPr>
              <w:spacing w:line="232" w:lineRule="exact"/>
              <w:rPr>
                <w:rFonts w:hint="eastAsia" w:ascii="宋体" w:hAnsi="宋体" w:eastAsia="宋体" w:cs="宋体"/>
                <w:color w:val="auto"/>
                <w:kern w:val="0"/>
                <w:sz w:val="15"/>
                <w:szCs w:val="15"/>
                <w:highlight w:val="none"/>
              </w:rPr>
            </w:pPr>
          </w:p>
        </w:tc>
        <w:tc>
          <w:tcPr>
            <w:tcW w:w="851" w:type="dxa"/>
            <w:noWrap w:val="0"/>
            <w:vAlign w:val="center"/>
          </w:tcPr>
          <w:p w14:paraId="6B0BA46D">
            <w:pPr>
              <w:spacing w:line="232" w:lineRule="exact"/>
              <w:jc w:val="center"/>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14:paraId="606A3B0B">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p>
        </w:tc>
        <w:tc>
          <w:tcPr>
            <w:tcW w:w="3426" w:type="dxa"/>
            <w:noWrap w:val="0"/>
            <w:vAlign w:val="center"/>
          </w:tcPr>
          <w:p w14:paraId="444C68AC">
            <w:pPr>
              <w:keepNext w:val="0"/>
              <w:keepLines w:val="0"/>
              <w:pageBreakBefore w:val="0"/>
              <w:widowControl w:val="0"/>
              <w:kinsoku/>
              <w:wordWrap/>
              <w:overflowPunct/>
              <w:topLinePunct w:val="0"/>
              <w:autoSpaceDE/>
              <w:autoSpaceDN/>
              <w:bidi w:val="0"/>
              <w:adjustRightInd/>
              <w:snapToGrid/>
              <w:spacing w:line="232" w:lineRule="exact"/>
              <w:ind w:left="0" w:firstLine="0" w:firstLineChars="0"/>
              <w:textAlignment w:val="auto"/>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6C9547D6">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14:paraId="118388B5">
            <w:pPr>
              <w:spacing w:line="232" w:lineRule="exact"/>
              <w:rPr>
                <w:rFonts w:hint="eastAsia" w:ascii="宋体" w:hAnsi="宋体" w:eastAsia="宋体" w:cs="宋体"/>
                <w:color w:val="auto"/>
                <w:kern w:val="0"/>
                <w:sz w:val="15"/>
                <w:szCs w:val="15"/>
                <w:highlight w:val="none"/>
              </w:rPr>
            </w:pPr>
          </w:p>
        </w:tc>
      </w:tr>
      <w:tr w14:paraId="1FCBF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43" w:hRule="atLeast"/>
          <w:jc w:val="center"/>
        </w:trPr>
        <w:tc>
          <w:tcPr>
            <w:tcW w:w="610" w:type="dxa"/>
            <w:vMerge w:val="continue"/>
            <w:noWrap w:val="0"/>
            <w:vAlign w:val="center"/>
          </w:tcPr>
          <w:p w14:paraId="68BD6A89">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14:paraId="43B582D0">
            <w:pPr>
              <w:spacing w:line="232" w:lineRule="exact"/>
              <w:rPr>
                <w:rFonts w:ascii="宋体" w:hAnsi="宋体" w:eastAsia="宋体"/>
                <w:color w:val="auto"/>
                <w:sz w:val="15"/>
                <w:szCs w:val="15"/>
                <w:highlight w:val="none"/>
              </w:rPr>
            </w:pPr>
          </w:p>
        </w:tc>
        <w:tc>
          <w:tcPr>
            <w:tcW w:w="2789" w:type="dxa"/>
            <w:gridSpan w:val="2"/>
            <w:vMerge w:val="continue"/>
            <w:noWrap w:val="0"/>
            <w:vAlign w:val="center"/>
          </w:tcPr>
          <w:p w14:paraId="3463708D">
            <w:pPr>
              <w:spacing w:line="232" w:lineRule="exact"/>
              <w:rPr>
                <w:rFonts w:ascii="宋体" w:hAnsi="宋体" w:eastAsia="宋体"/>
                <w:color w:val="auto"/>
                <w:sz w:val="15"/>
                <w:szCs w:val="15"/>
                <w:highlight w:val="none"/>
              </w:rPr>
            </w:pPr>
          </w:p>
        </w:tc>
        <w:tc>
          <w:tcPr>
            <w:tcW w:w="851" w:type="dxa"/>
            <w:noWrap w:val="0"/>
            <w:vAlign w:val="center"/>
          </w:tcPr>
          <w:p w14:paraId="0B91CA7A">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74D13BB6">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11BD9A98">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2株的，系数1;3株的，系数2；4株的，系数3；5株的，系数4；6株的，系数5；以此类推，10株及以上的，系数9。3.在古树名木上刻划的，系数2；</w:t>
            </w:r>
            <w:r>
              <w:rPr>
                <w:rFonts w:hint="eastAsia" w:ascii="宋体" w:hAnsi="宋体" w:eastAsia="宋体" w:cs="宋体"/>
                <w:color w:val="auto"/>
                <w:kern w:val="0"/>
                <w:sz w:val="15"/>
                <w:szCs w:val="15"/>
                <w:highlight w:val="none"/>
              </w:rPr>
              <w:t>架设线缆、缠绕或者悬挂物体等，攀爬古树名木</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造成折枝等损害的，系数1。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3BCB5E99">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14:paraId="1EE5EEAF">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32C6FFD7">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14:paraId="705C5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08" w:hRule="atLeast"/>
          <w:jc w:val="center"/>
        </w:trPr>
        <w:tc>
          <w:tcPr>
            <w:tcW w:w="610" w:type="dxa"/>
            <w:vMerge w:val="restart"/>
            <w:noWrap w:val="0"/>
            <w:vAlign w:val="center"/>
          </w:tcPr>
          <w:p w14:paraId="3D460641">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8</w:t>
            </w:r>
          </w:p>
        </w:tc>
        <w:tc>
          <w:tcPr>
            <w:tcW w:w="1830" w:type="dxa"/>
            <w:gridSpan w:val="3"/>
            <w:vMerge w:val="restart"/>
            <w:noWrap w:val="0"/>
            <w:vAlign w:val="center"/>
          </w:tcPr>
          <w:p w14:paraId="0AF0565B">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破坏古树名木保护设施、保护标志</w:t>
            </w:r>
          </w:p>
        </w:tc>
        <w:tc>
          <w:tcPr>
            <w:tcW w:w="2789" w:type="dxa"/>
            <w:gridSpan w:val="2"/>
            <w:vMerge w:val="restart"/>
            <w:noWrap w:val="0"/>
            <w:vAlign w:val="center"/>
          </w:tcPr>
          <w:p w14:paraId="3DCDC564">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十七条第六</w:t>
            </w:r>
            <w:r>
              <w:rPr>
                <w:rFonts w:hint="eastAsia" w:ascii="宋体" w:hAnsi="宋体" w:eastAsia="宋体" w:cs="宋体"/>
                <w:color w:val="auto"/>
                <w:kern w:val="0"/>
                <w:sz w:val="15"/>
                <w:szCs w:val="15"/>
                <w:highlight w:val="none"/>
              </w:rPr>
              <w:t>项；</w:t>
            </w:r>
          </w:p>
          <w:p w14:paraId="3488E46B">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14:paraId="4E9003A8">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w:t>
            </w:r>
          </w:p>
        </w:tc>
        <w:tc>
          <w:tcPr>
            <w:tcW w:w="840" w:type="dxa"/>
            <w:noWrap w:val="0"/>
            <w:vAlign w:val="center"/>
          </w:tcPr>
          <w:p w14:paraId="78860A4E">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3426" w:type="dxa"/>
            <w:noWrap w:val="0"/>
            <w:vAlign w:val="center"/>
          </w:tcPr>
          <w:p w14:paraId="046F8E68">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2株的，系数1;3株的，系数2；4株的，系数3；5株的，系数4；6株的，系数5；以此类推，10株及以上的，系数9。3.涉及保护设施或保护标志3处及以上的，系数1。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6226AD3C">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14:paraId="60B5CCBD">
            <w:pPr>
              <w:spacing w:line="232"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r>
      <w:tr w14:paraId="62841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83" w:hRule="atLeast"/>
          <w:jc w:val="center"/>
        </w:trPr>
        <w:tc>
          <w:tcPr>
            <w:tcW w:w="610" w:type="dxa"/>
            <w:vMerge w:val="continue"/>
            <w:noWrap w:val="0"/>
            <w:vAlign w:val="center"/>
          </w:tcPr>
          <w:p w14:paraId="33E27930">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14:paraId="552BAE01">
            <w:pPr>
              <w:spacing w:line="232" w:lineRule="exact"/>
              <w:rPr>
                <w:rFonts w:ascii="宋体" w:hAnsi="宋体" w:eastAsia="宋体" w:cs="宋体"/>
                <w:color w:val="auto"/>
                <w:kern w:val="0"/>
                <w:sz w:val="15"/>
                <w:szCs w:val="15"/>
                <w:highlight w:val="none"/>
              </w:rPr>
            </w:pPr>
          </w:p>
        </w:tc>
        <w:tc>
          <w:tcPr>
            <w:tcW w:w="2789" w:type="dxa"/>
            <w:gridSpan w:val="2"/>
            <w:vMerge w:val="continue"/>
            <w:noWrap w:val="0"/>
            <w:vAlign w:val="center"/>
          </w:tcPr>
          <w:p w14:paraId="32277A7C">
            <w:pPr>
              <w:spacing w:line="232" w:lineRule="exact"/>
              <w:rPr>
                <w:rFonts w:ascii="宋体" w:hAnsi="宋体" w:eastAsia="宋体" w:cs="宋体"/>
                <w:color w:val="auto"/>
                <w:kern w:val="0"/>
                <w:sz w:val="15"/>
                <w:szCs w:val="15"/>
                <w:highlight w:val="none"/>
              </w:rPr>
            </w:pPr>
          </w:p>
        </w:tc>
        <w:tc>
          <w:tcPr>
            <w:tcW w:w="851" w:type="dxa"/>
            <w:noWrap w:val="0"/>
            <w:vAlign w:val="center"/>
          </w:tcPr>
          <w:p w14:paraId="2F3FDD6F">
            <w:pPr>
              <w:spacing w:line="232" w:lineRule="exact"/>
              <w:jc w:val="center"/>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03194D0E">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754C477D">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1.一级保护的古树或名木，</w:t>
            </w:r>
            <w:r>
              <w:rPr>
                <w:rFonts w:hint="eastAsia" w:ascii="宋体" w:hAnsi="宋体" w:cs="宋体"/>
                <w:color w:val="auto"/>
                <w:kern w:val="0"/>
                <w:sz w:val="15"/>
                <w:szCs w:val="15"/>
                <w:highlight w:val="none"/>
                <w:lang w:val="en-US" w:eastAsia="zh-CN"/>
              </w:rPr>
              <w:t>系数5。</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lang w:eastAsia="zh-CN"/>
              </w:rPr>
              <w:t>涉及古树名木</w:t>
            </w:r>
            <w:r>
              <w:rPr>
                <w:rFonts w:hint="eastAsia" w:ascii="宋体" w:hAnsi="宋体" w:eastAsia="宋体" w:cs="宋体"/>
                <w:color w:val="auto"/>
                <w:kern w:val="0"/>
                <w:sz w:val="15"/>
                <w:szCs w:val="15"/>
                <w:highlight w:val="none"/>
                <w:lang w:val="en-US" w:eastAsia="zh-CN"/>
              </w:rPr>
              <w:t>2株</w:t>
            </w:r>
            <w:r>
              <w:rPr>
                <w:rFonts w:hint="eastAsia" w:ascii="宋体" w:hAnsi="宋体" w:cs="宋体"/>
                <w:color w:val="auto"/>
                <w:kern w:val="0"/>
                <w:sz w:val="15"/>
                <w:szCs w:val="15"/>
                <w:highlight w:val="none"/>
                <w:lang w:val="en-US" w:eastAsia="zh-CN"/>
              </w:rPr>
              <w:t>的</w:t>
            </w:r>
            <w:r>
              <w:rPr>
                <w:rFonts w:hint="eastAsia" w:ascii="宋体" w:hAnsi="宋体" w:eastAsia="宋体" w:cs="宋体"/>
                <w:color w:val="auto"/>
                <w:kern w:val="0"/>
                <w:sz w:val="15"/>
                <w:szCs w:val="15"/>
                <w:highlight w:val="none"/>
                <w:lang w:val="en-US" w:eastAsia="zh-CN"/>
              </w:rPr>
              <w:t>，系数1；3株</w:t>
            </w:r>
            <w:r>
              <w:rPr>
                <w:rFonts w:hint="eastAsia" w:ascii="宋体" w:hAnsi="宋体" w:cs="宋体"/>
                <w:color w:val="auto"/>
                <w:kern w:val="0"/>
                <w:sz w:val="15"/>
                <w:szCs w:val="15"/>
                <w:highlight w:val="none"/>
                <w:lang w:val="en-US" w:eastAsia="zh-CN"/>
              </w:rPr>
              <w:t>的</w:t>
            </w:r>
            <w:r>
              <w:rPr>
                <w:rFonts w:hint="eastAsia" w:ascii="宋体" w:hAnsi="宋体" w:eastAsia="宋体" w:cs="宋体"/>
                <w:color w:val="auto"/>
                <w:kern w:val="0"/>
                <w:sz w:val="15"/>
                <w:szCs w:val="15"/>
                <w:highlight w:val="none"/>
                <w:lang w:val="en-US" w:eastAsia="zh-CN"/>
              </w:rPr>
              <w:t>，系数2；</w:t>
            </w:r>
            <w:r>
              <w:rPr>
                <w:rFonts w:hint="eastAsia" w:ascii="宋体" w:hAnsi="宋体" w:cs="宋体"/>
                <w:color w:val="auto"/>
                <w:kern w:val="0"/>
                <w:sz w:val="15"/>
                <w:szCs w:val="15"/>
                <w:highlight w:val="none"/>
                <w:lang w:val="en-US" w:eastAsia="zh-CN"/>
              </w:rPr>
              <w:t>4株的，系数3；5株的，系数4；6株的，系数5；</w:t>
            </w:r>
            <w:r>
              <w:rPr>
                <w:rFonts w:hint="eastAsia" w:ascii="宋体" w:hAnsi="宋体" w:eastAsia="宋体" w:cs="宋体"/>
                <w:color w:val="auto"/>
                <w:kern w:val="0"/>
                <w:sz w:val="15"/>
                <w:szCs w:val="15"/>
                <w:highlight w:val="none"/>
                <w:lang w:val="en-US" w:eastAsia="zh-CN"/>
              </w:rPr>
              <w:t>以此类推，10株及以上的，系数9。3.涉及保护设施或保护标志3处及以上的，系数1。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6D3DF0BF">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14:paraId="79B78B21">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7FC110F2">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14:paraId="28B78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3" w:hRule="atLeast"/>
          <w:jc w:val="center"/>
        </w:trPr>
        <w:tc>
          <w:tcPr>
            <w:tcW w:w="610" w:type="dxa"/>
            <w:vMerge w:val="restart"/>
            <w:noWrap w:val="0"/>
            <w:vAlign w:val="center"/>
          </w:tcPr>
          <w:p w14:paraId="3C8D3AE8">
            <w:pPr>
              <w:spacing w:line="232" w:lineRule="exact"/>
              <w:jc w:val="center"/>
              <w:rPr>
                <w:rFonts w:hint="eastAsia"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9</w:t>
            </w:r>
          </w:p>
        </w:tc>
        <w:tc>
          <w:tcPr>
            <w:tcW w:w="1830" w:type="dxa"/>
            <w:gridSpan w:val="3"/>
            <w:vMerge w:val="restart"/>
            <w:noWrap w:val="0"/>
            <w:vAlign w:val="center"/>
          </w:tcPr>
          <w:p w14:paraId="628C6277">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其他损害古树名木及其生长环境的行为</w:t>
            </w:r>
          </w:p>
        </w:tc>
        <w:tc>
          <w:tcPr>
            <w:tcW w:w="2789" w:type="dxa"/>
            <w:gridSpan w:val="2"/>
            <w:vMerge w:val="restart"/>
            <w:noWrap w:val="0"/>
            <w:vAlign w:val="center"/>
          </w:tcPr>
          <w:p w14:paraId="765DE732">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w:t>
            </w:r>
            <w:r>
              <w:rPr>
                <w:rFonts w:hint="eastAsia" w:ascii="宋体" w:hAnsi="宋体" w:cs="宋体"/>
                <w:color w:val="auto"/>
                <w:kern w:val="0"/>
                <w:sz w:val="15"/>
                <w:szCs w:val="15"/>
                <w:highlight w:val="none"/>
                <w:lang w:eastAsia="zh-CN"/>
              </w:rPr>
              <w:t>十七条第七</w:t>
            </w:r>
            <w:r>
              <w:rPr>
                <w:rFonts w:hint="eastAsia" w:ascii="宋体" w:hAnsi="宋体" w:eastAsia="宋体" w:cs="宋体"/>
                <w:color w:val="auto"/>
                <w:kern w:val="0"/>
                <w:sz w:val="15"/>
                <w:szCs w:val="15"/>
                <w:highlight w:val="none"/>
              </w:rPr>
              <w:t>项；</w:t>
            </w:r>
          </w:p>
          <w:p w14:paraId="15CA3A28">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cs="宋体"/>
                <w:color w:val="auto"/>
                <w:kern w:val="0"/>
                <w:sz w:val="15"/>
                <w:szCs w:val="15"/>
                <w:highlight w:val="none"/>
                <w:lang w:eastAsia="zh-CN"/>
              </w:rPr>
              <w:t>二十七</w:t>
            </w:r>
            <w:r>
              <w:rPr>
                <w:rFonts w:hint="eastAsia" w:ascii="宋体" w:hAnsi="宋体" w:eastAsia="宋体" w:cs="宋体"/>
                <w:color w:val="auto"/>
                <w:kern w:val="0"/>
                <w:sz w:val="15"/>
                <w:szCs w:val="15"/>
                <w:highlight w:val="none"/>
              </w:rPr>
              <w:t>条第</w:t>
            </w:r>
            <w:r>
              <w:rPr>
                <w:rFonts w:hint="eastAsia" w:ascii="宋体" w:hAnsi="宋体" w:cs="宋体"/>
                <w:color w:val="auto"/>
                <w:kern w:val="0"/>
                <w:sz w:val="15"/>
                <w:szCs w:val="15"/>
                <w:highlight w:val="none"/>
                <w:lang w:eastAsia="zh-CN"/>
              </w:rPr>
              <w:t>二</w:t>
            </w:r>
            <w:r>
              <w:rPr>
                <w:rFonts w:hint="eastAsia" w:ascii="宋体" w:hAnsi="宋体" w:eastAsia="宋体" w:cs="宋体"/>
                <w:color w:val="auto"/>
                <w:kern w:val="0"/>
                <w:sz w:val="15"/>
                <w:szCs w:val="15"/>
                <w:highlight w:val="none"/>
              </w:rPr>
              <w:t>款 责令停止违法行为、采取补救措施，没收违法所得，可以并处1万元以下的罚款；拒不停止违法行为、不采取补救措施或者造成严重后果的，并处1万元以上10万元以下的罚款。</w:t>
            </w:r>
          </w:p>
        </w:tc>
        <w:tc>
          <w:tcPr>
            <w:tcW w:w="851" w:type="dxa"/>
            <w:noWrap w:val="0"/>
            <w:vAlign w:val="center"/>
          </w:tcPr>
          <w:p w14:paraId="55B83D6C">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w:t>
            </w:r>
          </w:p>
        </w:tc>
        <w:tc>
          <w:tcPr>
            <w:tcW w:w="840" w:type="dxa"/>
            <w:noWrap w:val="0"/>
            <w:vAlign w:val="center"/>
          </w:tcPr>
          <w:p w14:paraId="136C9863">
            <w:pPr>
              <w:spacing w:line="232" w:lineRule="exact"/>
              <w:jc w:val="center"/>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3426" w:type="dxa"/>
            <w:noWrap w:val="0"/>
            <w:vAlign w:val="center"/>
          </w:tcPr>
          <w:p w14:paraId="3CFC6B0D">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2株的，系数1;3株的，系数2；4株的，系数3；5株的，系数4；6株的，系数5；以此类推，10株及以上的，系数9。3.涉及保护设施或保护标志3处及以上的，系数1。</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53CF7E7C">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14:paraId="658FF46D">
            <w:pPr>
              <w:spacing w:line="232" w:lineRule="exact"/>
              <w:rPr>
                <w:rFonts w:hint="eastAsia"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未造成实质危害，</w:t>
            </w:r>
            <w:r>
              <w:rPr>
                <w:rFonts w:hint="eastAsia" w:ascii="宋体" w:hAnsi="宋体" w:eastAsia="宋体" w:cs="仿宋_GB2312"/>
                <w:color w:val="auto"/>
                <w:kern w:val="0"/>
                <w:sz w:val="15"/>
                <w:szCs w:val="15"/>
                <w:highlight w:val="none"/>
              </w:rPr>
              <w:t>需要作出</w:t>
            </w:r>
            <w:r>
              <w:rPr>
                <w:rFonts w:hint="eastAsia" w:ascii="宋体" w:hAnsi="宋体" w:eastAsia="宋体" w:cs="仿宋_GB2312"/>
                <w:color w:val="auto"/>
                <w:kern w:val="0"/>
                <w:sz w:val="15"/>
                <w:szCs w:val="15"/>
                <w:highlight w:val="none"/>
                <w:lang w:val="en-US" w:eastAsia="zh-CN"/>
              </w:rPr>
              <w:t>1000</w:t>
            </w:r>
            <w:r>
              <w:rPr>
                <w:rFonts w:hint="eastAsia" w:ascii="宋体" w:hAnsi="宋体" w:eastAsia="宋体" w:cs="仿宋_GB2312"/>
                <w:color w:val="auto"/>
                <w:kern w:val="0"/>
                <w:sz w:val="15"/>
                <w:szCs w:val="15"/>
                <w:highlight w:val="none"/>
              </w:rPr>
              <w:t>元以下罚款决定的，</w:t>
            </w:r>
            <w:r>
              <w:rPr>
                <w:rFonts w:hint="eastAsia" w:ascii="宋体" w:hAnsi="宋体" w:cs="仿宋_GB2312"/>
                <w:color w:val="auto"/>
                <w:kern w:val="0"/>
                <w:sz w:val="15"/>
                <w:szCs w:val="15"/>
                <w:highlight w:val="none"/>
                <w:lang w:eastAsia="zh-CN"/>
              </w:rPr>
              <w:t>由执法人员在案卷中说明理由，</w:t>
            </w:r>
            <w:r>
              <w:rPr>
                <w:rFonts w:hint="eastAsia" w:ascii="宋体" w:hAnsi="宋体" w:eastAsia="宋体" w:cs="仿宋_GB2312"/>
                <w:color w:val="auto"/>
                <w:kern w:val="0"/>
                <w:sz w:val="15"/>
                <w:szCs w:val="15"/>
                <w:highlight w:val="none"/>
              </w:rPr>
              <w:t>并自行决定。</w:t>
            </w:r>
          </w:p>
        </w:tc>
      </w:tr>
      <w:tr w14:paraId="071CB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73" w:hRule="atLeast"/>
          <w:jc w:val="center"/>
        </w:trPr>
        <w:tc>
          <w:tcPr>
            <w:tcW w:w="610" w:type="dxa"/>
            <w:vMerge w:val="continue"/>
            <w:noWrap w:val="0"/>
            <w:vAlign w:val="center"/>
          </w:tcPr>
          <w:p w14:paraId="6E6D7EA0">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14:paraId="58C15EF9">
            <w:pPr>
              <w:spacing w:line="232" w:lineRule="exact"/>
              <w:rPr>
                <w:rFonts w:ascii="宋体" w:hAnsi="宋体" w:eastAsia="宋体" w:cs="宋体"/>
                <w:color w:val="auto"/>
                <w:kern w:val="0"/>
                <w:sz w:val="15"/>
                <w:szCs w:val="15"/>
                <w:highlight w:val="none"/>
              </w:rPr>
            </w:pPr>
          </w:p>
        </w:tc>
        <w:tc>
          <w:tcPr>
            <w:tcW w:w="2789" w:type="dxa"/>
            <w:gridSpan w:val="2"/>
            <w:vMerge w:val="continue"/>
            <w:noWrap w:val="0"/>
            <w:vAlign w:val="center"/>
          </w:tcPr>
          <w:p w14:paraId="15BACA04">
            <w:pPr>
              <w:spacing w:line="232" w:lineRule="exact"/>
              <w:rPr>
                <w:rFonts w:ascii="宋体" w:hAnsi="宋体" w:eastAsia="宋体" w:cs="宋体"/>
                <w:color w:val="auto"/>
                <w:kern w:val="0"/>
                <w:sz w:val="15"/>
                <w:szCs w:val="15"/>
                <w:highlight w:val="none"/>
              </w:rPr>
            </w:pPr>
          </w:p>
        </w:tc>
        <w:tc>
          <w:tcPr>
            <w:tcW w:w="851" w:type="dxa"/>
            <w:noWrap w:val="0"/>
            <w:vAlign w:val="center"/>
          </w:tcPr>
          <w:p w14:paraId="593DE76D">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10000</w:t>
            </w:r>
          </w:p>
        </w:tc>
        <w:tc>
          <w:tcPr>
            <w:tcW w:w="840" w:type="dxa"/>
            <w:noWrap w:val="0"/>
            <w:vAlign w:val="center"/>
          </w:tcPr>
          <w:p w14:paraId="57187349">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6F874C66">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1.一级保护的古树或名木，系数5。2.</w:t>
            </w:r>
            <w:r>
              <w:rPr>
                <w:rFonts w:hint="eastAsia" w:ascii="宋体" w:hAnsi="宋体" w:cs="宋体"/>
                <w:color w:val="auto"/>
                <w:kern w:val="0"/>
                <w:sz w:val="15"/>
                <w:szCs w:val="15"/>
                <w:highlight w:val="none"/>
                <w:lang w:eastAsia="zh-CN"/>
              </w:rPr>
              <w:t>涉及古树名木</w:t>
            </w:r>
            <w:r>
              <w:rPr>
                <w:rFonts w:hint="eastAsia" w:ascii="宋体" w:hAnsi="宋体" w:cs="宋体"/>
                <w:color w:val="auto"/>
                <w:kern w:val="0"/>
                <w:sz w:val="15"/>
                <w:szCs w:val="15"/>
                <w:highlight w:val="none"/>
                <w:lang w:val="en-US" w:eastAsia="zh-CN"/>
              </w:rPr>
              <w:t>2株的，系数1;3株的，系数2；4株的，系数3；5株的，系数4；6株的，系数5；以此类推，10株及以上的，系数9。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206D3CAD">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w:t>
            </w:r>
            <w:r>
              <w:rPr>
                <w:rFonts w:hint="eastAsia" w:ascii="宋体" w:hAnsi="宋体" w:eastAsia="宋体" w:cs="宋体"/>
                <w:color w:val="auto"/>
                <w:kern w:val="0"/>
                <w:sz w:val="15"/>
                <w:szCs w:val="15"/>
                <w:highlight w:val="none"/>
              </w:rPr>
              <w:t>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w:t>
            </w:r>
          </w:p>
        </w:tc>
        <w:tc>
          <w:tcPr>
            <w:tcW w:w="1982" w:type="dxa"/>
            <w:gridSpan w:val="2"/>
            <w:noWrap w:val="0"/>
            <w:vAlign w:val="center"/>
          </w:tcPr>
          <w:p w14:paraId="24A13E68">
            <w:pPr>
              <w:spacing w:line="232" w:lineRule="exact"/>
              <w:rPr>
                <w:rFonts w:hint="eastAsia" w:ascii="宋体" w:hAnsi="宋体" w:eastAsia="宋体" w:cs="宋体"/>
                <w:strike/>
                <w:dstrike w:val="0"/>
                <w:color w:val="auto"/>
                <w:kern w:val="0"/>
                <w:sz w:val="15"/>
                <w:szCs w:val="15"/>
                <w:highlight w:val="none"/>
                <w:lang w:eastAsia="zh-CN"/>
              </w:rPr>
            </w:pPr>
            <w:r>
              <w:rPr>
                <w:rFonts w:hint="eastAsia" w:ascii="宋体" w:hAnsi="宋体" w:eastAsia="宋体" w:cs="宋体"/>
                <w:color w:val="auto"/>
                <w:kern w:val="0"/>
                <w:sz w:val="15"/>
                <w:szCs w:val="15"/>
                <w:highlight w:val="none"/>
              </w:rPr>
              <w:t>适用拒不停止违法行为、不采取补救措施或者造成严重后果的</w:t>
            </w:r>
            <w:r>
              <w:rPr>
                <w:rFonts w:hint="eastAsia" w:ascii="宋体" w:hAnsi="宋体" w:eastAsia="宋体" w:cs="宋体"/>
                <w:color w:val="auto"/>
                <w:kern w:val="0"/>
                <w:sz w:val="15"/>
                <w:szCs w:val="15"/>
                <w:highlight w:val="none"/>
                <w:lang w:eastAsia="zh-CN"/>
              </w:rPr>
              <w:t>情形。</w:t>
            </w:r>
          </w:p>
          <w:p w14:paraId="27E2B4A1">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14:paraId="3A81A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93" w:hRule="atLeast"/>
          <w:jc w:val="center"/>
        </w:trPr>
        <w:tc>
          <w:tcPr>
            <w:tcW w:w="610" w:type="dxa"/>
            <w:vMerge w:val="restart"/>
            <w:noWrap w:val="0"/>
            <w:vAlign w:val="center"/>
          </w:tcPr>
          <w:p w14:paraId="7E15B048">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10</w:t>
            </w:r>
          </w:p>
        </w:tc>
        <w:tc>
          <w:tcPr>
            <w:tcW w:w="1830" w:type="dxa"/>
            <w:gridSpan w:val="3"/>
            <w:vMerge w:val="restart"/>
            <w:noWrap w:val="0"/>
            <w:vAlign w:val="center"/>
          </w:tcPr>
          <w:p w14:paraId="0C2D1EAB">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损害古树名木及其生长环境，造成古树名木死亡</w:t>
            </w:r>
          </w:p>
        </w:tc>
        <w:tc>
          <w:tcPr>
            <w:tcW w:w="2789" w:type="dxa"/>
            <w:gridSpan w:val="2"/>
            <w:vMerge w:val="restart"/>
            <w:noWrap w:val="0"/>
            <w:vAlign w:val="center"/>
          </w:tcPr>
          <w:p w14:paraId="5DDBA2E1">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违反条款：第十七条第一项、第二项、第三项、第四项、第五项、第六项、第七项</w:t>
            </w:r>
            <w:r>
              <w:rPr>
                <w:rFonts w:hint="eastAsia" w:ascii="宋体" w:hAnsi="宋体" w:cs="宋体"/>
                <w:color w:val="auto"/>
                <w:kern w:val="0"/>
                <w:sz w:val="15"/>
                <w:szCs w:val="15"/>
                <w:highlight w:val="none"/>
                <w:lang w:eastAsia="zh-CN"/>
              </w:rPr>
              <w:t>；第十八条第一款；</w:t>
            </w:r>
          </w:p>
          <w:p w14:paraId="34970897">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w:t>
            </w:r>
            <w:r>
              <w:rPr>
                <w:rFonts w:hint="eastAsia" w:ascii="宋体" w:hAnsi="宋体" w:eastAsia="宋体" w:cs="宋体"/>
                <w:color w:val="auto"/>
                <w:kern w:val="0"/>
                <w:sz w:val="15"/>
                <w:szCs w:val="15"/>
                <w:highlight w:val="none"/>
                <w:lang w:eastAsia="zh-CN"/>
              </w:rPr>
              <w:t>二十六</w:t>
            </w:r>
            <w:r>
              <w:rPr>
                <w:rFonts w:hint="eastAsia" w:ascii="宋体" w:hAnsi="宋体" w:eastAsia="宋体" w:cs="宋体"/>
                <w:color w:val="auto"/>
                <w:kern w:val="0"/>
                <w:sz w:val="15"/>
                <w:szCs w:val="15"/>
                <w:highlight w:val="none"/>
              </w:rPr>
              <w:t>条第一款第</w:t>
            </w:r>
            <w:r>
              <w:rPr>
                <w:rFonts w:hint="eastAsia" w:ascii="宋体" w:hAnsi="宋体" w:cs="宋体"/>
                <w:color w:val="auto"/>
                <w:kern w:val="0"/>
                <w:sz w:val="15"/>
                <w:szCs w:val="15"/>
                <w:highlight w:val="none"/>
                <w:lang w:val="en-US" w:eastAsia="zh-CN"/>
              </w:rPr>
              <w:t>一</w:t>
            </w:r>
            <w:r>
              <w:rPr>
                <w:rFonts w:hint="eastAsia" w:ascii="宋体" w:hAnsi="宋体" w:eastAsia="宋体" w:cs="宋体"/>
                <w:color w:val="auto"/>
                <w:kern w:val="0"/>
                <w:sz w:val="15"/>
                <w:szCs w:val="15"/>
                <w:highlight w:val="none"/>
              </w:rPr>
              <w:t>项、第</w:t>
            </w:r>
            <w:r>
              <w:rPr>
                <w:rFonts w:hint="eastAsia" w:ascii="宋体" w:hAnsi="宋体" w:cs="宋体"/>
                <w:color w:val="auto"/>
                <w:kern w:val="0"/>
                <w:sz w:val="15"/>
                <w:szCs w:val="15"/>
                <w:highlight w:val="none"/>
                <w:lang w:val="en-US" w:eastAsia="zh-CN"/>
              </w:rPr>
              <w:t>二</w:t>
            </w:r>
            <w:r>
              <w:rPr>
                <w:rFonts w:hint="eastAsia" w:ascii="宋体" w:hAnsi="宋体" w:eastAsia="宋体" w:cs="宋体"/>
                <w:color w:val="auto"/>
                <w:kern w:val="0"/>
                <w:sz w:val="15"/>
                <w:szCs w:val="15"/>
                <w:highlight w:val="none"/>
              </w:rPr>
              <w:t>项</w:t>
            </w:r>
            <w:r>
              <w:rPr>
                <w:rFonts w:hint="eastAsia" w:ascii="宋体" w:hAnsi="宋体" w:eastAsia="宋体" w:cs="宋体"/>
                <w:color w:val="auto"/>
                <w:kern w:val="0"/>
                <w:sz w:val="15"/>
                <w:szCs w:val="15"/>
                <w:highlight w:val="none"/>
                <w:lang w:eastAsia="zh-CN"/>
              </w:rPr>
              <w:t>，第二款</w:t>
            </w:r>
            <w:r>
              <w:rPr>
                <w:rFonts w:hint="eastAsia" w:ascii="宋体" w:hAnsi="宋体" w:eastAsia="宋体" w:cs="宋体"/>
                <w:color w:val="auto"/>
                <w:kern w:val="0"/>
                <w:sz w:val="15"/>
                <w:szCs w:val="15"/>
                <w:highlight w:val="none"/>
              </w:rPr>
              <w:t>（根据损害情况选择条款）责令停止违法行为、采取补救措施，没收违法所得，并依照下列规定处以罚款：</w:t>
            </w:r>
          </w:p>
          <w:p w14:paraId="41F2B7C7">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（一）涉及实行一级保护的古树和名木的，处每株50万元以上100万元以下的罚款；</w:t>
            </w:r>
          </w:p>
          <w:p w14:paraId="1FF71487">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（二）涉及实行二级保护的古树的，处每株20万元以上50万元以下的罚款；</w:t>
            </w:r>
          </w:p>
          <w:p w14:paraId="4D844DCE">
            <w:pPr>
              <w:spacing w:line="232" w:lineRule="exact"/>
              <w:ind w:firstLine="300" w:firstLineChars="200"/>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违反本条例规定，损害古树名木及其生长环境，造成古树名木死亡的，依照前款规定处罚。</w:t>
            </w:r>
          </w:p>
        </w:tc>
        <w:tc>
          <w:tcPr>
            <w:tcW w:w="851" w:type="dxa"/>
            <w:noWrap w:val="0"/>
            <w:vAlign w:val="center"/>
          </w:tcPr>
          <w:p w14:paraId="4A95341A">
            <w:pPr>
              <w:spacing w:line="232" w:lineRule="exact"/>
              <w:jc w:val="center"/>
              <w:rPr>
                <w:rFonts w:hint="eastAsia" w:ascii="宋体" w:hAnsi="宋体" w:cs="宋体"/>
                <w:color w:val="auto"/>
                <w:kern w:val="0"/>
                <w:sz w:val="15"/>
                <w:szCs w:val="15"/>
                <w:highlight w:val="none"/>
                <w:lang w:val="en-US" w:eastAsia="zh-CN"/>
              </w:rPr>
            </w:pPr>
            <w:r>
              <w:rPr>
                <w:rFonts w:hint="default" w:ascii="宋体" w:hAnsi="宋体" w:cs="宋体"/>
                <w:color w:val="auto"/>
                <w:kern w:val="0"/>
                <w:sz w:val="15"/>
                <w:szCs w:val="15"/>
                <w:highlight w:val="none"/>
                <w:lang w:val="en-US"/>
              </w:rPr>
              <w:t>500000</w:t>
            </w:r>
          </w:p>
        </w:tc>
        <w:tc>
          <w:tcPr>
            <w:tcW w:w="840" w:type="dxa"/>
            <w:noWrap w:val="0"/>
            <w:vAlign w:val="center"/>
          </w:tcPr>
          <w:p w14:paraId="7A1661E1">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6569A5BE">
            <w:pPr>
              <w:spacing w:line="232" w:lineRule="exact"/>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1.树木生长在中心城区和城市副中心或者自然保护区、风景名胜区、森林公园等自然保护区和历史文化街区、风景保护区、历史名园、传统村落、名人故居以及其他文保单位的，系数0-0.2；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325AB423">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500000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14:paraId="2013DE39">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w:t>
            </w:r>
            <w:r>
              <w:rPr>
                <w:rFonts w:hint="eastAsia" w:ascii="宋体" w:hAnsi="宋体" w:cs="宋体"/>
                <w:color w:val="auto"/>
                <w:kern w:val="0"/>
                <w:sz w:val="15"/>
                <w:szCs w:val="15"/>
                <w:highlight w:val="none"/>
                <w:lang w:val="en-US" w:eastAsia="zh-CN"/>
              </w:rPr>
              <w:t>一</w:t>
            </w:r>
            <w:r>
              <w:rPr>
                <w:rFonts w:hint="eastAsia" w:ascii="宋体" w:hAnsi="宋体" w:cs="宋体"/>
                <w:color w:val="auto"/>
                <w:kern w:val="0"/>
                <w:sz w:val="15"/>
                <w:szCs w:val="15"/>
                <w:highlight w:val="none"/>
                <w:lang w:eastAsia="zh-CN"/>
              </w:rPr>
              <w:t>级保护的古树和名木死亡情形</w:t>
            </w:r>
            <w:r>
              <w:rPr>
                <w:rFonts w:hint="eastAsia" w:ascii="宋体" w:hAnsi="宋体" w:eastAsia="宋体" w:cs="宋体"/>
                <w:color w:val="auto"/>
                <w:kern w:val="0"/>
                <w:sz w:val="15"/>
                <w:szCs w:val="15"/>
                <w:highlight w:val="none"/>
                <w:lang w:eastAsia="zh-CN"/>
              </w:rPr>
              <w:t>。</w:t>
            </w:r>
          </w:p>
          <w:p w14:paraId="5D250FE1">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r>
      <w:tr w14:paraId="7AF08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83" w:hRule="atLeast"/>
          <w:jc w:val="center"/>
        </w:trPr>
        <w:tc>
          <w:tcPr>
            <w:tcW w:w="610" w:type="dxa"/>
            <w:vMerge w:val="continue"/>
            <w:noWrap w:val="0"/>
            <w:vAlign w:val="center"/>
          </w:tcPr>
          <w:p w14:paraId="712C090B">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14:paraId="1DA4B07C">
            <w:pPr>
              <w:spacing w:line="232" w:lineRule="exact"/>
              <w:rPr>
                <w:rFonts w:ascii="宋体" w:hAnsi="宋体" w:eastAsia="宋体" w:cs="宋体"/>
                <w:color w:val="auto"/>
                <w:kern w:val="0"/>
                <w:sz w:val="15"/>
                <w:szCs w:val="15"/>
                <w:highlight w:val="none"/>
              </w:rPr>
            </w:pPr>
          </w:p>
        </w:tc>
        <w:tc>
          <w:tcPr>
            <w:tcW w:w="2789" w:type="dxa"/>
            <w:gridSpan w:val="2"/>
            <w:vMerge w:val="continue"/>
            <w:noWrap w:val="0"/>
            <w:vAlign w:val="center"/>
          </w:tcPr>
          <w:p w14:paraId="772F91C5">
            <w:pPr>
              <w:spacing w:line="232" w:lineRule="exact"/>
              <w:rPr>
                <w:rFonts w:ascii="宋体" w:hAnsi="宋体" w:eastAsia="宋体" w:cs="宋体"/>
                <w:color w:val="auto"/>
                <w:kern w:val="0"/>
                <w:sz w:val="15"/>
                <w:szCs w:val="15"/>
                <w:highlight w:val="none"/>
              </w:rPr>
            </w:pPr>
          </w:p>
        </w:tc>
        <w:tc>
          <w:tcPr>
            <w:tcW w:w="851" w:type="dxa"/>
            <w:noWrap w:val="0"/>
            <w:vAlign w:val="center"/>
          </w:tcPr>
          <w:p w14:paraId="38BF35D6">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14:paraId="6EBE9F5E">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72497A91">
            <w:pPr>
              <w:numPr>
                <w:ilvl w:val="0"/>
                <w:numId w:val="0"/>
              </w:numPr>
              <w:spacing w:line="232" w:lineRule="exact"/>
              <w:ind w:left="0" w:leftChars="0" w:firstLine="0" w:firstLine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 xml:space="preserve">1.树木生长在中心城区和城市副中心或者自然保护区、风景名胜区、森林公园等自然保护区和历史文化街区、风景保护区、历史名园、传统村落、名人故居以及其他文保单位的，系数 </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3157EB02">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14:paraId="04446892">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造成二</w:t>
            </w:r>
            <w:r>
              <w:rPr>
                <w:rFonts w:hint="eastAsia" w:ascii="宋体" w:hAnsi="宋体" w:cs="宋体"/>
                <w:color w:val="auto"/>
                <w:kern w:val="0"/>
                <w:sz w:val="15"/>
                <w:szCs w:val="15"/>
                <w:highlight w:val="none"/>
                <w:lang w:eastAsia="zh-CN"/>
              </w:rPr>
              <w:t>级保护的古树死亡情形</w:t>
            </w:r>
            <w:r>
              <w:rPr>
                <w:rFonts w:hint="eastAsia" w:ascii="宋体" w:hAnsi="宋体" w:eastAsia="宋体" w:cs="宋体"/>
                <w:color w:val="auto"/>
                <w:kern w:val="0"/>
                <w:sz w:val="15"/>
                <w:szCs w:val="15"/>
                <w:highlight w:val="none"/>
                <w:lang w:eastAsia="zh-CN"/>
              </w:rPr>
              <w:t>。</w:t>
            </w:r>
          </w:p>
          <w:p w14:paraId="548B423D">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w:t>
            </w:r>
            <w:r>
              <w:rPr>
                <w:rFonts w:hint="eastAsia" w:ascii="宋体" w:hAnsi="宋体" w:eastAsia="宋体" w:cs="宋体"/>
                <w:color w:val="auto"/>
                <w:kern w:val="0"/>
                <w:sz w:val="15"/>
                <w:szCs w:val="15"/>
                <w:highlight w:val="none"/>
                <w:lang w:eastAsia="zh-CN"/>
              </w:rPr>
              <w:t>在法定幅度内</w:t>
            </w:r>
            <w:r>
              <w:rPr>
                <w:rFonts w:hint="eastAsia" w:ascii="宋体" w:hAnsi="宋体" w:eastAsia="宋体" w:cs="宋体"/>
                <w:color w:val="auto"/>
                <w:kern w:val="0"/>
                <w:sz w:val="15"/>
                <w:szCs w:val="15"/>
                <w:highlight w:val="none"/>
              </w:rPr>
              <w:t>作出</w:t>
            </w:r>
            <w:r>
              <w:rPr>
                <w:rFonts w:hint="eastAsia" w:ascii="宋体" w:hAnsi="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额度</w:t>
            </w:r>
            <w:r>
              <w:rPr>
                <w:rFonts w:ascii="宋体" w:hAnsi="宋体" w:eastAsia="宋体" w:cs="宋体"/>
                <w:color w:val="auto"/>
                <w:kern w:val="0"/>
                <w:sz w:val="15"/>
                <w:szCs w:val="15"/>
                <w:highlight w:val="none"/>
              </w:rPr>
              <w:t>处罚的，报</w:t>
            </w:r>
            <w:r>
              <w:rPr>
                <w:rFonts w:hint="eastAsia" w:ascii="宋体" w:hAnsi="宋体" w:eastAsia="宋体" w:cs="宋体"/>
                <w:color w:val="auto"/>
                <w:kern w:val="0"/>
                <w:sz w:val="15"/>
                <w:szCs w:val="15"/>
                <w:highlight w:val="none"/>
              </w:rPr>
              <w:t>案审</w:t>
            </w:r>
            <w:r>
              <w:rPr>
                <w:rFonts w:ascii="宋体" w:hAnsi="宋体" w:eastAsia="宋体" w:cs="宋体"/>
                <w:color w:val="auto"/>
                <w:kern w:val="0"/>
                <w:sz w:val="15"/>
                <w:szCs w:val="15"/>
                <w:highlight w:val="none"/>
              </w:rPr>
              <w:t>会</w:t>
            </w:r>
            <w:r>
              <w:rPr>
                <w:rFonts w:hint="eastAsia" w:ascii="宋体" w:hAnsi="宋体" w:eastAsia="宋体" w:cs="宋体"/>
                <w:color w:val="auto"/>
                <w:kern w:val="0"/>
                <w:sz w:val="15"/>
                <w:szCs w:val="15"/>
                <w:highlight w:val="none"/>
              </w:rPr>
              <w:t>讨论</w:t>
            </w:r>
            <w:r>
              <w:rPr>
                <w:rFonts w:ascii="宋体" w:hAnsi="宋体" w:eastAsia="宋体" w:cs="宋体"/>
                <w:color w:val="auto"/>
                <w:kern w:val="0"/>
                <w:sz w:val="15"/>
                <w:szCs w:val="15"/>
                <w:highlight w:val="none"/>
              </w:rPr>
              <w:t>决定。</w:t>
            </w:r>
          </w:p>
        </w:tc>
      </w:tr>
      <w:tr w14:paraId="4728D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9" w:hRule="atLeast"/>
          <w:jc w:val="center"/>
        </w:trPr>
        <w:tc>
          <w:tcPr>
            <w:tcW w:w="610" w:type="dxa"/>
            <w:vMerge w:val="restart"/>
            <w:noWrap w:val="0"/>
            <w:vAlign w:val="center"/>
          </w:tcPr>
          <w:p w14:paraId="569BD2FC">
            <w:pPr>
              <w:spacing w:line="232" w:lineRule="exact"/>
              <w:jc w:val="center"/>
              <w:rPr>
                <w:rFonts w:hint="default" w:ascii="宋体" w:hAnsi="宋体" w:eastAsia="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11</w:t>
            </w:r>
          </w:p>
        </w:tc>
        <w:tc>
          <w:tcPr>
            <w:tcW w:w="1830" w:type="dxa"/>
            <w:gridSpan w:val="3"/>
            <w:vMerge w:val="restart"/>
            <w:noWrap w:val="0"/>
            <w:vAlign w:val="center"/>
          </w:tcPr>
          <w:p w14:paraId="2BAD2C0A">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建设施工未按规定避开古树名木保护范围或者未采取必要工程措施</w:t>
            </w:r>
          </w:p>
        </w:tc>
        <w:tc>
          <w:tcPr>
            <w:tcW w:w="2789" w:type="dxa"/>
            <w:gridSpan w:val="2"/>
            <w:vMerge w:val="restart"/>
            <w:noWrap w:val="0"/>
            <w:vAlign w:val="center"/>
          </w:tcPr>
          <w:p w14:paraId="35EF8395">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八</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一款；</w:t>
            </w:r>
          </w:p>
          <w:p w14:paraId="1B4C5429">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eastAsia="zh-CN"/>
              </w:rPr>
              <w:t>处罚条款：第二十八条</w:t>
            </w:r>
            <w:r>
              <w:rPr>
                <w:rFonts w:hint="eastAsia" w:ascii="宋体" w:hAnsi="宋体" w:cs="宋体"/>
                <w:color w:val="auto"/>
                <w:kern w:val="0"/>
                <w:sz w:val="15"/>
                <w:szCs w:val="15"/>
                <w:highlight w:val="none"/>
                <w:lang w:val="en-US" w:eastAsia="zh-CN"/>
              </w:rPr>
              <w:t xml:space="preserve">第一项、第二项 </w:t>
            </w:r>
            <w:r>
              <w:rPr>
                <w:rFonts w:hint="eastAsia" w:ascii="宋体" w:hAnsi="宋体" w:eastAsia="宋体" w:cs="宋体"/>
                <w:color w:val="auto"/>
                <w:kern w:val="0"/>
                <w:sz w:val="15"/>
                <w:szCs w:val="15"/>
                <w:highlight w:val="none"/>
                <w:lang w:val="en-US" w:eastAsia="zh-CN"/>
              </w:rPr>
              <w:t xml:space="preserve"> 责令停止违法行为、限期恢复原状或者采取其他补救措施，没收违法所得；拒不停止违法行为、逾期不恢复原状、不采取其他补救措施或者造成严重后果的，依照下列规定处以罚款：</w:t>
            </w:r>
          </w:p>
          <w:p w14:paraId="42FDAFA2">
            <w:pPr>
              <w:spacing w:line="232" w:lineRule="exact"/>
              <w:rPr>
                <w:rFonts w:hint="eastAsia"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（一）涉及实行一级保护的古树和名木的，处每株20万元以上50万元以下的罚款；</w:t>
            </w:r>
          </w:p>
          <w:p w14:paraId="4E6BDE98">
            <w:pPr>
              <w:spacing w:line="232" w:lineRule="exact"/>
              <w:rPr>
                <w:rFonts w:hint="default" w:ascii="宋体" w:hAnsi="宋体" w:eastAsia="宋体" w:cs="宋体"/>
                <w:color w:val="auto"/>
                <w:kern w:val="0"/>
                <w:sz w:val="15"/>
                <w:szCs w:val="15"/>
                <w:highlight w:val="none"/>
                <w:lang w:val="en-US" w:eastAsia="zh-CN"/>
              </w:rPr>
            </w:pPr>
            <w:r>
              <w:rPr>
                <w:rFonts w:hint="eastAsia" w:ascii="宋体" w:hAnsi="宋体" w:eastAsia="宋体" w:cs="宋体"/>
                <w:color w:val="auto"/>
                <w:kern w:val="0"/>
                <w:sz w:val="15"/>
                <w:szCs w:val="15"/>
                <w:highlight w:val="none"/>
                <w:lang w:val="en-US" w:eastAsia="zh-CN"/>
              </w:rPr>
              <w:t>（二）涉及实行二级保护的古树的，处每株10万元以上20万元以下的罚款；</w:t>
            </w:r>
          </w:p>
        </w:tc>
        <w:tc>
          <w:tcPr>
            <w:tcW w:w="851" w:type="dxa"/>
            <w:noWrap w:val="0"/>
            <w:vAlign w:val="center"/>
          </w:tcPr>
          <w:p w14:paraId="17850619">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200000</w:t>
            </w:r>
          </w:p>
        </w:tc>
        <w:tc>
          <w:tcPr>
            <w:tcW w:w="840" w:type="dxa"/>
            <w:noWrap w:val="0"/>
            <w:vAlign w:val="center"/>
          </w:tcPr>
          <w:p w14:paraId="0BDBF9B2">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693D26D7">
            <w:pPr>
              <w:numPr>
                <w:ilvl w:val="0"/>
                <w:numId w:val="0"/>
              </w:numPr>
              <w:spacing w:line="232" w:lineRule="exact"/>
              <w:ind w:leftChars="0"/>
              <w:rPr>
                <w:rFonts w:hint="default"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.3</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0.3-0.6</w:t>
            </w:r>
            <w:r>
              <w:rPr>
                <w:rFonts w:hint="eastAsia" w:ascii="宋体" w:hAnsi="宋体" w:cs="宋体"/>
                <w:color w:val="auto"/>
                <w:kern w:val="0"/>
                <w:sz w:val="15"/>
                <w:szCs w:val="15"/>
                <w:highlight w:val="none"/>
                <w:lang w:val="en-US" w:eastAsia="zh-CN"/>
              </w:rPr>
              <w:t>。3</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32DB06DC">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200000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14:paraId="24C75F97">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一</w:t>
            </w:r>
            <w:r>
              <w:rPr>
                <w:rFonts w:hint="eastAsia" w:ascii="宋体" w:hAnsi="宋体" w:cs="宋体"/>
                <w:color w:val="auto"/>
                <w:kern w:val="0"/>
                <w:sz w:val="15"/>
                <w:szCs w:val="15"/>
                <w:highlight w:val="none"/>
                <w:lang w:eastAsia="zh-CN"/>
              </w:rPr>
              <w:t>级保护的古树和名木</w:t>
            </w:r>
            <w:r>
              <w:rPr>
                <w:rFonts w:hint="eastAsia" w:ascii="宋体" w:hAnsi="宋体" w:eastAsia="宋体" w:cs="宋体"/>
                <w:color w:val="auto"/>
                <w:kern w:val="0"/>
                <w:sz w:val="15"/>
                <w:szCs w:val="15"/>
                <w:highlight w:val="none"/>
                <w:lang w:eastAsia="zh-CN"/>
              </w:rPr>
              <w:t>。</w:t>
            </w:r>
          </w:p>
          <w:p w14:paraId="7F32646E">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14:paraId="088AD6BC">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14:paraId="64148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83" w:hRule="atLeast"/>
          <w:jc w:val="center"/>
        </w:trPr>
        <w:tc>
          <w:tcPr>
            <w:tcW w:w="610" w:type="dxa"/>
            <w:vMerge w:val="continue"/>
            <w:noWrap w:val="0"/>
            <w:vAlign w:val="center"/>
          </w:tcPr>
          <w:p w14:paraId="71A415D2">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14:paraId="3E341B0C">
            <w:pPr>
              <w:spacing w:line="232" w:lineRule="exact"/>
              <w:rPr>
                <w:rFonts w:ascii="宋体" w:hAnsi="宋体" w:eastAsia="宋体" w:cs="宋体"/>
                <w:color w:val="auto"/>
                <w:kern w:val="0"/>
                <w:sz w:val="15"/>
                <w:szCs w:val="15"/>
                <w:highlight w:val="none"/>
              </w:rPr>
            </w:pPr>
          </w:p>
        </w:tc>
        <w:tc>
          <w:tcPr>
            <w:tcW w:w="2789" w:type="dxa"/>
            <w:gridSpan w:val="2"/>
            <w:vMerge w:val="continue"/>
            <w:noWrap w:val="0"/>
            <w:vAlign w:val="center"/>
          </w:tcPr>
          <w:p w14:paraId="75A46278">
            <w:pPr>
              <w:spacing w:line="232" w:lineRule="exact"/>
              <w:rPr>
                <w:rFonts w:ascii="宋体" w:hAnsi="宋体" w:eastAsia="宋体" w:cs="宋体"/>
                <w:color w:val="auto"/>
                <w:kern w:val="0"/>
                <w:sz w:val="15"/>
                <w:szCs w:val="15"/>
                <w:highlight w:val="none"/>
              </w:rPr>
            </w:pPr>
          </w:p>
        </w:tc>
        <w:tc>
          <w:tcPr>
            <w:tcW w:w="851" w:type="dxa"/>
            <w:noWrap w:val="0"/>
            <w:vAlign w:val="center"/>
          </w:tcPr>
          <w:p w14:paraId="56F271B7">
            <w:pPr>
              <w:spacing w:line="232" w:lineRule="exact"/>
              <w:jc w:val="center"/>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default" w:ascii="宋体" w:hAnsi="宋体" w:cs="宋体"/>
                <w:color w:val="auto"/>
                <w:kern w:val="0"/>
                <w:sz w:val="15"/>
                <w:szCs w:val="15"/>
                <w:highlight w:val="none"/>
                <w:lang w:val="en-US"/>
              </w:rPr>
              <w:t>00000</w:t>
            </w:r>
          </w:p>
        </w:tc>
        <w:tc>
          <w:tcPr>
            <w:tcW w:w="840" w:type="dxa"/>
            <w:noWrap w:val="0"/>
            <w:vAlign w:val="center"/>
          </w:tcPr>
          <w:p w14:paraId="6D1FB603">
            <w:pPr>
              <w:spacing w:line="232" w:lineRule="exact"/>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2B1643C8">
            <w:pPr>
              <w:numPr>
                <w:ilvl w:val="0"/>
                <w:numId w:val="0"/>
              </w:numPr>
              <w:spacing w:line="232" w:lineRule="exact"/>
              <w:ind w:leftChars="0"/>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1.树木生长在中心城区和城市副中心或者自然保护区、风景名胜区、森林公园等自然保护区和历史文化街区、风景保护区、历史名园、传统村落、名人故居以及其他文保单位的，系数0</w:t>
            </w:r>
            <w:r>
              <w:rPr>
                <w:rFonts w:hint="default" w:ascii="宋体" w:hAnsi="宋体" w:cs="宋体"/>
                <w:color w:val="auto"/>
                <w:kern w:val="0"/>
                <w:sz w:val="15"/>
                <w:szCs w:val="15"/>
                <w:highlight w:val="none"/>
                <w:lang w:val="en-US" w:eastAsia="zh-CN"/>
              </w:rPr>
              <w:t>.2-0.4</w:t>
            </w:r>
            <w:r>
              <w:rPr>
                <w:rFonts w:hint="eastAsia" w:ascii="宋体" w:hAnsi="宋体" w:cs="宋体"/>
                <w:color w:val="auto"/>
                <w:kern w:val="0"/>
                <w:sz w:val="15"/>
                <w:szCs w:val="15"/>
                <w:highlight w:val="none"/>
                <w:lang w:val="en-US" w:eastAsia="zh-CN"/>
              </w:rPr>
              <w:t>。2</w:t>
            </w:r>
            <w:r>
              <w:rPr>
                <w:rFonts w:hint="default" w:ascii="宋体" w:hAnsi="宋体" w:cs="宋体"/>
                <w:color w:val="auto"/>
                <w:kern w:val="0"/>
                <w:sz w:val="15"/>
                <w:szCs w:val="15"/>
                <w:highlight w:val="none"/>
                <w:lang w:val="en-US" w:eastAsia="zh-CN"/>
              </w:rPr>
              <w:t>.</w:t>
            </w:r>
            <w:r>
              <w:rPr>
                <w:rFonts w:hint="eastAsia" w:ascii="宋体" w:hAnsi="宋体" w:eastAsia="宋体" w:cs="宋体"/>
                <w:color w:val="auto"/>
                <w:kern w:val="0"/>
                <w:sz w:val="15"/>
                <w:szCs w:val="15"/>
                <w:highlight w:val="none"/>
              </w:rPr>
              <w:t>对</w:t>
            </w:r>
            <w:r>
              <w:rPr>
                <w:rFonts w:hint="eastAsia" w:ascii="宋体" w:hAnsi="宋体" w:eastAsia="宋体" w:cs="宋体"/>
                <w:color w:val="auto"/>
                <w:kern w:val="0"/>
                <w:sz w:val="15"/>
                <w:szCs w:val="15"/>
                <w:highlight w:val="none"/>
                <w:lang w:eastAsia="zh-CN"/>
              </w:rPr>
              <w:t>古树名木</w:t>
            </w:r>
            <w:r>
              <w:rPr>
                <w:rFonts w:hint="eastAsia" w:ascii="宋体" w:hAnsi="宋体" w:eastAsia="宋体" w:cs="宋体"/>
                <w:color w:val="auto"/>
                <w:kern w:val="0"/>
                <w:sz w:val="15"/>
                <w:szCs w:val="15"/>
                <w:highlight w:val="none"/>
              </w:rPr>
              <w:t>造成较大损害的，或者造成较大影响的</w:t>
            </w:r>
            <w:r>
              <w:rPr>
                <w:rFonts w:hint="eastAsia" w:ascii="宋体" w:hAnsi="宋体" w:cs="宋体"/>
                <w:color w:val="auto"/>
                <w:kern w:val="0"/>
                <w:sz w:val="15"/>
                <w:szCs w:val="15"/>
                <w:highlight w:val="none"/>
                <w:lang w:val="en-US" w:eastAsia="zh-CN"/>
              </w:rPr>
              <w:t>，系数</w:t>
            </w:r>
            <w:r>
              <w:rPr>
                <w:rFonts w:hint="default" w:ascii="宋体" w:hAnsi="宋体" w:cs="宋体"/>
                <w:strike w:val="0"/>
                <w:dstrike w:val="0"/>
                <w:color w:val="auto"/>
                <w:kern w:val="0"/>
                <w:sz w:val="15"/>
                <w:szCs w:val="15"/>
                <w:highlight w:val="none"/>
                <w:lang w:val="en-US" w:eastAsia="zh-CN"/>
              </w:rPr>
              <w:t>0.6-0.8</w:t>
            </w:r>
            <w:r>
              <w:rPr>
                <w:rFonts w:hint="eastAsia" w:ascii="宋体" w:hAnsi="宋体" w:cs="宋体"/>
                <w:color w:val="auto"/>
                <w:kern w:val="0"/>
                <w:sz w:val="15"/>
                <w:szCs w:val="15"/>
                <w:highlight w:val="none"/>
                <w:lang w:val="en-US" w:eastAsia="zh-CN"/>
              </w:rPr>
              <w:t>。3</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4AB733D5">
            <w:pPr>
              <w:spacing w:line="232" w:lineRule="exac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w:t>
            </w:r>
            <w:r>
              <w:rPr>
                <w:rFonts w:hint="eastAsia" w:ascii="宋体" w:hAnsi="宋体" w:cs="宋体"/>
                <w:color w:val="auto"/>
                <w:kern w:val="0"/>
                <w:sz w:val="15"/>
                <w:szCs w:val="15"/>
                <w:highlight w:val="none"/>
                <w:lang w:val="en-US" w:eastAsia="zh-CN"/>
              </w:rPr>
              <w:t>100000</w:t>
            </w: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）×N。N</w:t>
            </w:r>
            <w:r>
              <w:rPr>
                <w:rFonts w:hint="eastAsia" w:ascii="宋体" w:hAnsi="宋体" w:eastAsia="宋体" w:cs="仿宋_GB2312"/>
                <w:color w:val="auto"/>
                <w:kern w:val="0"/>
                <w:sz w:val="15"/>
                <w:szCs w:val="15"/>
                <w:highlight w:val="none"/>
              </w:rPr>
              <w:t>为株数</w:t>
            </w:r>
            <w:r>
              <w:rPr>
                <w:rFonts w:hint="eastAsia" w:ascii="宋体" w:hAnsi="宋体" w:cs="宋体"/>
                <w:color w:val="auto"/>
                <w:kern w:val="0"/>
                <w:sz w:val="15"/>
                <w:szCs w:val="15"/>
                <w:highlight w:val="none"/>
                <w:lang w:eastAsia="zh-CN"/>
              </w:rPr>
              <w:t>。</w:t>
            </w:r>
          </w:p>
        </w:tc>
        <w:tc>
          <w:tcPr>
            <w:tcW w:w="1982" w:type="dxa"/>
            <w:gridSpan w:val="2"/>
            <w:noWrap w:val="0"/>
            <w:vAlign w:val="center"/>
          </w:tcPr>
          <w:p w14:paraId="4F59F8AC">
            <w:pPr>
              <w:spacing w:line="232" w:lineRule="exact"/>
              <w:rPr>
                <w:rFonts w:hint="eastAsia" w:ascii="宋体" w:hAnsi="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w:t>
            </w:r>
            <w:r>
              <w:rPr>
                <w:rFonts w:hint="eastAsia" w:ascii="宋体" w:hAnsi="宋体" w:eastAsia="宋体" w:cs="宋体"/>
                <w:color w:val="auto"/>
                <w:kern w:val="0"/>
                <w:sz w:val="15"/>
                <w:szCs w:val="15"/>
                <w:highlight w:val="none"/>
                <w:lang w:eastAsia="zh-CN"/>
              </w:rPr>
              <w:t>二</w:t>
            </w:r>
            <w:r>
              <w:rPr>
                <w:rFonts w:hint="eastAsia" w:ascii="宋体" w:hAnsi="宋体" w:cs="宋体"/>
                <w:color w:val="auto"/>
                <w:kern w:val="0"/>
                <w:sz w:val="15"/>
                <w:szCs w:val="15"/>
                <w:highlight w:val="none"/>
                <w:lang w:eastAsia="zh-CN"/>
              </w:rPr>
              <w:t>级保护的古树。</w:t>
            </w:r>
          </w:p>
          <w:p w14:paraId="548805C7">
            <w:pPr>
              <w:spacing w:line="232" w:lineRule="exact"/>
              <w:rPr>
                <w:rFonts w:hint="eastAsia" w:ascii="宋体" w:hAnsi="宋体" w:cs="宋体"/>
                <w:color w:val="auto"/>
                <w:kern w:val="0"/>
                <w:sz w:val="15"/>
                <w:szCs w:val="15"/>
                <w:highlight w:val="none"/>
                <w:lang w:val="en-US" w:eastAsia="zh-CN"/>
              </w:rPr>
            </w:pPr>
            <w:r>
              <w:rPr>
                <w:rFonts w:hint="eastAsia" w:ascii="宋体" w:hAnsi="宋体" w:cs="宋体"/>
                <w:color w:val="auto"/>
                <w:kern w:val="0"/>
                <w:sz w:val="15"/>
                <w:szCs w:val="15"/>
                <w:highlight w:val="none"/>
                <w:lang w:val="en-US" w:eastAsia="zh-CN"/>
              </w:rPr>
              <w:t>适用</w:t>
            </w:r>
            <w:r>
              <w:rPr>
                <w:rFonts w:hint="eastAsia" w:ascii="宋体" w:hAnsi="宋体" w:eastAsia="宋体" w:cs="宋体"/>
                <w:color w:val="auto"/>
                <w:kern w:val="0"/>
                <w:sz w:val="15"/>
                <w:szCs w:val="15"/>
                <w:highlight w:val="none"/>
                <w:lang w:val="en-US" w:eastAsia="zh-CN"/>
              </w:rPr>
              <w:t>拒不停止违法行为、逾期不恢复原状、不采取其他补救措施或者造成严重后果的</w:t>
            </w:r>
            <w:r>
              <w:rPr>
                <w:rFonts w:hint="eastAsia" w:ascii="宋体" w:hAnsi="宋体" w:cs="宋体"/>
                <w:color w:val="auto"/>
                <w:kern w:val="0"/>
                <w:sz w:val="15"/>
                <w:szCs w:val="15"/>
                <w:highlight w:val="none"/>
                <w:lang w:val="en-US" w:eastAsia="zh-CN"/>
              </w:rPr>
              <w:t>。</w:t>
            </w:r>
          </w:p>
          <w:p w14:paraId="58B07B45">
            <w:pPr>
              <w:spacing w:line="232" w:lineRule="exact"/>
              <w:rPr>
                <w:rFonts w:hint="eastAsia" w:ascii="宋体" w:hAnsi="宋体" w:cs="宋体"/>
                <w:color w:val="auto"/>
                <w:kern w:val="0"/>
                <w:sz w:val="15"/>
                <w:szCs w:val="15"/>
                <w:highlight w:val="none"/>
                <w:lang w:val="en-US" w:eastAsia="zh-CN"/>
              </w:rPr>
            </w:pPr>
            <w:r>
              <w:rPr>
                <w:rFonts w:hint="eastAsia" w:ascii="宋体" w:hAnsi="宋体" w:eastAsia="宋体" w:cs="宋体"/>
                <w:strike w:val="0"/>
                <w:dstrike w:val="0"/>
                <w:color w:val="auto"/>
                <w:kern w:val="0"/>
                <w:sz w:val="15"/>
                <w:szCs w:val="15"/>
                <w:highlight w:val="none"/>
              </w:rPr>
              <w:t>拒不停止违法行为</w:t>
            </w:r>
            <w:r>
              <w:rPr>
                <w:rFonts w:hint="eastAsia" w:ascii="宋体" w:hAnsi="宋体" w:eastAsia="宋体" w:cs="仿宋_GB2312"/>
                <w:strike w:val="0"/>
                <w:dstrike w:val="0"/>
                <w:color w:val="auto"/>
                <w:sz w:val="15"/>
                <w:szCs w:val="15"/>
                <w:highlight w:val="none"/>
              </w:rPr>
              <w:t>的情形，不</w:t>
            </w:r>
            <w:r>
              <w:rPr>
                <w:rFonts w:hint="eastAsia" w:ascii="宋体" w:hAnsi="宋体" w:cs="仿宋_GB2312"/>
                <w:strike w:val="0"/>
                <w:dstrike w:val="0"/>
                <w:color w:val="auto"/>
                <w:sz w:val="15"/>
                <w:szCs w:val="15"/>
                <w:highlight w:val="none"/>
                <w:lang w:eastAsia="zh-CN"/>
              </w:rPr>
              <w:t>计入</w:t>
            </w:r>
            <w:r>
              <w:rPr>
                <w:rFonts w:hint="eastAsia" w:ascii="宋体" w:hAnsi="宋体" w:eastAsia="宋体" w:cs="仿宋_GB2312"/>
                <w:strike w:val="0"/>
                <w:dstrike w:val="0"/>
                <w:color w:val="auto"/>
                <w:sz w:val="15"/>
                <w:szCs w:val="15"/>
                <w:highlight w:val="none"/>
              </w:rPr>
              <w:t>本项</w:t>
            </w:r>
            <w:r>
              <w:rPr>
                <w:rFonts w:hint="eastAsia" w:ascii="宋体" w:hAnsi="宋体" w:cs="仿宋_GB2312"/>
                <w:strike w:val="0"/>
                <w:dstrike w:val="0"/>
                <w:color w:val="auto"/>
                <w:sz w:val="15"/>
                <w:szCs w:val="15"/>
                <w:highlight w:val="none"/>
                <w:lang w:eastAsia="zh-CN"/>
              </w:rPr>
              <w:t>情节</w:t>
            </w:r>
            <w:r>
              <w:rPr>
                <w:rFonts w:hint="eastAsia" w:ascii="宋体" w:hAnsi="宋体" w:eastAsia="宋体" w:cs="仿宋_GB2312"/>
                <w:strike w:val="0"/>
                <w:dstrike w:val="0"/>
                <w:color w:val="auto"/>
                <w:sz w:val="15"/>
                <w:szCs w:val="15"/>
                <w:highlight w:val="none"/>
                <w:lang w:eastAsia="zh-CN"/>
              </w:rPr>
              <w:t>系数。</w:t>
            </w:r>
          </w:p>
        </w:tc>
      </w:tr>
      <w:tr w14:paraId="6EB63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50" w:hRule="atLeast"/>
          <w:jc w:val="center"/>
        </w:trPr>
        <w:tc>
          <w:tcPr>
            <w:tcW w:w="14203" w:type="dxa"/>
            <w:gridSpan w:val="13"/>
            <w:noWrap w:val="0"/>
            <w:vAlign w:val="center"/>
          </w:tcPr>
          <w:p w14:paraId="54DEB1D0">
            <w:pPr>
              <w:pStyle w:val="3"/>
              <w:bidi w:val="0"/>
              <w:jc w:val="center"/>
              <w:rPr>
                <w:rFonts w:hint="eastAsia"/>
                <w:color w:val="auto"/>
                <w:highlight w:val="none"/>
                <w:lang w:val="en-US" w:eastAsia="zh-CN"/>
              </w:rPr>
            </w:pPr>
            <w:bookmarkStart w:id="103" w:name="_Toc120071728"/>
            <w:r>
              <w:rPr>
                <w:rFonts w:hint="eastAsia"/>
                <w:color w:val="auto"/>
                <w:sz w:val="21"/>
                <w:szCs w:val="21"/>
                <w:highlight w:val="none"/>
              </w:rPr>
              <w:t>《北京市古树名木保护管理条例》案由</w:t>
            </w:r>
            <w:r>
              <w:rPr>
                <w:rFonts w:hint="eastAsia"/>
                <w:color w:val="auto"/>
                <w:sz w:val="21"/>
                <w:szCs w:val="21"/>
                <w:highlight w:val="none"/>
                <w:lang w:val="en-US" w:eastAsia="zh-CN"/>
              </w:rPr>
              <w:t>3项</w:t>
            </w:r>
            <w:bookmarkEnd w:id="103"/>
          </w:p>
        </w:tc>
      </w:tr>
      <w:tr w14:paraId="448A4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33" w:hRule="atLeast"/>
          <w:jc w:val="center"/>
        </w:trPr>
        <w:tc>
          <w:tcPr>
            <w:tcW w:w="610" w:type="dxa"/>
            <w:vMerge w:val="restart"/>
            <w:noWrap w:val="0"/>
            <w:vAlign w:val="center"/>
          </w:tcPr>
          <w:p w14:paraId="5F5B74EA">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1</w:t>
            </w:r>
          </w:p>
        </w:tc>
        <w:tc>
          <w:tcPr>
            <w:tcW w:w="1830" w:type="dxa"/>
            <w:gridSpan w:val="3"/>
            <w:vMerge w:val="restart"/>
            <w:noWrap w:val="0"/>
            <w:vAlign w:val="center"/>
          </w:tcPr>
          <w:p w14:paraId="6BA20086">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未按规定养护管理古树名木</w:t>
            </w:r>
          </w:p>
        </w:tc>
        <w:tc>
          <w:tcPr>
            <w:tcW w:w="2789" w:type="dxa"/>
            <w:gridSpan w:val="2"/>
            <w:vMerge w:val="restart"/>
            <w:noWrap w:val="0"/>
            <w:vAlign w:val="center"/>
          </w:tcPr>
          <w:p w14:paraId="6CFC1CEB">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违反条款：第十一条第一款；处罚条款：第十八条第一款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noWrap w:val="0"/>
            <w:vAlign w:val="center"/>
          </w:tcPr>
          <w:p w14:paraId="1A1E7CD7">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14:paraId="5ADE841F">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69597149">
            <w:pPr>
              <w:spacing w:line="220"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损伤一级古树或者具有特殊历史价值和特别珍贵名木的，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4692ABF8">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14:paraId="0BF3E2DA">
            <w:pPr>
              <w:spacing w:line="232" w:lineRule="exact"/>
              <w:rPr>
                <w:rFonts w:ascii="宋体" w:hAnsi="宋体" w:eastAsia="宋体" w:cs="宋体"/>
                <w:color w:val="auto"/>
                <w:kern w:val="0"/>
                <w:sz w:val="15"/>
                <w:szCs w:val="15"/>
                <w:highlight w:val="none"/>
              </w:rPr>
            </w:pPr>
          </w:p>
        </w:tc>
      </w:tr>
      <w:tr w14:paraId="43773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10" w:hRule="atLeast"/>
          <w:jc w:val="center"/>
        </w:trPr>
        <w:tc>
          <w:tcPr>
            <w:tcW w:w="610" w:type="dxa"/>
            <w:vMerge w:val="continue"/>
            <w:noWrap w:val="0"/>
            <w:vAlign w:val="center"/>
          </w:tcPr>
          <w:p w14:paraId="090DF46C">
            <w:pPr>
              <w:spacing w:line="232" w:lineRule="exact"/>
              <w:jc w:val="center"/>
              <w:rPr>
                <w:rFonts w:ascii="宋体" w:hAnsi="宋体" w:eastAsia="宋体" w:cs="宋体"/>
                <w:color w:val="auto"/>
                <w:kern w:val="0"/>
                <w:sz w:val="15"/>
                <w:szCs w:val="15"/>
                <w:highlight w:val="none"/>
              </w:rPr>
            </w:pPr>
          </w:p>
        </w:tc>
        <w:tc>
          <w:tcPr>
            <w:tcW w:w="1830" w:type="dxa"/>
            <w:gridSpan w:val="3"/>
            <w:vMerge w:val="continue"/>
            <w:noWrap w:val="0"/>
            <w:vAlign w:val="center"/>
          </w:tcPr>
          <w:p w14:paraId="6CB05434">
            <w:pPr>
              <w:spacing w:line="232" w:lineRule="exact"/>
              <w:rPr>
                <w:rFonts w:ascii="宋体" w:hAnsi="宋体" w:eastAsia="宋体" w:cs="宋体"/>
                <w:color w:val="auto"/>
                <w:kern w:val="0"/>
                <w:sz w:val="15"/>
                <w:szCs w:val="15"/>
                <w:highlight w:val="none"/>
              </w:rPr>
            </w:pPr>
          </w:p>
        </w:tc>
        <w:tc>
          <w:tcPr>
            <w:tcW w:w="2789" w:type="dxa"/>
            <w:gridSpan w:val="2"/>
            <w:vMerge w:val="continue"/>
            <w:noWrap w:val="0"/>
            <w:vAlign w:val="center"/>
          </w:tcPr>
          <w:p w14:paraId="6C260DA9">
            <w:pPr>
              <w:spacing w:line="232" w:lineRule="exact"/>
              <w:rPr>
                <w:rFonts w:ascii="宋体" w:hAnsi="宋体" w:eastAsia="宋体" w:cs="宋体"/>
                <w:color w:val="auto"/>
                <w:kern w:val="0"/>
                <w:sz w:val="15"/>
                <w:szCs w:val="15"/>
                <w:highlight w:val="none"/>
              </w:rPr>
            </w:pPr>
          </w:p>
        </w:tc>
        <w:tc>
          <w:tcPr>
            <w:tcW w:w="851" w:type="dxa"/>
            <w:noWrap w:val="0"/>
            <w:vAlign w:val="center"/>
          </w:tcPr>
          <w:p w14:paraId="3B54ADBE">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14:paraId="5BF9D604">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1230CFA8">
            <w:pPr>
              <w:spacing w:line="220" w:lineRule="exact"/>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造成一级古树或者具有特殊历史价值和特别珍贵名木死亡的，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6A0B2494">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14:paraId="5E147472">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r>
      <w:tr w14:paraId="1679A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75" w:hRule="atLeast"/>
          <w:jc w:val="center"/>
        </w:trPr>
        <w:tc>
          <w:tcPr>
            <w:tcW w:w="610" w:type="dxa"/>
            <w:vMerge w:val="restart"/>
            <w:noWrap w:val="0"/>
            <w:vAlign w:val="center"/>
          </w:tcPr>
          <w:p w14:paraId="20C11CF6">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2</w:t>
            </w:r>
          </w:p>
        </w:tc>
        <w:tc>
          <w:tcPr>
            <w:tcW w:w="1830" w:type="dxa"/>
            <w:gridSpan w:val="3"/>
            <w:vMerge w:val="restart"/>
            <w:noWrap w:val="0"/>
            <w:vAlign w:val="center"/>
          </w:tcPr>
          <w:p w14:paraId="60693D0A">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未按要求对古树名木治理、复壮</w:t>
            </w:r>
          </w:p>
        </w:tc>
        <w:tc>
          <w:tcPr>
            <w:tcW w:w="2789" w:type="dxa"/>
            <w:gridSpan w:val="2"/>
            <w:vMerge w:val="restart"/>
            <w:noWrap w:val="0"/>
            <w:vAlign w:val="center"/>
          </w:tcPr>
          <w:p w14:paraId="4AE909EF">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违反条款：第十一条第二款；处罚条款：第十八条第一款 责令改正</w:t>
            </w:r>
            <w:r>
              <w:rPr>
                <w:rFonts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t>造成损伤的，每株处以500至2000元罚款；造成死亡的，每株处1万元至5万元罚款。</w:t>
            </w:r>
          </w:p>
        </w:tc>
        <w:tc>
          <w:tcPr>
            <w:tcW w:w="851" w:type="dxa"/>
            <w:noWrap w:val="0"/>
            <w:vAlign w:val="center"/>
          </w:tcPr>
          <w:p w14:paraId="012B6232">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noWrap w:val="0"/>
            <w:vAlign w:val="center"/>
          </w:tcPr>
          <w:p w14:paraId="55CC1F31">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42DEEA3F">
            <w:pPr>
              <w:spacing w:line="220" w:lineRule="exact"/>
              <w:rPr>
                <w:rFonts w:ascii="宋体" w:hAnsi="宋体" w:eastAsia="宋体" w:cs="宋体"/>
                <w:color w:val="auto"/>
                <w:kern w:val="0"/>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损伤一级古树或者具有特殊历史价值和特别珍贵名木的，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64E16BA1">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罚款数额＝500×（1＋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14:paraId="53FD16DD">
            <w:pPr>
              <w:spacing w:line="232" w:lineRule="exact"/>
              <w:rPr>
                <w:rFonts w:ascii="宋体" w:hAnsi="宋体" w:eastAsia="宋体" w:cs="宋体"/>
                <w:color w:val="auto"/>
                <w:kern w:val="0"/>
                <w:sz w:val="15"/>
                <w:szCs w:val="15"/>
                <w:highlight w:val="none"/>
              </w:rPr>
            </w:pPr>
          </w:p>
        </w:tc>
      </w:tr>
      <w:tr w14:paraId="79761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43" w:hRule="atLeast"/>
          <w:jc w:val="center"/>
        </w:trPr>
        <w:tc>
          <w:tcPr>
            <w:tcW w:w="610" w:type="dxa"/>
            <w:vMerge w:val="continue"/>
            <w:noWrap w:val="0"/>
            <w:vAlign w:val="center"/>
          </w:tcPr>
          <w:p w14:paraId="4E1C194D">
            <w:pPr>
              <w:spacing w:line="232" w:lineRule="exact"/>
              <w:jc w:val="center"/>
              <w:rPr>
                <w:rFonts w:ascii="宋体" w:hAnsi="宋体" w:eastAsia="宋体"/>
                <w:color w:val="auto"/>
                <w:sz w:val="15"/>
                <w:szCs w:val="15"/>
                <w:highlight w:val="none"/>
              </w:rPr>
            </w:pPr>
          </w:p>
        </w:tc>
        <w:tc>
          <w:tcPr>
            <w:tcW w:w="1830" w:type="dxa"/>
            <w:gridSpan w:val="3"/>
            <w:vMerge w:val="continue"/>
            <w:noWrap w:val="0"/>
            <w:vAlign w:val="center"/>
          </w:tcPr>
          <w:p w14:paraId="508B7428">
            <w:pPr>
              <w:spacing w:line="232" w:lineRule="exact"/>
              <w:rPr>
                <w:rFonts w:ascii="宋体" w:hAnsi="宋体" w:eastAsia="宋体"/>
                <w:color w:val="auto"/>
                <w:sz w:val="15"/>
                <w:szCs w:val="15"/>
                <w:highlight w:val="none"/>
              </w:rPr>
            </w:pPr>
          </w:p>
        </w:tc>
        <w:tc>
          <w:tcPr>
            <w:tcW w:w="2789" w:type="dxa"/>
            <w:gridSpan w:val="2"/>
            <w:vMerge w:val="continue"/>
            <w:noWrap w:val="0"/>
            <w:vAlign w:val="center"/>
          </w:tcPr>
          <w:p w14:paraId="4915EA80">
            <w:pPr>
              <w:spacing w:line="232" w:lineRule="exact"/>
              <w:rPr>
                <w:rFonts w:ascii="宋体" w:hAnsi="宋体" w:eastAsia="宋体"/>
                <w:color w:val="auto"/>
                <w:sz w:val="15"/>
                <w:szCs w:val="15"/>
                <w:highlight w:val="none"/>
              </w:rPr>
            </w:pPr>
          </w:p>
        </w:tc>
        <w:tc>
          <w:tcPr>
            <w:tcW w:w="851" w:type="dxa"/>
            <w:noWrap w:val="0"/>
            <w:vAlign w:val="center"/>
          </w:tcPr>
          <w:p w14:paraId="540D3A99">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noWrap w:val="0"/>
            <w:vAlign w:val="center"/>
          </w:tcPr>
          <w:p w14:paraId="7A1106B6">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74215528">
            <w:pPr>
              <w:spacing w:line="220" w:lineRule="exact"/>
              <w:rPr>
                <w:rFonts w:ascii="宋体" w:hAnsi="宋体" w:eastAsia="宋体"/>
                <w:color w:val="auto"/>
                <w:sz w:val="15"/>
                <w:szCs w:val="15"/>
                <w:highlight w:val="none"/>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造成一级古树或者具有特殊历史价值和特别珍贵名木死亡的，</w:t>
            </w:r>
            <w:r>
              <w:rPr>
                <w:rFonts w:hint="eastAsia" w:ascii="宋体" w:hAnsi="宋体" w:cs="宋体"/>
                <w:color w:val="auto"/>
                <w:kern w:val="0"/>
                <w:sz w:val="15"/>
                <w:szCs w:val="15"/>
                <w:highlight w:val="none"/>
                <w:lang w:eastAsia="zh-CN"/>
              </w:rPr>
              <w:t>系数</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w:t>
            </w:r>
            <w:r>
              <w:rPr>
                <w:rFonts w:hint="eastAsia" w:ascii="宋体" w:hAnsi="宋体" w:cs="宋体"/>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65DBEFDD">
            <w:pPr>
              <w:spacing w:line="220"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罚款数额＝10000×（1＋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w:t>
            </w:r>
            <w:r>
              <w:rPr>
                <w:rFonts w:hint="eastAsia" w:ascii="宋体" w:hAnsi="宋体" w:eastAsia="宋体" w:cs="仿宋_GB2312"/>
                <w:color w:val="auto"/>
                <w:kern w:val="0"/>
                <w:sz w:val="15"/>
                <w:szCs w:val="15"/>
                <w:highlight w:val="none"/>
              </w:rPr>
              <w:t>为株数。</w:t>
            </w:r>
          </w:p>
        </w:tc>
        <w:tc>
          <w:tcPr>
            <w:tcW w:w="1982" w:type="dxa"/>
            <w:gridSpan w:val="2"/>
            <w:noWrap w:val="0"/>
            <w:vAlign w:val="center"/>
          </w:tcPr>
          <w:p w14:paraId="0E84BEE1">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适用造成死亡情形</w:t>
            </w:r>
            <w:r>
              <w:rPr>
                <w:rFonts w:hint="eastAsia" w:ascii="宋体" w:hAnsi="宋体" w:eastAsia="宋体" w:cs="宋体"/>
                <w:color w:val="auto"/>
                <w:kern w:val="0"/>
                <w:sz w:val="15"/>
                <w:szCs w:val="15"/>
                <w:highlight w:val="none"/>
                <w:lang w:eastAsia="zh-CN"/>
              </w:rPr>
              <w:t>。</w:t>
            </w:r>
          </w:p>
        </w:tc>
      </w:tr>
      <w:tr w14:paraId="55754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2" w:hRule="atLeast"/>
          <w:jc w:val="center"/>
        </w:trPr>
        <w:tc>
          <w:tcPr>
            <w:tcW w:w="610" w:type="dxa"/>
            <w:noWrap w:val="0"/>
            <w:vAlign w:val="center"/>
          </w:tcPr>
          <w:p w14:paraId="4DB6706A">
            <w:pPr>
              <w:spacing w:line="232" w:lineRule="exact"/>
              <w:jc w:val="center"/>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val="en-US" w:eastAsia="zh-CN"/>
              </w:rPr>
              <w:t>3</w:t>
            </w:r>
          </w:p>
        </w:tc>
        <w:tc>
          <w:tcPr>
            <w:tcW w:w="1830" w:type="dxa"/>
            <w:gridSpan w:val="3"/>
            <w:noWrap w:val="0"/>
            <w:vAlign w:val="center"/>
          </w:tcPr>
          <w:p w14:paraId="09A36BF7">
            <w:pPr>
              <w:spacing w:line="23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擅自处理死亡古树名木</w:t>
            </w:r>
          </w:p>
        </w:tc>
        <w:tc>
          <w:tcPr>
            <w:tcW w:w="2789" w:type="dxa"/>
            <w:gridSpan w:val="2"/>
            <w:noWrap w:val="0"/>
            <w:vAlign w:val="center"/>
          </w:tcPr>
          <w:p w14:paraId="746526D5">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违反条款：第十一条第三款；</w:t>
            </w:r>
          </w:p>
          <w:p w14:paraId="226AB43A">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处罚条款：第十八条第二款 每株处以2000元至1万元罚款。</w:t>
            </w:r>
          </w:p>
        </w:tc>
        <w:tc>
          <w:tcPr>
            <w:tcW w:w="851" w:type="dxa"/>
            <w:noWrap w:val="0"/>
            <w:vAlign w:val="center"/>
          </w:tcPr>
          <w:p w14:paraId="04620999">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w:t>
            </w:r>
          </w:p>
        </w:tc>
        <w:tc>
          <w:tcPr>
            <w:tcW w:w="840" w:type="dxa"/>
            <w:noWrap w:val="0"/>
            <w:vAlign w:val="center"/>
          </w:tcPr>
          <w:p w14:paraId="5BDC5AC1">
            <w:pPr>
              <w:spacing w:line="232" w:lineRule="exact"/>
              <w:jc w:val="center"/>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26" w:type="dxa"/>
            <w:noWrap w:val="0"/>
            <w:vAlign w:val="center"/>
          </w:tcPr>
          <w:p w14:paraId="2F56D3A3">
            <w:pPr>
              <w:pStyle w:val="7"/>
              <w:spacing w:line="212" w:lineRule="exact"/>
              <w:jc w:val="both"/>
              <w:rPr>
                <w:rFonts w:hint="default" w:ascii="宋体" w:hAnsi="宋体" w:eastAsia="宋体"/>
                <w:color w:val="auto"/>
                <w:sz w:val="15"/>
                <w:szCs w:val="15"/>
                <w:highlight w:val="none"/>
                <w:lang w:val="en-US" w:eastAsia="zh-CN"/>
              </w:rPr>
            </w:pPr>
            <w:r>
              <w:rPr>
                <w:rFonts w:hint="eastAsia" w:ascii="宋体" w:hAnsi="宋体" w:cs="宋体"/>
                <w:color w:val="auto"/>
                <w:kern w:val="0"/>
                <w:sz w:val="15"/>
                <w:szCs w:val="15"/>
                <w:highlight w:val="none"/>
                <w:lang w:val="en-US" w:eastAsia="zh-CN"/>
              </w:rPr>
              <w:t>1.</w:t>
            </w:r>
            <w:r>
              <w:rPr>
                <w:rFonts w:hint="eastAsia" w:ascii="宋体" w:hAnsi="宋体" w:eastAsia="宋体" w:cs="宋体"/>
                <w:color w:val="auto"/>
                <w:kern w:val="0"/>
                <w:sz w:val="15"/>
                <w:szCs w:val="15"/>
                <w:highlight w:val="none"/>
              </w:rPr>
              <w:t>擅自处理死亡一级古树的，系数4；</w:t>
            </w:r>
            <w:r>
              <w:rPr>
                <w:rFonts w:hint="eastAsia" w:ascii="宋体" w:hAnsi="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二级古树的，系数3</w:t>
            </w:r>
            <w:r>
              <w:rPr>
                <w:rFonts w:hint="eastAsia" w:ascii="宋体" w:hAnsi="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noWrap w:val="0"/>
            <w:vAlign w:val="center"/>
          </w:tcPr>
          <w:p w14:paraId="1C47FB7E">
            <w:pPr>
              <w:spacing w:line="212" w:lineRule="exact"/>
              <w:rPr>
                <w:rFonts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罚款数额＝2000×（1＋</w:t>
            </w:r>
            <w:r>
              <w:rPr>
                <w:rFonts w:hint="eastAsia" w:ascii="宋体" w:hAnsi="宋体" w:cs="宋体"/>
                <w:color w:val="auto"/>
                <w:kern w:val="0"/>
                <w:sz w:val="15"/>
                <w:szCs w:val="15"/>
                <w:highlight w:val="none"/>
                <w:lang w:eastAsia="zh-CN"/>
              </w:rPr>
              <w:t>情节</w:t>
            </w:r>
            <w:r>
              <w:rPr>
                <w:rFonts w:hint="eastAsia" w:ascii="宋体" w:hAnsi="宋体" w:eastAsia="宋体" w:cs="宋体"/>
                <w:color w:val="auto"/>
                <w:kern w:val="0"/>
                <w:sz w:val="15"/>
                <w:szCs w:val="15"/>
                <w:highlight w:val="none"/>
              </w:rPr>
              <w:t>系数）×N。N为株数。</w:t>
            </w:r>
          </w:p>
        </w:tc>
        <w:tc>
          <w:tcPr>
            <w:tcW w:w="1982" w:type="dxa"/>
            <w:gridSpan w:val="2"/>
            <w:noWrap w:val="0"/>
            <w:vAlign w:val="center"/>
          </w:tcPr>
          <w:p w14:paraId="3AAFEA82">
            <w:pPr>
              <w:spacing w:line="232" w:lineRule="exact"/>
              <w:rPr>
                <w:rFonts w:ascii="宋体" w:hAnsi="宋体" w:eastAsia="宋体" w:cs="宋体"/>
                <w:color w:val="auto"/>
                <w:kern w:val="0"/>
                <w:sz w:val="15"/>
                <w:szCs w:val="15"/>
                <w:highlight w:val="none"/>
              </w:rPr>
            </w:pPr>
          </w:p>
        </w:tc>
      </w:tr>
      <w:tr w14:paraId="5D6D1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76" w:hRule="atLeast"/>
          <w:jc w:val="center"/>
        </w:trPr>
        <w:tc>
          <w:tcPr>
            <w:tcW w:w="14203" w:type="dxa"/>
            <w:gridSpan w:val="13"/>
            <w:shd w:val="clear" w:color="auto" w:fill="auto"/>
            <w:vAlign w:val="center"/>
          </w:tcPr>
          <w:p w14:paraId="6E52B531">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4" w:name="_Toc110851470"/>
            <w:bookmarkStart w:id="105" w:name="_Toc1511590924"/>
            <w:bookmarkStart w:id="106" w:name="_Toc465734653"/>
            <w:r>
              <w:rPr>
                <w:rFonts w:hint="eastAsia" w:asciiTheme="minorEastAsia" w:hAnsiTheme="minorEastAsia" w:eastAsiaTheme="minorEastAsia"/>
                <w:color w:val="auto"/>
                <w:sz w:val="21"/>
                <w:szCs w:val="21"/>
                <w:highlight w:val="none"/>
              </w:rPr>
              <w:t>《北京市公园条例》案由</w:t>
            </w:r>
            <w:r>
              <w:rPr>
                <w:rFonts w:asciiTheme="minorEastAsia" w:hAnsiTheme="minorEastAsia" w:eastAsiaTheme="minorEastAsia"/>
                <w:color w:val="auto"/>
                <w:sz w:val="21"/>
                <w:szCs w:val="21"/>
                <w:highlight w:val="none"/>
              </w:rPr>
              <w:t xml:space="preserve"> 18</w:t>
            </w:r>
            <w:r>
              <w:rPr>
                <w:rFonts w:hint="eastAsia" w:asciiTheme="minorEastAsia" w:hAnsiTheme="minorEastAsia" w:eastAsiaTheme="minorEastAsia"/>
                <w:color w:val="auto"/>
                <w:sz w:val="21"/>
                <w:szCs w:val="21"/>
                <w:highlight w:val="none"/>
              </w:rPr>
              <w:t>项</w:t>
            </w:r>
            <w:bookmarkEnd w:id="104"/>
            <w:bookmarkEnd w:id="105"/>
            <w:bookmarkEnd w:id="106"/>
          </w:p>
        </w:tc>
      </w:tr>
      <w:tr w14:paraId="10AD2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07" w:hRule="atLeast"/>
          <w:jc w:val="center"/>
        </w:trPr>
        <w:tc>
          <w:tcPr>
            <w:tcW w:w="610" w:type="dxa"/>
            <w:shd w:val="clear" w:color="auto" w:fill="auto"/>
            <w:vAlign w:val="center"/>
          </w:tcPr>
          <w:p w14:paraId="401E51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tcBorders>
              <w:bottom w:val="single" w:color="auto" w:sz="4" w:space="0"/>
            </w:tcBorders>
            <w:shd w:val="clear" w:color="auto" w:fill="auto"/>
            <w:vAlign w:val="center"/>
          </w:tcPr>
          <w:p w14:paraId="40480486">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翻越围墙、栏杆、绿篱</w:t>
            </w:r>
          </w:p>
        </w:tc>
        <w:tc>
          <w:tcPr>
            <w:tcW w:w="2789" w:type="dxa"/>
            <w:gridSpan w:val="2"/>
            <w:vMerge w:val="restart"/>
            <w:shd w:val="clear" w:color="auto" w:fill="auto"/>
            <w:vAlign w:val="center"/>
          </w:tcPr>
          <w:p w14:paraId="61E6FB8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第（一）项；处罚条款：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第一款第（一）项 </w:t>
            </w:r>
            <w:r>
              <w:rPr>
                <w:rFonts w:cs="宋体" w:asciiTheme="minorEastAsia" w:hAnsiTheme="minorEastAsia" w:eastAsiaTheme="minorEastAsia"/>
                <w:color w:val="auto"/>
                <w:kern w:val="0"/>
                <w:sz w:val="15"/>
                <w:szCs w:val="15"/>
                <w:highlight w:val="none"/>
              </w:rPr>
              <w:t>责令改正，并可以处20元以上50元以下罚款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14:paraId="09D195C7">
            <w:pPr>
              <w:spacing w:line="232"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14:paraId="06057DA9">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restart"/>
            <w:shd w:val="clear" w:color="auto" w:fill="auto"/>
            <w:vAlign w:val="center"/>
          </w:tcPr>
          <w:p w14:paraId="297FFECC">
            <w:pPr>
              <w:spacing w:line="232" w:lineRule="exact"/>
              <w:rPr>
                <w:rFonts w:cs="宋体" w:asciiTheme="minorEastAsia" w:hAnsiTheme="minorEastAsia" w:eastAsiaTheme="minorEastAsia"/>
                <w:color w:val="auto"/>
                <w:kern w:val="0"/>
                <w:sz w:val="15"/>
                <w:szCs w:val="15"/>
                <w:highlight w:val="none"/>
              </w:rPr>
            </w:pPr>
          </w:p>
        </w:tc>
        <w:tc>
          <w:tcPr>
            <w:tcW w:w="1875" w:type="dxa"/>
            <w:gridSpan w:val="2"/>
            <w:vMerge w:val="restart"/>
            <w:shd w:val="clear" w:color="auto" w:fill="auto"/>
            <w:vAlign w:val="center"/>
          </w:tcPr>
          <w:p w14:paraId="7E0AE547">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restart"/>
            <w:shd w:val="clear" w:color="auto" w:fill="auto"/>
            <w:vAlign w:val="center"/>
          </w:tcPr>
          <w:p w14:paraId="70BDC46E">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14:paraId="390A8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462528D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tcBorders>
              <w:bottom w:val="single" w:color="auto" w:sz="4" w:space="0"/>
            </w:tcBorders>
            <w:shd w:val="clear" w:color="auto" w:fill="auto"/>
            <w:vAlign w:val="center"/>
          </w:tcPr>
          <w:p w14:paraId="44408E1F">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在禁烟区吸烟</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在非游泳区游泳，在非滑冰区滑冰，在非钓鱼区钓鱼，在非体育运动场所踢球、滑旱冰</w:t>
            </w:r>
            <w:r>
              <w:rPr>
                <w:rFonts w:hint="eastAsia" w:cs="宋体" w:asciiTheme="minorEastAsia" w:hAnsiTheme="minorEastAsia" w:eastAsiaTheme="minorEastAsia"/>
                <w:color w:val="auto"/>
                <w:kern w:val="0"/>
                <w:sz w:val="15"/>
                <w:szCs w:val="15"/>
                <w:highlight w:val="none"/>
              </w:rPr>
              <w:t>）</w:t>
            </w:r>
          </w:p>
        </w:tc>
        <w:tc>
          <w:tcPr>
            <w:tcW w:w="2789" w:type="dxa"/>
            <w:gridSpan w:val="2"/>
            <w:vMerge w:val="continue"/>
            <w:shd w:val="clear" w:color="auto" w:fill="auto"/>
            <w:vAlign w:val="center"/>
          </w:tcPr>
          <w:p w14:paraId="0F37EE4E">
            <w:pPr>
              <w:spacing w:line="232" w:lineRule="exact"/>
              <w:rPr>
                <w:rFonts w:cs="宋体" w:asciiTheme="minorEastAsia" w:hAnsiTheme="minorEastAsia" w:eastAsiaTheme="minorEastAsia"/>
                <w:color w:val="auto"/>
                <w:kern w:val="0"/>
                <w:sz w:val="15"/>
                <w:szCs w:val="15"/>
                <w:highlight w:val="none"/>
              </w:rPr>
            </w:pPr>
          </w:p>
        </w:tc>
        <w:tc>
          <w:tcPr>
            <w:tcW w:w="851" w:type="dxa"/>
            <w:vMerge w:val="continue"/>
            <w:shd w:val="clear" w:color="auto" w:fill="auto"/>
            <w:vAlign w:val="center"/>
          </w:tcPr>
          <w:p w14:paraId="29D36755">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14:paraId="41504B5E">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14:paraId="61640EE2">
            <w:pPr>
              <w:spacing w:line="232" w:lineRule="exact"/>
              <w:rPr>
                <w:rFonts w:cs="宋体" w:asciiTheme="minorEastAsia" w:hAnsiTheme="minorEastAsia" w:eastAsiaTheme="minorEastAsia"/>
                <w:color w:val="auto"/>
                <w:kern w:val="0"/>
                <w:sz w:val="15"/>
                <w:szCs w:val="15"/>
                <w:highlight w:val="none"/>
              </w:rPr>
            </w:pPr>
          </w:p>
        </w:tc>
        <w:tc>
          <w:tcPr>
            <w:tcW w:w="1875" w:type="dxa"/>
            <w:gridSpan w:val="2"/>
            <w:vMerge w:val="continue"/>
            <w:shd w:val="clear" w:color="auto" w:fill="auto"/>
            <w:vAlign w:val="center"/>
          </w:tcPr>
          <w:p w14:paraId="774237A5">
            <w:pPr>
              <w:spacing w:line="232" w:lineRule="exact"/>
              <w:rPr>
                <w:rFonts w:cs="宋体" w:asciiTheme="minorEastAsia" w:hAnsiTheme="minorEastAsia" w:eastAsiaTheme="minorEastAsia"/>
                <w:color w:val="auto"/>
                <w:kern w:val="0"/>
                <w:sz w:val="15"/>
                <w:szCs w:val="15"/>
                <w:highlight w:val="none"/>
              </w:rPr>
            </w:pPr>
          </w:p>
        </w:tc>
        <w:tc>
          <w:tcPr>
            <w:tcW w:w="1982" w:type="dxa"/>
            <w:gridSpan w:val="2"/>
            <w:vMerge w:val="continue"/>
            <w:shd w:val="clear" w:color="auto" w:fill="auto"/>
            <w:vAlign w:val="center"/>
          </w:tcPr>
          <w:p w14:paraId="07E5769B">
            <w:pPr>
              <w:spacing w:line="232" w:lineRule="exact"/>
              <w:rPr>
                <w:rFonts w:cs="宋体" w:asciiTheme="minorEastAsia" w:hAnsiTheme="minorEastAsia" w:eastAsiaTheme="minorEastAsia"/>
                <w:color w:val="auto"/>
                <w:kern w:val="0"/>
                <w:sz w:val="15"/>
                <w:szCs w:val="15"/>
                <w:highlight w:val="none"/>
              </w:rPr>
            </w:pPr>
          </w:p>
        </w:tc>
      </w:tr>
      <w:tr w14:paraId="75D6F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19F314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tcBorders>
              <w:bottom w:val="single" w:color="auto" w:sz="4" w:space="0"/>
            </w:tcBorders>
            <w:shd w:val="clear" w:color="auto" w:fill="auto"/>
            <w:vAlign w:val="center"/>
          </w:tcPr>
          <w:p w14:paraId="303F8429">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随地吐痰、便溺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乱丢果皮等废弃物</w:t>
            </w:r>
            <w:r>
              <w:rPr>
                <w:rFonts w:hint="eastAsia" w:cs="宋体" w:asciiTheme="minorEastAsia" w:hAnsiTheme="minorEastAsia" w:eastAsiaTheme="minorEastAsia"/>
                <w:color w:val="auto"/>
                <w:kern w:val="0"/>
                <w:sz w:val="15"/>
                <w:szCs w:val="15"/>
                <w:highlight w:val="none"/>
              </w:rPr>
              <w:t>）</w:t>
            </w:r>
          </w:p>
        </w:tc>
        <w:tc>
          <w:tcPr>
            <w:tcW w:w="2789" w:type="dxa"/>
            <w:gridSpan w:val="2"/>
            <w:vMerge w:val="continue"/>
            <w:tcBorders>
              <w:bottom w:val="single" w:color="auto" w:sz="4" w:space="0"/>
            </w:tcBorders>
            <w:shd w:val="clear" w:color="auto" w:fill="auto"/>
            <w:vAlign w:val="center"/>
          </w:tcPr>
          <w:p w14:paraId="19F94152">
            <w:pPr>
              <w:spacing w:line="212"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14:paraId="51C86410">
            <w:pPr>
              <w:spacing w:line="212"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14:paraId="4016A583">
            <w:pPr>
              <w:spacing w:line="212"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continue"/>
            <w:tcBorders>
              <w:bottom w:val="single" w:color="auto" w:sz="4" w:space="0"/>
            </w:tcBorders>
            <w:shd w:val="clear" w:color="auto" w:fill="auto"/>
            <w:vAlign w:val="center"/>
          </w:tcPr>
          <w:p w14:paraId="456BE5C2">
            <w:pPr>
              <w:spacing w:line="212" w:lineRule="exact"/>
              <w:rPr>
                <w:rFonts w:cs="宋体" w:asciiTheme="minorEastAsia" w:hAnsiTheme="minorEastAsia" w:eastAsiaTheme="minorEastAsia"/>
                <w:color w:val="auto"/>
                <w:kern w:val="0"/>
                <w:sz w:val="15"/>
                <w:szCs w:val="15"/>
                <w:highlight w:val="none"/>
              </w:rPr>
            </w:pPr>
          </w:p>
        </w:tc>
        <w:tc>
          <w:tcPr>
            <w:tcW w:w="1875" w:type="dxa"/>
            <w:gridSpan w:val="2"/>
            <w:vMerge w:val="continue"/>
            <w:tcBorders>
              <w:bottom w:val="single" w:color="auto" w:sz="4" w:space="0"/>
            </w:tcBorders>
            <w:shd w:val="clear" w:color="auto" w:fill="auto"/>
            <w:vAlign w:val="center"/>
          </w:tcPr>
          <w:p w14:paraId="66DCEFC5">
            <w:pPr>
              <w:spacing w:line="212" w:lineRule="exact"/>
              <w:rPr>
                <w:rFonts w:cs="宋体" w:asciiTheme="minorEastAsia" w:hAnsiTheme="minorEastAsia" w:eastAsiaTheme="minorEastAsia"/>
                <w:color w:val="auto"/>
                <w:kern w:val="0"/>
                <w:sz w:val="15"/>
                <w:szCs w:val="15"/>
                <w:highlight w:val="none"/>
              </w:rPr>
            </w:pPr>
          </w:p>
        </w:tc>
        <w:tc>
          <w:tcPr>
            <w:tcW w:w="1982" w:type="dxa"/>
            <w:gridSpan w:val="2"/>
            <w:vMerge w:val="continue"/>
            <w:tcBorders>
              <w:bottom w:val="single" w:color="auto" w:sz="4" w:space="0"/>
            </w:tcBorders>
            <w:shd w:val="clear" w:color="auto" w:fill="auto"/>
            <w:vAlign w:val="center"/>
          </w:tcPr>
          <w:p w14:paraId="3074627D">
            <w:pPr>
              <w:spacing w:line="212" w:lineRule="exact"/>
              <w:rPr>
                <w:rFonts w:cs="宋体" w:asciiTheme="minorEastAsia" w:hAnsiTheme="minorEastAsia" w:eastAsiaTheme="minorEastAsia"/>
                <w:color w:val="auto"/>
                <w:kern w:val="0"/>
                <w:sz w:val="15"/>
                <w:szCs w:val="15"/>
                <w:highlight w:val="none"/>
              </w:rPr>
            </w:pPr>
          </w:p>
        </w:tc>
      </w:tr>
      <w:tr w14:paraId="0D75B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86" w:hRule="atLeast"/>
          <w:jc w:val="center"/>
        </w:trPr>
        <w:tc>
          <w:tcPr>
            <w:tcW w:w="610" w:type="dxa"/>
            <w:shd w:val="clear" w:color="auto" w:fill="auto"/>
            <w:vAlign w:val="center"/>
          </w:tcPr>
          <w:p w14:paraId="13ACC2B3">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tcBorders>
              <w:bottom w:val="single" w:color="auto" w:sz="4" w:space="0"/>
            </w:tcBorders>
            <w:shd w:val="clear" w:color="auto" w:fill="auto"/>
            <w:vAlign w:val="center"/>
          </w:tcPr>
          <w:p w14:paraId="15EF2C81">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营火、烧烤</w:t>
            </w:r>
          </w:p>
        </w:tc>
        <w:tc>
          <w:tcPr>
            <w:tcW w:w="2789" w:type="dxa"/>
            <w:gridSpan w:val="2"/>
            <w:vMerge w:val="restart"/>
            <w:shd w:val="clear" w:color="auto" w:fill="auto"/>
            <w:vAlign w:val="center"/>
          </w:tcPr>
          <w:p w14:paraId="44307ABE">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第（二）项；处罚条款：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第一款第（二）项 </w:t>
            </w:r>
            <w:r>
              <w:rPr>
                <w:rFonts w:cs="宋体" w:asciiTheme="minorEastAsia" w:hAnsiTheme="minorEastAsia" w:eastAsiaTheme="minorEastAsia"/>
                <w:color w:val="auto"/>
                <w:kern w:val="0"/>
                <w:sz w:val="15"/>
                <w:szCs w:val="15"/>
                <w:highlight w:val="none"/>
              </w:rPr>
              <w:t>责令改正，并可以处50元以上100元以下罚款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14:paraId="46CB56C5">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vMerge w:val="restart"/>
            <w:shd w:val="clear" w:color="auto" w:fill="auto"/>
            <w:vAlign w:val="center"/>
          </w:tcPr>
          <w:p w14:paraId="104831D0">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14:paraId="06DD39FC">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vMerge w:val="restart"/>
            <w:shd w:val="clear" w:color="auto" w:fill="auto"/>
            <w:vAlign w:val="center"/>
          </w:tcPr>
          <w:p w14:paraId="437773AA">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vMerge w:val="restart"/>
            <w:shd w:val="clear" w:color="auto" w:fill="auto"/>
            <w:vAlign w:val="center"/>
          </w:tcPr>
          <w:p w14:paraId="587A31FC">
            <w:pPr>
              <w:spacing w:line="200" w:lineRule="exact"/>
              <w:rPr>
                <w:rFonts w:cs="宋体" w:asciiTheme="minorEastAsia" w:hAnsiTheme="minorEastAsia" w:eastAsiaTheme="minorEastAsia"/>
                <w:color w:val="auto"/>
                <w:kern w:val="0"/>
                <w:sz w:val="15"/>
                <w:szCs w:val="15"/>
                <w:highlight w:val="none"/>
              </w:rPr>
            </w:pPr>
          </w:p>
        </w:tc>
      </w:tr>
      <w:tr w14:paraId="60EA6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29" w:hRule="atLeast"/>
          <w:jc w:val="center"/>
        </w:trPr>
        <w:tc>
          <w:tcPr>
            <w:tcW w:w="610" w:type="dxa"/>
            <w:shd w:val="clear" w:color="auto" w:fill="auto"/>
            <w:vAlign w:val="center"/>
          </w:tcPr>
          <w:p w14:paraId="38C86D7F">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tcBorders>
              <w:bottom w:val="single" w:color="auto" w:sz="4" w:space="0"/>
            </w:tcBorders>
            <w:shd w:val="clear" w:color="auto" w:fill="auto"/>
            <w:vAlign w:val="center"/>
          </w:tcPr>
          <w:p w14:paraId="1D7DBFEA">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捕捞、捕捉动物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采挖植物，恐吓、投打、伤害动物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在非投喂区投喂动物</w:t>
            </w:r>
            <w:r>
              <w:rPr>
                <w:rFonts w:hint="eastAsia" w:cs="宋体" w:asciiTheme="minorEastAsia" w:hAnsiTheme="minorEastAsia" w:eastAsiaTheme="minorEastAsia"/>
                <w:color w:val="auto"/>
                <w:kern w:val="0"/>
                <w:sz w:val="15"/>
                <w:szCs w:val="15"/>
                <w:highlight w:val="none"/>
              </w:rPr>
              <w:t>）</w:t>
            </w:r>
          </w:p>
        </w:tc>
        <w:tc>
          <w:tcPr>
            <w:tcW w:w="2789" w:type="dxa"/>
            <w:gridSpan w:val="2"/>
            <w:vMerge w:val="continue"/>
            <w:tcBorders>
              <w:bottom w:val="single" w:color="auto" w:sz="4" w:space="0"/>
            </w:tcBorders>
            <w:shd w:val="clear" w:color="auto" w:fill="auto"/>
            <w:vAlign w:val="center"/>
          </w:tcPr>
          <w:p w14:paraId="5B146E4D">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14:paraId="3B9504F8">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14:paraId="4CF0F65A">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continue"/>
            <w:tcBorders>
              <w:bottom w:val="single" w:color="auto" w:sz="4" w:space="0"/>
            </w:tcBorders>
            <w:shd w:val="clear" w:color="auto" w:fill="auto"/>
            <w:vAlign w:val="center"/>
          </w:tcPr>
          <w:p w14:paraId="441393AE">
            <w:pPr>
              <w:spacing w:line="200" w:lineRule="exact"/>
              <w:rPr>
                <w:rFonts w:cs="宋体" w:asciiTheme="minorEastAsia" w:hAnsiTheme="minorEastAsia" w:eastAsiaTheme="minorEastAsia"/>
                <w:color w:val="auto"/>
                <w:kern w:val="0"/>
                <w:sz w:val="15"/>
                <w:szCs w:val="15"/>
                <w:highlight w:val="none"/>
              </w:rPr>
            </w:pPr>
          </w:p>
        </w:tc>
        <w:tc>
          <w:tcPr>
            <w:tcW w:w="1875" w:type="dxa"/>
            <w:gridSpan w:val="2"/>
            <w:vMerge w:val="continue"/>
            <w:tcBorders>
              <w:bottom w:val="single" w:color="auto" w:sz="4" w:space="0"/>
            </w:tcBorders>
            <w:shd w:val="clear" w:color="auto" w:fill="auto"/>
            <w:vAlign w:val="center"/>
          </w:tcPr>
          <w:p w14:paraId="2327C9DE">
            <w:pPr>
              <w:spacing w:line="200" w:lineRule="exact"/>
              <w:rPr>
                <w:rFonts w:cs="宋体" w:asciiTheme="minorEastAsia" w:hAnsiTheme="minorEastAsia" w:eastAsiaTheme="minorEastAsia"/>
                <w:color w:val="auto"/>
                <w:kern w:val="0"/>
                <w:sz w:val="15"/>
                <w:szCs w:val="15"/>
                <w:highlight w:val="none"/>
              </w:rPr>
            </w:pPr>
          </w:p>
        </w:tc>
        <w:tc>
          <w:tcPr>
            <w:tcW w:w="1982" w:type="dxa"/>
            <w:gridSpan w:val="2"/>
            <w:vMerge w:val="continue"/>
            <w:tcBorders>
              <w:bottom w:val="single" w:color="auto" w:sz="4" w:space="0"/>
            </w:tcBorders>
            <w:shd w:val="clear" w:color="auto" w:fill="auto"/>
            <w:vAlign w:val="center"/>
          </w:tcPr>
          <w:p w14:paraId="3373939F">
            <w:pPr>
              <w:spacing w:line="200" w:lineRule="exact"/>
              <w:rPr>
                <w:rFonts w:cs="宋体" w:asciiTheme="minorEastAsia" w:hAnsiTheme="minorEastAsia" w:eastAsiaTheme="minorEastAsia"/>
                <w:color w:val="auto"/>
                <w:kern w:val="0"/>
                <w:sz w:val="15"/>
                <w:szCs w:val="15"/>
                <w:highlight w:val="none"/>
              </w:rPr>
            </w:pPr>
          </w:p>
        </w:tc>
      </w:tr>
      <w:tr w14:paraId="1FC04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61" w:hRule="atLeast"/>
          <w:jc w:val="center"/>
        </w:trPr>
        <w:tc>
          <w:tcPr>
            <w:tcW w:w="610" w:type="dxa"/>
            <w:shd w:val="clear" w:color="auto" w:fill="auto"/>
            <w:vAlign w:val="center"/>
          </w:tcPr>
          <w:p w14:paraId="05505460">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tcBorders>
              <w:bottom w:val="single" w:color="auto" w:sz="4" w:space="0"/>
            </w:tcBorders>
            <w:shd w:val="clear" w:color="auto" w:fill="auto"/>
            <w:vAlign w:val="center"/>
          </w:tcPr>
          <w:p w14:paraId="3F3F07E8">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在建筑物、构筑物、设施、树木上涂写、刻划</w:t>
            </w:r>
            <w:r>
              <w:rPr>
                <w:rFonts w:hint="eastAsia" w:cs="宋体" w:asciiTheme="minorEastAsia" w:hAnsiTheme="minorEastAsia" w:eastAsiaTheme="minorEastAsia"/>
                <w:color w:val="auto"/>
                <w:kern w:val="0"/>
                <w:sz w:val="15"/>
                <w:szCs w:val="15"/>
                <w:highlight w:val="none"/>
              </w:rPr>
              <w:t xml:space="preserve"> </w:t>
            </w:r>
          </w:p>
        </w:tc>
        <w:tc>
          <w:tcPr>
            <w:tcW w:w="2789" w:type="dxa"/>
            <w:gridSpan w:val="2"/>
            <w:vMerge w:val="restart"/>
            <w:shd w:val="clear" w:color="auto" w:fill="auto"/>
            <w:vAlign w:val="center"/>
          </w:tcPr>
          <w:p w14:paraId="58AB5F58">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w:t>
            </w:r>
            <w:r>
              <w:rPr>
                <w:rFonts w:hint="eastAsia" w:cs="宋体" w:asciiTheme="minorEastAsia" w:hAnsiTheme="minorEastAsia" w:eastAsiaTheme="minorEastAsia"/>
                <w:color w:val="auto"/>
                <w:kern w:val="0"/>
                <w:sz w:val="15"/>
                <w:szCs w:val="15"/>
                <w:highlight w:val="none"/>
                <w:lang w:eastAsia="zh-CN"/>
              </w:rPr>
              <w:t>条</w:t>
            </w:r>
            <w:r>
              <w:rPr>
                <w:rFonts w:hint="eastAsia" w:cs="宋体" w:asciiTheme="minorEastAsia" w:hAnsiTheme="minorEastAsia" w:eastAsiaTheme="minorEastAsia"/>
                <w:color w:val="auto"/>
                <w:kern w:val="0"/>
                <w:sz w:val="15"/>
                <w:szCs w:val="15"/>
                <w:highlight w:val="none"/>
              </w:rPr>
              <w:t>第（三）项；处罚条款：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第一款第（三）项 </w:t>
            </w:r>
            <w:r>
              <w:rPr>
                <w:rFonts w:cs="宋体" w:asciiTheme="minorEastAsia" w:hAnsiTheme="minorEastAsia" w:eastAsiaTheme="minorEastAsia"/>
                <w:color w:val="auto"/>
                <w:kern w:val="0"/>
                <w:sz w:val="15"/>
                <w:szCs w:val="15"/>
                <w:highlight w:val="none"/>
              </w:rPr>
              <w:t>给予警告，并处5元以上50元以下罚款</w:t>
            </w:r>
          </w:p>
        </w:tc>
        <w:tc>
          <w:tcPr>
            <w:tcW w:w="851" w:type="dxa"/>
            <w:vMerge w:val="restart"/>
            <w:shd w:val="clear" w:color="auto" w:fill="auto"/>
            <w:vAlign w:val="center"/>
          </w:tcPr>
          <w:p w14:paraId="12192FFF">
            <w:pPr>
              <w:spacing w:line="200"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14:paraId="6C03CBCE">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restart"/>
            <w:shd w:val="clear" w:color="auto" w:fill="auto"/>
            <w:vAlign w:val="center"/>
          </w:tcPr>
          <w:p w14:paraId="076558D1">
            <w:pPr>
              <w:spacing w:line="20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 </w:t>
            </w:r>
          </w:p>
        </w:tc>
        <w:tc>
          <w:tcPr>
            <w:tcW w:w="1875" w:type="dxa"/>
            <w:gridSpan w:val="2"/>
            <w:vMerge w:val="restart"/>
            <w:shd w:val="clear" w:color="auto" w:fill="auto"/>
            <w:vAlign w:val="center"/>
          </w:tcPr>
          <w:p w14:paraId="604EA032">
            <w:pPr>
              <w:spacing w:line="200" w:lineRule="exact"/>
              <w:rPr>
                <w:rFonts w:cs="宋体" w:asciiTheme="minorEastAsia" w:hAnsiTheme="minorEastAsia" w:eastAsiaTheme="minorEastAsia"/>
                <w:color w:val="auto"/>
                <w:kern w:val="0"/>
                <w:sz w:val="15"/>
                <w:szCs w:val="15"/>
                <w:highlight w:val="none"/>
              </w:rPr>
            </w:pPr>
          </w:p>
        </w:tc>
        <w:tc>
          <w:tcPr>
            <w:tcW w:w="1982" w:type="dxa"/>
            <w:gridSpan w:val="2"/>
            <w:vMerge w:val="restart"/>
            <w:shd w:val="clear" w:color="auto" w:fill="auto"/>
            <w:vAlign w:val="center"/>
          </w:tcPr>
          <w:p w14:paraId="0732620F">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r>
      <w:tr w14:paraId="1A558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26" w:hRule="atLeast"/>
          <w:jc w:val="center"/>
        </w:trPr>
        <w:tc>
          <w:tcPr>
            <w:tcW w:w="610" w:type="dxa"/>
            <w:shd w:val="clear" w:color="auto" w:fill="auto"/>
            <w:vAlign w:val="center"/>
          </w:tcPr>
          <w:p w14:paraId="3E5CF3EF">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tcBorders>
              <w:bottom w:val="single" w:color="auto" w:sz="4" w:space="0"/>
            </w:tcBorders>
            <w:shd w:val="clear" w:color="auto" w:fill="auto"/>
            <w:vAlign w:val="center"/>
          </w:tcPr>
          <w:p w14:paraId="000C42E5">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攀折花木</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损坏草坪、树木</w:t>
            </w:r>
            <w:r>
              <w:rPr>
                <w:rFonts w:hint="eastAsia" w:cs="宋体" w:asciiTheme="minorEastAsia" w:hAnsiTheme="minorEastAsia" w:eastAsiaTheme="minorEastAsia"/>
                <w:color w:val="auto"/>
                <w:kern w:val="0"/>
                <w:sz w:val="15"/>
                <w:szCs w:val="15"/>
                <w:highlight w:val="none"/>
              </w:rPr>
              <w:t>）</w:t>
            </w:r>
          </w:p>
        </w:tc>
        <w:tc>
          <w:tcPr>
            <w:tcW w:w="2789" w:type="dxa"/>
            <w:gridSpan w:val="2"/>
            <w:vMerge w:val="continue"/>
            <w:tcBorders>
              <w:bottom w:val="single" w:color="auto" w:sz="4" w:space="0"/>
            </w:tcBorders>
            <w:shd w:val="clear" w:color="auto" w:fill="auto"/>
            <w:vAlign w:val="center"/>
          </w:tcPr>
          <w:p w14:paraId="3DD20D7D">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14:paraId="51481F69">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14:paraId="13B82A31">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3426" w:type="dxa"/>
            <w:vMerge w:val="continue"/>
            <w:tcBorders>
              <w:bottom w:val="single" w:color="auto" w:sz="4" w:space="0"/>
            </w:tcBorders>
            <w:shd w:val="clear" w:color="auto" w:fill="auto"/>
            <w:vAlign w:val="center"/>
          </w:tcPr>
          <w:p w14:paraId="5DB997E5">
            <w:pPr>
              <w:spacing w:line="200" w:lineRule="exact"/>
              <w:rPr>
                <w:rFonts w:cs="宋体" w:asciiTheme="minorEastAsia" w:hAnsiTheme="minorEastAsia" w:eastAsiaTheme="minorEastAsia"/>
                <w:color w:val="auto"/>
                <w:kern w:val="0"/>
                <w:sz w:val="15"/>
                <w:szCs w:val="15"/>
                <w:highlight w:val="none"/>
              </w:rPr>
            </w:pPr>
          </w:p>
        </w:tc>
        <w:tc>
          <w:tcPr>
            <w:tcW w:w="1875" w:type="dxa"/>
            <w:gridSpan w:val="2"/>
            <w:vMerge w:val="continue"/>
            <w:tcBorders>
              <w:bottom w:val="single" w:color="auto" w:sz="4" w:space="0"/>
            </w:tcBorders>
            <w:shd w:val="clear" w:color="auto" w:fill="auto"/>
            <w:vAlign w:val="center"/>
          </w:tcPr>
          <w:p w14:paraId="46DF952A">
            <w:pPr>
              <w:spacing w:line="200" w:lineRule="exact"/>
              <w:rPr>
                <w:rFonts w:cs="宋体" w:asciiTheme="minorEastAsia" w:hAnsiTheme="minorEastAsia" w:eastAsiaTheme="minorEastAsia"/>
                <w:color w:val="auto"/>
                <w:kern w:val="0"/>
                <w:sz w:val="15"/>
                <w:szCs w:val="15"/>
                <w:highlight w:val="none"/>
              </w:rPr>
            </w:pPr>
          </w:p>
        </w:tc>
        <w:tc>
          <w:tcPr>
            <w:tcW w:w="1982" w:type="dxa"/>
            <w:gridSpan w:val="2"/>
            <w:vMerge w:val="continue"/>
            <w:tcBorders>
              <w:bottom w:val="single" w:color="auto" w:sz="4" w:space="0"/>
            </w:tcBorders>
            <w:shd w:val="clear" w:color="auto" w:fill="auto"/>
            <w:vAlign w:val="center"/>
          </w:tcPr>
          <w:p w14:paraId="1C1DB5AB">
            <w:pPr>
              <w:spacing w:line="200" w:lineRule="exact"/>
              <w:rPr>
                <w:rFonts w:cs="宋体" w:asciiTheme="minorEastAsia" w:hAnsiTheme="minorEastAsia" w:eastAsiaTheme="minorEastAsia"/>
                <w:color w:val="auto"/>
                <w:kern w:val="0"/>
                <w:sz w:val="15"/>
                <w:szCs w:val="15"/>
                <w:highlight w:val="none"/>
              </w:rPr>
            </w:pPr>
          </w:p>
        </w:tc>
      </w:tr>
      <w:tr w14:paraId="4538F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2" w:hRule="atLeast"/>
          <w:jc w:val="center"/>
        </w:trPr>
        <w:tc>
          <w:tcPr>
            <w:tcW w:w="610" w:type="dxa"/>
            <w:shd w:val="clear" w:color="auto" w:fill="auto"/>
            <w:vAlign w:val="center"/>
          </w:tcPr>
          <w:p w14:paraId="003BB3DF">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14:paraId="4DB9F560">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擅自改变公园的功能</w:t>
            </w:r>
          </w:p>
        </w:tc>
        <w:tc>
          <w:tcPr>
            <w:tcW w:w="2789" w:type="dxa"/>
            <w:gridSpan w:val="2"/>
            <w:shd w:val="clear" w:color="auto" w:fill="auto"/>
            <w:vAlign w:val="center"/>
          </w:tcPr>
          <w:p w14:paraId="6EC85C8F">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第（一）项 责令限期改正，恢复原功能，并可以处1万元以上10万元以下罚款。</w:t>
            </w:r>
          </w:p>
        </w:tc>
        <w:tc>
          <w:tcPr>
            <w:tcW w:w="851" w:type="dxa"/>
            <w:shd w:val="clear" w:color="auto" w:fill="auto"/>
            <w:vAlign w:val="center"/>
          </w:tcPr>
          <w:p w14:paraId="5B1C691E">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8BC640B">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BFB2CC8">
            <w:pPr>
              <w:spacing w:line="200"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改变</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lang w:val="en-US" w:eastAsia="zh-CN"/>
              </w:rPr>
              <w:t>功能的，</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eastAsia="宋体" w:cs="宋体"/>
                <w:color w:val="auto"/>
                <w:kern w:val="0"/>
                <w:sz w:val="15"/>
                <w:szCs w:val="15"/>
                <w:highlight w:val="none"/>
                <w:lang w:eastAsia="zh-CN"/>
              </w:rPr>
              <w:t>改变</w:t>
            </w:r>
            <w:r>
              <w:rPr>
                <w:rFonts w:hint="eastAsia" w:ascii="宋体" w:hAnsi="宋体" w:cs="宋体"/>
                <w:color w:val="auto"/>
                <w:kern w:val="0"/>
                <w:sz w:val="15"/>
                <w:szCs w:val="15"/>
                <w:highlight w:val="none"/>
                <w:lang w:eastAsia="zh-CN"/>
              </w:rPr>
              <w:t>级别为二级的公园功能</w:t>
            </w:r>
            <w:r>
              <w:rPr>
                <w:rFonts w:hint="eastAsia" w:ascii="宋体" w:hAnsi="宋体" w:eastAsia="宋体" w:cs="宋体"/>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改变</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lang w:eastAsia="zh-CN"/>
              </w:rPr>
              <w:t>功</w:t>
            </w:r>
            <w:r>
              <w:rPr>
                <w:rFonts w:hint="eastAsia" w:ascii="宋体" w:hAnsi="宋体" w:eastAsia="宋体" w:cs="宋体"/>
                <w:color w:val="auto"/>
                <w:kern w:val="0"/>
                <w:sz w:val="15"/>
                <w:szCs w:val="15"/>
                <w:highlight w:val="none"/>
              </w:rPr>
              <w:t>能</w:t>
            </w:r>
            <w:r>
              <w:rPr>
                <w:rFonts w:ascii="宋体" w:hAnsi="宋体" w:eastAsia="宋体" w:cs="宋体"/>
                <w:color w:val="auto"/>
                <w:kern w:val="0"/>
                <w:sz w:val="15"/>
                <w:szCs w:val="15"/>
                <w:highlight w:val="none"/>
              </w:rPr>
              <w:t>的</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A5B2744">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DEE86BD">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14:paraId="7C12C3F4">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14:paraId="61204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72" w:hRule="atLeast"/>
          <w:jc w:val="center"/>
        </w:trPr>
        <w:tc>
          <w:tcPr>
            <w:tcW w:w="610" w:type="dxa"/>
            <w:shd w:val="clear" w:color="auto" w:fill="auto"/>
            <w:vAlign w:val="center"/>
          </w:tcPr>
          <w:p w14:paraId="2D34DDB9">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14:paraId="68450A66">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侵占公园用地</w:t>
            </w:r>
          </w:p>
        </w:tc>
        <w:tc>
          <w:tcPr>
            <w:tcW w:w="2789" w:type="dxa"/>
            <w:gridSpan w:val="2"/>
            <w:shd w:val="clear" w:color="auto" w:fill="auto"/>
            <w:vAlign w:val="center"/>
          </w:tcPr>
          <w:p w14:paraId="5458B785">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第（二）项 责令立即腾退，恢复原状，并可以按照侵占面积每平方米处300元罚款。</w:t>
            </w:r>
          </w:p>
        </w:tc>
        <w:tc>
          <w:tcPr>
            <w:tcW w:w="851" w:type="dxa"/>
            <w:shd w:val="clear" w:color="auto" w:fill="auto"/>
            <w:vAlign w:val="center"/>
          </w:tcPr>
          <w:p w14:paraId="605CB0FA">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60526BD0">
            <w:pPr>
              <w:spacing w:line="20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011203E3">
            <w:pPr>
              <w:spacing w:line="20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168DA55F">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罚款数额＝侵占面积×300元。</w:t>
            </w:r>
          </w:p>
        </w:tc>
        <w:tc>
          <w:tcPr>
            <w:tcW w:w="1982" w:type="dxa"/>
            <w:gridSpan w:val="2"/>
            <w:shd w:val="clear" w:color="auto" w:fill="auto"/>
            <w:vAlign w:val="center"/>
          </w:tcPr>
          <w:p w14:paraId="28AA6E98">
            <w:pPr>
              <w:spacing w:line="200" w:lineRule="exact"/>
              <w:rPr>
                <w:rFonts w:cs="宋体" w:asciiTheme="minorEastAsia" w:hAnsiTheme="minorEastAsia" w:eastAsiaTheme="minorEastAsia"/>
                <w:color w:val="auto"/>
                <w:kern w:val="0"/>
                <w:sz w:val="15"/>
                <w:szCs w:val="15"/>
                <w:highlight w:val="none"/>
              </w:rPr>
            </w:pPr>
          </w:p>
        </w:tc>
      </w:tr>
      <w:tr w14:paraId="1CE3E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50" w:hRule="atLeast"/>
          <w:jc w:val="center"/>
        </w:trPr>
        <w:tc>
          <w:tcPr>
            <w:tcW w:w="610" w:type="dxa"/>
            <w:shd w:val="clear" w:color="auto" w:fill="auto"/>
            <w:vAlign w:val="center"/>
          </w:tcPr>
          <w:p w14:paraId="6A0B86C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14:paraId="23D09628">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公园未经验收交付使用</w:t>
            </w:r>
          </w:p>
        </w:tc>
        <w:tc>
          <w:tcPr>
            <w:tcW w:w="2789" w:type="dxa"/>
            <w:gridSpan w:val="2"/>
            <w:shd w:val="clear" w:color="auto" w:fill="auto"/>
            <w:vAlign w:val="center"/>
          </w:tcPr>
          <w:p w14:paraId="314ACA36">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，责令改正，并可以处1万元以上10万元以下罚款。</w:t>
            </w:r>
          </w:p>
        </w:tc>
        <w:tc>
          <w:tcPr>
            <w:tcW w:w="851" w:type="dxa"/>
            <w:shd w:val="clear" w:color="auto" w:fill="auto"/>
            <w:vAlign w:val="center"/>
          </w:tcPr>
          <w:p w14:paraId="4D069816">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F1CDD87">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7B9B380">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1.公园建设工程已经完工，具备开园条件，但未经验收交付使用的，系数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-4；2.公园建设工程尚未完全完工，且未经验收交付使用的，系数5-9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1C9193E">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961C678">
            <w:pPr>
              <w:spacing w:line="224" w:lineRule="exact"/>
              <w:rPr>
                <w:rFonts w:cs="宋体" w:asciiTheme="minorEastAsia" w:hAnsiTheme="minorEastAsia" w:eastAsiaTheme="minorEastAsia"/>
                <w:color w:val="auto"/>
                <w:kern w:val="0"/>
                <w:sz w:val="15"/>
                <w:szCs w:val="15"/>
                <w:highlight w:val="none"/>
              </w:rPr>
            </w:pPr>
          </w:p>
        </w:tc>
      </w:tr>
      <w:tr w14:paraId="77142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767F78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14:paraId="3957768C">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在历史名园保护区内建设影响原有风貌和格局的建筑物、构建物</w:t>
            </w:r>
          </w:p>
        </w:tc>
        <w:tc>
          <w:tcPr>
            <w:tcW w:w="2789" w:type="dxa"/>
            <w:gridSpan w:val="2"/>
            <w:shd w:val="clear" w:color="auto" w:fill="auto"/>
            <w:vAlign w:val="center"/>
          </w:tcPr>
          <w:p w14:paraId="772A0353">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二十九</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三</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shd w:val="clear" w:color="auto" w:fill="auto"/>
            <w:vAlign w:val="center"/>
          </w:tcPr>
          <w:p w14:paraId="57499E03">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14:paraId="1A949994">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7305690">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1.面积500平方米以下（不含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0</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.违法建筑物、构筑物的面积500平方米以上不足1000平方米（不含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）的，系数4</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.违法建筑物、构筑物的面积1000平方米以上的，系数7-9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0097011">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系数）×面积。</w:t>
            </w:r>
          </w:p>
        </w:tc>
        <w:tc>
          <w:tcPr>
            <w:tcW w:w="1982" w:type="dxa"/>
            <w:gridSpan w:val="2"/>
            <w:shd w:val="clear" w:color="auto" w:fill="auto"/>
            <w:vAlign w:val="center"/>
          </w:tcPr>
          <w:p w14:paraId="7E88E5C4">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对原有文物建筑及其附属物损毁、改建、拆除的，按照文物保护的法律、法规规定予以处罚和赔偿。</w:t>
            </w:r>
          </w:p>
        </w:tc>
      </w:tr>
      <w:tr w14:paraId="74BD3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56" w:hRule="atLeast"/>
          <w:jc w:val="center"/>
        </w:trPr>
        <w:tc>
          <w:tcPr>
            <w:tcW w:w="610" w:type="dxa"/>
            <w:shd w:val="clear" w:color="auto" w:fill="auto"/>
            <w:vAlign w:val="center"/>
          </w:tcPr>
          <w:p w14:paraId="3F89986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14:paraId="6AED2229">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擅自改变无法以人力再造和无法再生的自然景观</w:t>
            </w:r>
          </w:p>
        </w:tc>
        <w:tc>
          <w:tcPr>
            <w:tcW w:w="2789" w:type="dxa"/>
            <w:gridSpan w:val="2"/>
            <w:shd w:val="clear" w:color="auto" w:fill="auto"/>
            <w:vAlign w:val="center"/>
          </w:tcPr>
          <w:p w14:paraId="4AD3FBE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 责令停止违法行为，并处1万元以上10万元以下罚款。</w:t>
            </w:r>
          </w:p>
        </w:tc>
        <w:tc>
          <w:tcPr>
            <w:tcW w:w="851" w:type="dxa"/>
            <w:shd w:val="clear" w:color="auto" w:fill="auto"/>
            <w:vAlign w:val="center"/>
          </w:tcPr>
          <w:p w14:paraId="170520FB">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14:paraId="56D6E6DE">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BBBF459">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235D899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A62C4D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14:paraId="65339D5F">
            <w:pPr>
              <w:spacing w:line="240" w:lineRule="exact"/>
              <w:rPr>
                <w:rFonts w:cs="宋体" w:asciiTheme="minorEastAsia" w:hAnsiTheme="minorEastAsia" w:eastAsiaTheme="minorEastAsia"/>
                <w:color w:val="auto"/>
                <w:kern w:val="0"/>
                <w:sz w:val="15"/>
                <w:szCs w:val="15"/>
                <w:highlight w:val="none"/>
              </w:rPr>
            </w:pPr>
          </w:p>
          <w:p w14:paraId="6F3138B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造成损失的，依法承担赔偿责任；构成犯罪的，依法追究刑事责任。</w:t>
            </w:r>
          </w:p>
        </w:tc>
      </w:tr>
      <w:tr w14:paraId="03786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25" w:hRule="atLeast"/>
          <w:jc w:val="center"/>
        </w:trPr>
        <w:tc>
          <w:tcPr>
            <w:tcW w:w="610" w:type="dxa"/>
            <w:shd w:val="clear" w:color="auto" w:fill="auto"/>
            <w:vAlign w:val="center"/>
          </w:tcPr>
          <w:p w14:paraId="5131DE1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14:paraId="170655DF">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擅自改变具有特殊历史文化价值的人文景观原有风貌和格局</w:t>
            </w:r>
          </w:p>
        </w:tc>
        <w:tc>
          <w:tcPr>
            <w:tcW w:w="2789" w:type="dxa"/>
            <w:gridSpan w:val="2"/>
            <w:shd w:val="clear" w:color="auto" w:fill="auto"/>
            <w:vAlign w:val="center"/>
          </w:tcPr>
          <w:p w14:paraId="5FCDE93B">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，责令停止违法行为，并处1万元以上10万元以下罚款。</w:t>
            </w:r>
          </w:p>
        </w:tc>
        <w:tc>
          <w:tcPr>
            <w:tcW w:w="851" w:type="dxa"/>
            <w:shd w:val="clear" w:color="auto" w:fill="auto"/>
            <w:vAlign w:val="center"/>
          </w:tcPr>
          <w:p w14:paraId="31222100">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14:paraId="22DD7441">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58FF72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761D88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CBD2C5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14:paraId="75002457">
            <w:pPr>
              <w:spacing w:line="240" w:lineRule="exact"/>
              <w:rPr>
                <w:rFonts w:cs="宋体" w:asciiTheme="minorEastAsia" w:hAnsiTheme="minorEastAsia" w:eastAsiaTheme="minorEastAsia"/>
                <w:color w:val="auto"/>
                <w:kern w:val="0"/>
                <w:sz w:val="15"/>
                <w:szCs w:val="15"/>
                <w:highlight w:val="none"/>
              </w:rPr>
            </w:pPr>
          </w:p>
        </w:tc>
      </w:tr>
      <w:tr w14:paraId="60716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58" w:hRule="atLeast"/>
          <w:jc w:val="center"/>
        </w:trPr>
        <w:tc>
          <w:tcPr>
            <w:tcW w:w="610" w:type="dxa"/>
            <w:shd w:val="clear" w:color="auto" w:fill="auto"/>
            <w:vAlign w:val="center"/>
          </w:tcPr>
          <w:p w14:paraId="6BB4A5D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14:paraId="1C32DCCB">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公园管理机构未按照标准做好清扫保洁</w:t>
            </w:r>
          </w:p>
        </w:tc>
        <w:tc>
          <w:tcPr>
            <w:tcW w:w="2789" w:type="dxa"/>
            <w:gridSpan w:val="2"/>
            <w:shd w:val="clear" w:color="auto" w:fill="auto"/>
            <w:vAlign w:val="center"/>
          </w:tcPr>
          <w:p w14:paraId="053AC5BE">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三十六</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第一款第</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六</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14:paraId="2ECD3A8B">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3F32CA4A">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31EFF0B">
            <w:pPr>
              <w:spacing w:line="240"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BD83AB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AE10F0F">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p w14:paraId="791DC70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14:paraId="3AB28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10" w:hRule="atLeast"/>
          <w:jc w:val="center"/>
        </w:trPr>
        <w:tc>
          <w:tcPr>
            <w:tcW w:w="610" w:type="dxa"/>
            <w:shd w:val="clear" w:color="auto" w:fill="auto"/>
            <w:vAlign w:val="center"/>
          </w:tcPr>
          <w:p w14:paraId="5020E72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14:paraId="70EDDF4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在公园内搭建棚舍、擅自摆摊设点</w:t>
            </w:r>
          </w:p>
        </w:tc>
        <w:tc>
          <w:tcPr>
            <w:tcW w:w="2789" w:type="dxa"/>
            <w:gridSpan w:val="2"/>
            <w:shd w:val="clear" w:color="auto" w:fill="auto"/>
            <w:vAlign w:val="center"/>
          </w:tcPr>
          <w:p w14:paraId="4C88ED4C">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14:paraId="5513E5A2">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2E914A3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9621166">
            <w:pPr>
              <w:spacing w:line="240"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A73F4C6">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2CFF5BA1">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p w14:paraId="1A49EC58">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14:paraId="54A29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50" w:hRule="atLeast"/>
          <w:jc w:val="center"/>
        </w:trPr>
        <w:tc>
          <w:tcPr>
            <w:tcW w:w="610" w:type="dxa"/>
            <w:shd w:val="clear" w:color="auto" w:fill="auto"/>
            <w:vAlign w:val="center"/>
          </w:tcPr>
          <w:p w14:paraId="66507FD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14:paraId="0B3C259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在公园内随意堆放物料、拉绳挂物</w:t>
            </w:r>
          </w:p>
        </w:tc>
        <w:tc>
          <w:tcPr>
            <w:tcW w:w="2789" w:type="dxa"/>
            <w:gridSpan w:val="2"/>
            <w:shd w:val="clear" w:color="auto" w:fill="auto"/>
            <w:vAlign w:val="center"/>
          </w:tcPr>
          <w:p w14:paraId="4855DF50">
            <w:pPr>
              <w:spacing w:line="20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w:t>
            </w:r>
            <w:r>
              <w:rPr>
                <w:rFonts w:cs="宋体" w:asciiTheme="minorEastAsia" w:hAnsiTheme="minorEastAsia" w:eastAsiaTheme="minorEastAsia"/>
                <w:color w:val="auto"/>
                <w:spacing w:val="-4"/>
                <w:kern w:val="0"/>
                <w:sz w:val="15"/>
                <w:szCs w:val="15"/>
                <w:highlight w:val="none"/>
              </w:rPr>
              <w:t>第</w:t>
            </w:r>
            <w:r>
              <w:rPr>
                <w:rFonts w:hint="eastAsia" w:cs="宋体" w:asciiTheme="minorEastAsia" w:hAnsiTheme="minorEastAsia" w:eastAsiaTheme="minorEastAsia"/>
                <w:color w:val="auto"/>
                <w:spacing w:val="-4"/>
                <w:kern w:val="0"/>
                <w:sz w:val="15"/>
                <w:szCs w:val="15"/>
                <w:highlight w:val="none"/>
              </w:rPr>
              <w:t>三十七</w:t>
            </w:r>
            <w:r>
              <w:rPr>
                <w:rFonts w:cs="宋体" w:asciiTheme="minorEastAsia" w:hAnsiTheme="minorEastAsia" w:eastAsiaTheme="minorEastAsia"/>
                <w:color w:val="auto"/>
                <w:spacing w:val="-4"/>
                <w:kern w:val="0"/>
                <w:sz w:val="15"/>
                <w:szCs w:val="15"/>
                <w:highlight w:val="none"/>
              </w:rPr>
              <w:t>条</w:t>
            </w:r>
            <w:r>
              <w:rPr>
                <w:rFonts w:hint="eastAsia" w:cs="宋体" w:asciiTheme="minorEastAsia" w:hAnsiTheme="minorEastAsia" w:eastAsiaTheme="minorEastAsia"/>
                <w:color w:val="auto"/>
                <w:spacing w:val="-4"/>
                <w:kern w:val="0"/>
                <w:sz w:val="15"/>
                <w:szCs w:val="15"/>
                <w:highlight w:val="none"/>
              </w:rPr>
              <w:t>；处罚条款：</w:t>
            </w:r>
            <w:r>
              <w:rPr>
                <w:rFonts w:cs="宋体" w:asciiTheme="minorEastAsia" w:hAnsiTheme="minorEastAsia" w:eastAsiaTheme="minorEastAsia"/>
                <w:color w:val="auto"/>
                <w:spacing w:val="-4"/>
                <w:kern w:val="0"/>
                <w:sz w:val="15"/>
                <w:szCs w:val="15"/>
                <w:highlight w:val="none"/>
              </w:rPr>
              <w:t>第五十</w:t>
            </w:r>
            <w:r>
              <w:rPr>
                <w:rFonts w:hint="eastAsia" w:cs="宋体" w:asciiTheme="minorEastAsia" w:hAnsiTheme="minorEastAsia" w:eastAsiaTheme="minorEastAsia"/>
                <w:color w:val="auto"/>
                <w:spacing w:val="-4"/>
                <w:kern w:val="0"/>
                <w:sz w:val="15"/>
                <w:szCs w:val="15"/>
                <w:highlight w:val="none"/>
              </w:rPr>
              <w:t>五</w:t>
            </w:r>
            <w:r>
              <w:rPr>
                <w:rFonts w:cs="宋体" w:asciiTheme="minorEastAsia" w:hAnsiTheme="minorEastAsia" w:eastAsiaTheme="minorEastAsia"/>
                <w:color w:val="auto"/>
                <w:spacing w:val="-4"/>
                <w:kern w:val="0"/>
                <w:sz w:val="15"/>
                <w:szCs w:val="15"/>
                <w:highlight w:val="none"/>
              </w:rPr>
              <w:t>条第（</w:t>
            </w:r>
            <w:r>
              <w:rPr>
                <w:rFonts w:hint="eastAsia" w:cs="宋体" w:asciiTheme="minorEastAsia" w:hAnsiTheme="minorEastAsia" w:eastAsiaTheme="minorEastAsia"/>
                <w:color w:val="auto"/>
                <w:spacing w:val="-4"/>
                <w:kern w:val="0"/>
                <w:sz w:val="15"/>
                <w:szCs w:val="15"/>
                <w:highlight w:val="none"/>
              </w:rPr>
              <w:t>三</w:t>
            </w:r>
            <w:r>
              <w:rPr>
                <w:rFonts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项，责令改正，并可以处100元以上1000元以下罚款。</w:t>
            </w:r>
          </w:p>
        </w:tc>
        <w:tc>
          <w:tcPr>
            <w:tcW w:w="851" w:type="dxa"/>
            <w:shd w:val="clear" w:color="auto" w:fill="auto"/>
            <w:vAlign w:val="center"/>
          </w:tcPr>
          <w:p w14:paraId="6BEE7E5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7CA8BB5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2A9DD0C">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257C44F6">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751340E">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p w14:paraId="0C50B8A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14:paraId="3BA7B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11" w:hRule="atLeast"/>
          <w:jc w:val="center"/>
        </w:trPr>
        <w:tc>
          <w:tcPr>
            <w:tcW w:w="610" w:type="dxa"/>
            <w:shd w:val="clear" w:color="auto" w:fill="auto"/>
            <w:vAlign w:val="center"/>
          </w:tcPr>
          <w:p w14:paraId="638F723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14:paraId="2865551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公园内牌示污损、丢失不及时更换或者补设</w:t>
            </w:r>
          </w:p>
        </w:tc>
        <w:tc>
          <w:tcPr>
            <w:tcW w:w="2789" w:type="dxa"/>
            <w:gridSpan w:val="2"/>
            <w:shd w:val="clear" w:color="auto" w:fill="auto"/>
            <w:vAlign w:val="center"/>
          </w:tcPr>
          <w:p w14:paraId="67F3537A">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14:paraId="5513ED5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14:paraId="71CF47F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156E89B">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0D579C9F">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27F90100">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p w14:paraId="62FE6B6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14:paraId="5491D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16" w:hRule="atLeast"/>
          <w:jc w:val="center"/>
        </w:trPr>
        <w:tc>
          <w:tcPr>
            <w:tcW w:w="610" w:type="dxa"/>
            <w:shd w:val="clear" w:color="auto" w:fill="auto"/>
            <w:vAlign w:val="center"/>
          </w:tcPr>
          <w:p w14:paraId="3F90DB1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auto"/>
            <w:vAlign w:val="center"/>
          </w:tcPr>
          <w:p w14:paraId="22E4320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在公园内追逐游客强行兜售物品</w:t>
            </w:r>
          </w:p>
        </w:tc>
        <w:tc>
          <w:tcPr>
            <w:tcW w:w="2789" w:type="dxa"/>
            <w:gridSpan w:val="2"/>
            <w:shd w:val="clear" w:color="auto" w:fill="auto"/>
            <w:vAlign w:val="center"/>
          </w:tcPr>
          <w:p w14:paraId="1FB77FA9">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w:t>
            </w:r>
            <w:r>
              <w:rPr>
                <w:rFonts w:hint="eastAsia" w:cs="宋体" w:asciiTheme="minorEastAsia" w:hAnsiTheme="minorEastAsia" w:eastAsiaTheme="minorEastAsia"/>
                <w:color w:val="auto"/>
                <w:kern w:val="0"/>
                <w:sz w:val="15"/>
                <w:szCs w:val="15"/>
                <w:highlight w:val="none"/>
              </w:rPr>
              <w:t>七条；处罚条款：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，责令改正，没收违法所得，并处50元以上500元以下罚款。</w:t>
            </w:r>
          </w:p>
        </w:tc>
        <w:tc>
          <w:tcPr>
            <w:tcW w:w="851" w:type="dxa"/>
            <w:shd w:val="clear" w:color="auto" w:fill="auto"/>
            <w:vAlign w:val="center"/>
          </w:tcPr>
          <w:p w14:paraId="4B3272A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14:paraId="6C56031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E28387A">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cs="宋体"/>
                <w:color w:val="auto"/>
                <w:kern w:val="0"/>
                <w:sz w:val="15"/>
                <w:szCs w:val="15"/>
                <w:highlight w:val="none"/>
                <w:lang w:eastAsia="zh-CN"/>
              </w:rPr>
              <w:t>级别为三、四级的公园</w:t>
            </w:r>
            <w:r>
              <w:rPr>
                <w:rFonts w:hint="eastAsia" w:ascii="宋体" w:hAnsi="宋体" w:eastAsia="宋体" w:cs="宋体"/>
                <w:color w:val="auto"/>
                <w:kern w:val="0"/>
                <w:sz w:val="15"/>
                <w:szCs w:val="15"/>
                <w:highlight w:val="none"/>
                <w:lang w:val="en-US" w:eastAsia="zh-CN"/>
              </w:rPr>
              <w:t>，</w:t>
            </w:r>
            <w:r>
              <w:rPr>
                <w:rFonts w:hint="eastAsia" w:ascii="宋体" w:hAnsi="宋体" w:cs="宋体"/>
                <w:color w:val="auto"/>
                <w:kern w:val="0"/>
                <w:sz w:val="15"/>
                <w:szCs w:val="15"/>
                <w:highlight w:val="none"/>
                <w:lang w:val="en-US" w:eastAsia="zh-CN"/>
              </w:rPr>
              <w:t>系数</w:t>
            </w:r>
            <w:r>
              <w:rPr>
                <w:rFonts w:hint="eastAsia" w:ascii="宋体" w:hAnsi="宋体" w:eastAsia="宋体" w:cs="宋体"/>
                <w:color w:val="auto"/>
                <w:kern w:val="0"/>
                <w:sz w:val="15"/>
                <w:szCs w:val="15"/>
                <w:highlight w:val="none"/>
                <w:lang w:val="en-US" w:eastAsia="zh-CN"/>
              </w:rPr>
              <w:t>0-3</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2.</w:t>
            </w:r>
            <w:r>
              <w:rPr>
                <w:rFonts w:hint="eastAsia" w:ascii="宋体" w:hAnsi="宋体" w:cs="宋体"/>
                <w:color w:val="auto"/>
                <w:kern w:val="0"/>
                <w:sz w:val="15"/>
                <w:szCs w:val="15"/>
                <w:highlight w:val="none"/>
                <w:lang w:eastAsia="zh-CN"/>
              </w:rPr>
              <w:t>级别为二级的公园</w:t>
            </w:r>
            <w:r>
              <w:rPr>
                <w:rFonts w:hint="eastAsia" w:ascii="宋体" w:hAnsi="宋体" w:eastAsia="宋体" w:cs="宋体"/>
                <w:color w:val="auto"/>
                <w:kern w:val="0"/>
                <w:sz w:val="15"/>
                <w:szCs w:val="15"/>
                <w:highlight w:val="none"/>
              </w:rPr>
              <w:t>，系数</w:t>
            </w:r>
            <w:r>
              <w:rPr>
                <w:rFonts w:hint="eastAsia" w:ascii="宋体" w:hAnsi="宋体" w:eastAsia="宋体" w:cs="宋体"/>
                <w:color w:val="auto"/>
                <w:kern w:val="0"/>
                <w:sz w:val="15"/>
                <w:szCs w:val="15"/>
                <w:highlight w:val="none"/>
                <w:lang w:val="en-US" w:eastAsia="zh-CN"/>
              </w:rPr>
              <w:t>4-</w:t>
            </w:r>
            <w:r>
              <w:rPr>
                <w:rFonts w:hint="eastAsia" w:ascii="宋体" w:hAnsi="宋体" w:cs="宋体"/>
                <w:color w:val="auto"/>
                <w:kern w:val="0"/>
                <w:sz w:val="15"/>
                <w:szCs w:val="15"/>
                <w:highlight w:val="none"/>
                <w:lang w:val="en-US" w:eastAsia="zh-CN"/>
              </w:rPr>
              <w:t>6</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lang w:val="en-US" w:eastAsia="zh-CN"/>
              </w:rPr>
              <w:t>3.</w:t>
            </w:r>
            <w:r>
              <w:rPr>
                <w:rFonts w:hint="eastAsia" w:ascii="宋体" w:hAnsi="宋体" w:cs="宋体"/>
                <w:color w:val="auto"/>
                <w:kern w:val="0"/>
                <w:sz w:val="15"/>
                <w:szCs w:val="15"/>
                <w:highlight w:val="none"/>
                <w:lang w:eastAsia="zh-CN"/>
              </w:rPr>
              <w:t>级别为一级的公园</w:t>
            </w:r>
            <w:r>
              <w:rPr>
                <w:rFonts w:hint="eastAsia" w:ascii="宋体" w:hAnsi="宋体" w:eastAsia="宋体" w:cs="宋体"/>
                <w:color w:val="auto"/>
                <w:kern w:val="0"/>
                <w:sz w:val="15"/>
                <w:szCs w:val="15"/>
                <w:highlight w:val="none"/>
              </w:rPr>
              <w:t>，</w:t>
            </w:r>
            <w:r>
              <w:rPr>
                <w:rFonts w:ascii="宋体" w:hAnsi="宋体" w:eastAsia="宋体" w:cs="宋体"/>
                <w:color w:val="auto"/>
                <w:kern w:val="0"/>
                <w:sz w:val="15"/>
                <w:szCs w:val="15"/>
                <w:highlight w:val="none"/>
              </w:rPr>
              <w:t>系数</w:t>
            </w:r>
            <w:r>
              <w:rPr>
                <w:rFonts w:hint="eastAsia" w:ascii="宋体" w:hAnsi="宋体" w:cs="宋体"/>
                <w:color w:val="auto"/>
                <w:kern w:val="0"/>
                <w:sz w:val="15"/>
                <w:szCs w:val="15"/>
                <w:highlight w:val="none"/>
                <w:lang w:val="en-US" w:eastAsia="zh-CN"/>
              </w:rPr>
              <w:t>7</w:t>
            </w:r>
            <w:r>
              <w:rPr>
                <w:rFonts w:ascii="宋体" w:hAnsi="宋体" w:eastAsia="宋体" w:cs="宋体"/>
                <w:color w:val="auto"/>
                <w:kern w:val="0"/>
                <w:sz w:val="15"/>
                <w:szCs w:val="15"/>
                <w:highlight w:val="none"/>
              </w:rPr>
              <w:t>-9</w:t>
            </w:r>
            <w:r>
              <w:rPr>
                <w:rFonts w:hint="eastAsia" w:ascii="宋体" w:hAnsi="宋体" w:eastAsia="宋体" w:cs="宋体"/>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5113322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23ACBD87">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p w14:paraId="24AE410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公园分类分级的标准按照《北京市公园名录》执行。</w:t>
            </w:r>
          </w:p>
        </w:tc>
      </w:tr>
      <w:tr w14:paraId="1A962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81" w:hRule="atLeast"/>
          <w:jc w:val="center"/>
        </w:trPr>
        <w:tc>
          <w:tcPr>
            <w:tcW w:w="14203" w:type="dxa"/>
            <w:gridSpan w:val="13"/>
            <w:shd w:val="clear" w:color="auto" w:fill="auto"/>
            <w:vAlign w:val="center"/>
          </w:tcPr>
          <w:p w14:paraId="0616E5C3">
            <w:pPr>
              <w:pStyle w:val="2"/>
              <w:bidi w:val="0"/>
              <w:rPr>
                <w:rFonts w:ascii="黑体" w:hAnsi="黑体" w:eastAsia="黑体" w:cs="宋体"/>
                <w:color w:val="auto"/>
                <w:kern w:val="0"/>
                <w:highlight w:val="none"/>
              </w:rPr>
            </w:pPr>
            <w:bookmarkStart w:id="107" w:name="_Toc2071043694"/>
            <w:r>
              <w:rPr>
                <w:rFonts w:hint="eastAsia" w:ascii="黑体" w:hAnsi="黑体" w:eastAsia="黑体" w:cs="黑体"/>
                <w:b w:val="0"/>
                <w:bCs w:val="0"/>
                <w:color w:val="auto"/>
                <w:sz w:val="28"/>
                <w:szCs w:val="28"/>
                <w:highlight w:val="none"/>
              </w:rPr>
              <w:t>环境保护管理方面</w:t>
            </w:r>
            <w:bookmarkEnd w:id="107"/>
          </w:p>
        </w:tc>
      </w:tr>
      <w:tr w14:paraId="22DE8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87" w:hRule="atLeast"/>
          <w:jc w:val="center"/>
        </w:trPr>
        <w:tc>
          <w:tcPr>
            <w:tcW w:w="14203" w:type="dxa"/>
            <w:gridSpan w:val="13"/>
            <w:shd w:val="clear" w:color="auto" w:fill="auto"/>
            <w:vAlign w:val="center"/>
          </w:tcPr>
          <w:p w14:paraId="79C6C905">
            <w:pPr>
              <w:pStyle w:val="3"/>
              <w:keepNext w:val="0"/>
              <w:keepLines w:val="0"/>
              <w:pageBreakBefore w:val="0"/>
              <w:widowControl/>
              <w:kinsoku/>
              <w:wordWrap/>
              <w:overflowPunct/>
              <w:topLinePunct w:val="0"/>
              <w:autoSpaceDE/>
              <w:autoSpaceDN/>
              <w:bidi w:val="0"/>
              <w:adjustRightInd/>
              <w:snapToGrid/>
              <w:jc w:val="center"/>
              <w:textAlignment w:val="auto"/>
              <w:rPr>
                <w:rFonts w:cs="宋体" w:asciiTheme="minorEastAsia" w:hAnsiTheme="minorEastAsia" w:eastAsiaTheme="minorEastAsia"/>
                <w:color w:val="auto"/>
                <w:kern w:val="0"/>
                <w:szCs w:val="15"/>
                <w:highlight w:val="none"/>
              </w:rPr>
            </w:pPr>
            <w:bookmarkStart w:id="108" w:name="_Toc1970284451"/>
            <w:r>
              <w:rPr>
                <w:rFonts w:hint="eastAsia"/>
                <w:color w:val="auto"/>
                <w:sz w:val="21"/>
                <w:szCs w:val="21"/>
                <w:highlight w:val="none"/>
              </w:rPr>
              <w:t>《中华人民共和国大气污染防治法》案由18项</w:t>
            </w:r>
            <w:bookmarkEnd w:id="108"/>
          </w:p>
        </w:tc>
      </w:tr>
      <w:tr w14:paraId="594DA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323BA2C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71AA4B7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施工单位未设置硬质围挡</w:t>
            </w:r>
          </w:p>
        </w:tc>
        <w:tc>
          <w:tcPr>
            <w:tcW w:w="2789" w:type="dxa"/>
            <w:gridSpan w:val="2"/>
            <w:shd w:val="clear" w:color="auto" w:fill="auto"/>
            <w:vAlign w:val="center"/>
          </w:tcPr>
          <w:p w14:paraId="799E46C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14:paraId="3561935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7535653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78882B1">
            <w:pPr>
              <w:widowControl w:val="0"/>
              <w:numPr>
                <w:ilvl w:val="0"/>
                <w:numId w:val="0"/>
              </w:numPr>
              <w:jc w:val="both"/>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1.未按标准设置围挡长度16-30米的，系数1；31-45米的，系数2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37189D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19CF218">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14:paraId="432D9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449F7F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15B503BC">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施工单位未采取有效防尘降尘措施</w:t>
            </w:r>
          </w:p>
        </w:tc>
        <w:tc>
          <w:tcPr>
            <w:tcW w:w="2789" w:type="dxa"/>
            <w:gridSpan w:val="2"/>
            <w:shd w:val="clear" w:color="auto" w:fill="auto"/>
            <w:vAlign w:val="center"/>
          </w:tcPr>
          <w:p w14:paraId="1CD25A90">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14:paraId="2A708AD6">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3A31237">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9D5AE50">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18825AFF">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B03D75E">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14:paraId="1F965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262" w:hRule="atLeast"/>
          <w:jc w:val="center"/>
        </w:trPr>
        <w:tc>
          <w:tcPr>
            <w:tcW w:w="610" w:type="dxa"/>
            <w:shd w:val="clear" w:color="auto" w:fill="auto"/>
            <w:vAlign w:val="center"/>
          </w:tcPr>
          <w:p w14:paraId="252F250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29865FBC">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施工单位未及时清运建筑土方（工程渣土、建筑垃圾）</w:t>
            </w:r>
          </w:p>
        </w:tc>
        <w:tc>
          <w:tcPr>
            <w:tcW w:w="2789" w:type="dxa"/>
            <w:gridSpan w:val="2"/>
            <w:shd w:val="clear" w:color="auto" w:fill="auto"/>
            <w:vAlign w:val="center"/>
          </w:tcPr>
          <w:p w14:paraId="51FA82BA">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14:paraId="723C0696">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8714767">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0A2AC83">
            <w:pPr>
              <w:numPr>
                <w:ilvl w:val="0"/>
                <w:numId w:val="0"/>
              </w:numPr>
              <w:spacing w:line="210"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sz w:val="15"/>
                <w:szCs w:val="15"/>
                <w:highlight w:val="none"/>
                <w:lang w:val="en-US" w:eastAsia="zh-CN"/>
              </w:rPr>
              <w:t>1.</w:t>
            </w:r>
            <w:r>
              <w:rPr>
                <w:rFonts w:hint="eastAsia" w:cs="宋体" w:asciiTheme="minorEastAsia" w:hAnsiTheme="minorEastAsia" w:eastAsiaTheme="minorEastAsia"/>
                <w:color w:val="auto"/>
                <w:sz w:val="15"/>
                <w:szCs w:val="15"/>
                <w:highlight w:val="none"/>
              </w:rPr>
              <w:t>垃圾占地面积10㎡以下的，系数0；11－15㎡的，系数1；16－20㎡系数2</w:t>
            </w:r>
            <w:r>
              <w:rPr>
                <w:rFonts w:hint="eastAsia" w:cs="宋体" w:asciiTheme="minorEastAsia" w:hAnsiTheme="minorEastAsia" w:eastAsiaTheme="minorEastAsia"/>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cs="宋体" w:asciiTheme="minorEastAsia" w:hAnsiTheme="minorEastAsia" w:eastAsiaTheme="minorEastAsia"/>
                <w:color w:val="auto"/>
                <w:sz w:val="15"/>
                <w:szCs w:val="15"/>
                <w:highlight w:val="none"/>
              </w:rPr>
              <w:t>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w:t>
            </w:r>
            <w:r>
              <w:rPr>
                <w:rFonts w:hint="eastAsia" w:cs="宋体" w:asciiTheme="minorEastAsia" w:hAnsiTheme="minorEastAsia" w:eastAsiaTheme="minorEastAsia"/>
                <w:color w:val="auto"/>
                <w:sz w:val="15"/>
                <w:szCs w:val="15"/>
                <w:highlight w:val="none"/>
                <w:lang w:eastAsia="zh-CN"/>
              </w:rPr>
              <w:t>逾期达2天的，系数</w:t>
            </w:r>
            <w:r>
              <w:rPr>
                <w:rFonts w:hint="eastAsia" w:cs="宋体" w:asciiTheme="minorEastAsia" w:hAnsiTheme="minorEastAsia" w:eastAsiaTheme="minorEastAsia"/>
                <w:color w:val="auto"/>
                <w:sz w:val="15"/>
                <w:szCs w:val="15"/>
                <w:highlight w:val="none"/>
                <w:lang w:val="en-US" w:eastAsia="zh-CN"/>
              </w:rPr>
              <w:t>1</w:t>
            </w:r>
            <w:r>
              <w:rPr>
                <w:rFonts w:hint="eastAsia" w:cs="宋体" w:asciiTheme="minorEastAsia" w:hAnsiTheme="minorEastAsia" w:eastAsiaTheme="minorEastAsia"/>
                <w:color w:val="auto"/>
                <w:sz w:val="15"/>
                <w:szCs w:val="15"/>
                <w:highlight w:val="none"/>
                <w:lang w:eastAsia="zh-CN"/>
              </w:rPr>
              <w:t>；逾期达4天的，系数2；逾期达6天的，系数3；逾期达8天的，系数4；逾期达10天的，系数5；以此类推，逾期达18天及以上的，系数9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strike w:val="0"/>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40D224BB">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11BB16F2">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14:paraId="2356E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85" w:hRule="atLeast"/>
          <w:jc w:val="center"/>
        </w:trPr>
        <w:tc>
          <w:tcPr>
            <w:tcW w:w="610" w:type="dxa"/>
            <w:shd w:val="clear" w:color="auto" w:fill="auto"/>
            <w:vAlign w:val="center"/>
          </w:tcPr>
          <w:p w14:paraId="1D9A7EE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48004F50">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施工单位未采用密闭式防尘网遮盖建筑土方（工程渣土、建筑垃圾）</w:t>
            </w:r>
          </w:p>
        </w:tc>
        <w:tc>
          <w:tcPr>
            <w:tcW w:w="2789" w:type="dxa"/>
            <w:gridSpan w:val="2"/>
            <w:shd w:val="clear" w:color="auto" w:fill="auto"/>
            <w:vAlign w:val="center"/>
          </w:tcPr>
          <w:p w14:paraId="1AC75A01">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14:paraId="612A8CF2">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466C27C1">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E978E36">
            <w:pPr>
              <w:spacing w:line="21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cs="宋体"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cs="宋体"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。2.造成尘土飞扬，严重污染环境的，</w:t>
            </w:r>
            <w:r>
              <w:rPr>
                <w:rFonts w:hint="eastAsia" w:cs="宋体"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cs="宋体" w:asciiTheme="minorEastAsia" w:hAnsiTheme="minorEastAsia" w:eastAsiaTheme="minorEastAsia"/>
                <w:color w:val="auto"/>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3106171E">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55DB250">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14:paraId="7979B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3776CE8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0750F75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建设单位未对暂不开工的建设用地裸露地面进行覆盖</w:t>
            </w:r>
          </w:p>
        </w:tc>
        <w:tc>
          <w:tcPr>
            <w:tcW w:w="2789" w:type="dxa"/>
            <w:gridSpan w:val="2"/>
            <w:shd w:val="clear" w:color="auto" w:fill="auto"/>
            <w:vAlign w:val="center"/>
          </w:tcPr>
          <w:p w14:paraId="340230F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14:paraId="4BD382B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032FD0F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F394151">
            <w:pPr>
              <w:spacing w:line="210"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2000</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2500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30</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3000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w:t>
            </w:r>
            <w:r>
              <w:rPr>
                <w:rFonts w:hint="eastAsia" w:asciiTheme="minorEastAsia" w:hAnsiTheme="minorEastAsia" w:eastAsiaTheme="minorEastAsia"/>
                <w:strike w:val="0"/>
                <w:color w:val="auto"/>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0BEA98D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EE1BD39">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14:paraId="3136D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4B65249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22C0CEF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建设单位未对超过三个月不能开工的建设用地裸露地面进行绿化、铺装或者遮盖</w:t>
            </w:r>
          </w:p>
        </w:tc>
        <w:tc>
          <w:tcPr>
            <w:tcW w:w="2789" w:type="dxa"/>
            <w:gridSpan w:val="2"/>
            <w:shd w:val="clear" w:color="auto" w:fill="auto"/>
            <w:vAlign w:val="center"/>
          </w:tcPr>
          <w:p w14:paraId="1387A44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14:paraId="672101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59B457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04C535B">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2000</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2500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30</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3000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w:t>
            </w:r>
            <w:r>
              <w:rPr>
                <w:rFonts w:hint="eastAsia" w:asciiTheme="minorEastAsia" w:hAnsiTheme="minorEastAsia" w:eastAsiaTheme="minorEastAsia"/>
                <w:strike w:val="0"/>
                <w:color w:val="auto"/>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存在基准2.1.3规定情形的，系数按照相关规定确定（基准2.1.3.5不适用）。</w:t>
            </w:r>
          </w:p>
        </w:tc>
        <w:tc>
          <w:tcPr>
            <w:tcW w:w="1875" w:type="dxa"/>
            <w:gridSpan w:val="2"/>
            <w:shd w:val="clear" w:color="auto" w:fill="auto"/>
            <w:vAlign w:val="center"/>
          </w:tcPr>
          <w:p w14:paraId="79D0A05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DADA285">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14:paraId="3651B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6150598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14:paraId="220BEFC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运输散装、流体物料车辆未采取密闭或者</w:t>
            </w:r>
            <w:r>
              <w:rPr>
                <w:rFonts w:hint="eastAsia" w:asciiTheme="minorEastAsia" w:hAnsiTheme="minorEastAsia" w:eastAsiaTheme="minorEastAsia"/>
                <w:color w:val="auto"/>
                <w:sz w:val="15"/>
                <w:szCs w:val="15"/>
                <w:highlight w:val="none"/>
                <w:shd w:val="clear"/>
              </w:rPr>
              <w:t>其</w:t>
            </w:r>
            <w:r>
              <w:rPr>
                <w:rFonts w:hint="eastAsia" w:asciiTheme="minorEastAsia" w:hAnsiTheme="minorEastAsia" w:eastAsiaTheme="minorEastAsia"/>
                <w:color w:val="auto"/>
                <w:sz w:val="15"/>
                <w:szCs w:val="15"/>
                <w:highlight w:val="none"/>
                <w:shd w:val="clear"/>
                <w:lang w:eastAsia="zh-CN"/>
              </w:rPr>
              <w:t>他</w:t>
            </w:r>
            <w:r>
              <w:rPr>
                <w:rFonts w:hint="eastAsia" w:asciiTheme="minorEastAsia" w:hAnsiTheme="minorEastAsia" w:eastAsiaTheme="minorEastAsia"/>
                <w:color w:val="auto"/>
                <w:sz w:val="15"/>
                <w:szCs w:val="15"/>
                <w:highlight w:val="none"/>
                <w:shd w:val="clear"/>
              </w:rPr>
              <w:t>措施防</w:t>
            </w:r>
            <w:r>
              <w:rPr>
                <w:rFonts w:hint="eastAsia" w:asciiTheme="minorEastAsia" w:hAnsiTheme="minorEastAsia" w:eastAsiaTheme="minorEastAsia"/>
                <w:color w:val="auto"/>
                <w:sz w:val="15"/>
                <w:szCs w:val="15"/>
                <w:highlight w:val="none"/>
              </w:rPr>
              <w:t>止物料遗撒</w:t>
            </w:r>
          </w:p>
        </w:tc>
        <w:tc>
          <w:tcPr>
            <w:tcW w:w="2789" w:type="dxa"/>
            <w:gridSpan w:val="2"/>
            <w:shd w:val="clear" w:color="auto" w:fill="auto"/>
            <w:vAlign w:val="center"/>
          </w:tcPr>
          <w:p w14:paraId="3C1E08D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违反条款：第七十条第一款；处罚条款：第一百一十六条：责令改正，处二千元以上二万元以下的罚款；拒不改正的，车辆不得上道路行驶。</w:t>
            </w:r>
          </w:p>
        </w:tc>
        <w:tc>
          <w:tcPr>
            <w:tcW w:w="851" w:type="dxa"/>
            <w:shd w:val="clear" w:color="auto" w:fill="auto"/>
            <w:vAlign w:val="center"/>
          </w:tcPr>
          <w:p w14:paraId="2491DD1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10382BD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AB4A5B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49CEA9C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61A24A0F">
            <w:pPr>
              <w:spacing w:line="232" w:lineRule="exact"/>
              <w:rPr>
                <w:rFonts w:asciiTheme="minorEastAsia" w:hAnsiTheme="minorEastAsia" w:eastAsiaTheme="minorEastAsia"/>
                <w:color w:val="auto"/>
                <w:sz w:val="15"/>
                <w:szCs w:val="15"/>
                <w:highlight w:val="none"/>
              </w:rPr>
            </w:pPr>
          </w:p>
        </w:tc>
      </w:tr>
      <w:tr w14:paraId="1867E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1" w:hRule="atLeast"/>
          <w:jc w:val="center"/>
        </w:trPr>
        <w:tc>
          <w:tcPr>
            <w:tcW w:w="610" w:type="dxa"/>
            <w:shd w:val="clear" w:color="auto" w:fill="auto"/>
            <w:vAlign w:val="center"/>
          </w:tcPr>
          <w:p w14:paraId="31AD611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14:paraId="496DDF1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易产生扬尘的物料未密闭贮存</w:t>
            </w:r>
          </w:p>
        </w:tc>
        <w:tc>
          <w:tcPr>
            <w:tcW w:w="2789" w:type="dxa"/>
            <w:gridSpan w:val="2"/>
            <w:shd w:val="clear" w:color="auto" w:fill="auto"/>
            <w:vAlign w:val="center"/>
          </w:tcPr>
          <w:p w14:paraId="2D56831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shd w:val="clear" w:color="auto" w:fill="auto"/>
            <w:vAlign w:val="center"/>
          </w:tcPr>
          <w:p w14:paraId="23B9AFD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59A025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43BBA19">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6B80884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3FFAE9EE">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14:paraId="2B2EE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41" w:hRule="atLeast"/>
          <w:jc w:val="center"/>
        </w:trPr>
        <w:tc>
          <w:tcPr>
            <w:tcW w:w="610" w:type="dxa"/>
            <w:shd w:val="clear" w:color="auto" w:fill="auto"/>
            <w:vAlign w:val="center"/>
          </w:tcPr>
          <w:p w14:paraId="7492D44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14:paraId="60110CD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易产生扬尘的物料不能密闭贮存的，未按规定设置围挡或者未采取有效覆盖措施</w:t>
            </w:r>
          </w:p>
        </w:tc>
        <w:tc>
          <w:tcPr>
            <w:tcW w:w="2789" w:type="dxa"/>
            <w:gridSpan w:val="2"/>
            <w:shd w:val="clear" w:color="auto" w:fill="auto"/>
            <w:vAlign w:val="center"/>
          </w:tcPr>
          <w:p w14:paraId="46DCE53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shd w:val="clear" w:color="auto" w:fill="auto"/>
            <w:vAlign w:val="center"/>
          </w:tcPr>
          <w:p w14:paraId="45CDAAC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E94B20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FD02006">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056FA2D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FF76416">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r>
      <w:tr w14:paraId="0D8D4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3FFC685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14:paraId="7DE08AB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装卸物料未采取密闭或者喷淋等方式控制扬尘</w:t>
            </w:r>
          </w:p>
        </w:tc>
        <w:tc>
          <w:tcPr>
            <w:tcW w:w="2789" w:type="dxa"/>
            <w:gridSpan w:val="2"/>
            <w:shd w:val="clear" w:color="auto" w:fill="auto"/>
            <w:vAlign w:val="center"/>
          </w:tcPr>
          <w:p w14:paraId="0244FDA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shd w:val="clear" w:color="auto" w:fill="auto"/>
            <w:vAlign w:val="center"/>
          </w:tcPr>
          <w:p w14:paraId="6B24E0A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77735DC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E336C78">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尘土飞扬，对环境造成严重影响的，系数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7C9F657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4EC9FA9">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14:paraId="7929E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39" w:hRule="atLeast"/>
          <w:jc w:val="center"/>
        </w:trPr>
        <w:tc>
          <w:tcPr>
            <w:tcW w:w="610" w:type="dxa"/>
            <w:shd w:val="clear" w:color="auto" w:fill="auto"/>
            <w:vAlign w:val="center"/>
          </w:tcPr>
          <w:p w14:paraId="210C68E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14:paraId="5D47159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填埋场（消纳场）未采取有效措施防治扬尘污染</w:t>
            </w:r>
          </w:p>
        </w:tc>
        <w:tc>
          <w:tcPr>
            <w:tcW w:w="2789" w:type="dxa"/>
            <w:gridSpan w:val="2"/>
            <w:shd w:val="clear" w:color="auto" w:fill="auto"/>
            <w:vAlign w:val="center"/>
          </w:tcPr>
          <w:p w14:paraId="3E8B473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shd w:val="clear" w:color="auto" w:fill="auto"/>
            <w:vAlign w:val="center"/>
          </w:tcPr>
          <w:p w14:paraId="382E02E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2DAF19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6527CF5">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宋体" w:hAnsi="宋体" w:eastAsia="宋体" w:cs="宋体"/>
                <w:b w:val="0"/>
                <w:bCs w:val="0"/>
                <w:color w:val="auto"/>
                <w:sz w:val="15"/>
                <w:szCs w:val="15"/>
                <w:highlight w:val="none"/>
                <w:lang w:eastAsia="zh-CN"/>
              </w:rPr>
              <w:t>未苫盖</w:t>
            </w:r>
            <w:r>
              <w:rPr>
                <w:rFonts w:hint="eastAsia" w:ascii="宋体" w:hAnsi="宋体" w:eastAsia="宋体" w:cs="宋体"/>
                <w:b w:val="0"/>
                <w:bCs w:val="0"/>
                <w:color w:val="auto"/>
                <w:sz w:val="15"/>
                <w:szCs w:val="15"/>
                <w:highlight w:val="none"/>
              </w:rPr>
              <w:t>面积10</w:t>
            </w:r>
            <w:r>
              <w:rPr>
                <w:rFonts w:hint="eastAsia" w:ascii="宋体" w:hAnsi="宋体" w:eastAsia="宋体" w:cs="宋体"/>
                <w:b w:val="0"/>
                <w:bCs w:val="0"/>
                <w:color w:val="auto"/>
                <w:sz w:val="15"/>
                <w:szCs w:val="15"/>
                <w:highlight w:val="none"/>
                <w:lang w:val="en-US" w:eastAsia="zh-CN"/>
              </w:rPr>
              <w:t>0</w:t>
            </w:r>
            <w:r>
              <w:rPr>
                <w:rFonts w:hint="eastAsia" w:ascii="宋体" w:hAnsi="宋体" w:eastAsia="宋体" w:cs="宋体"/>
                <w:b w:val="0"/>
                <w:bCs w:val="0"/>
                <w:color w:val="auto"/>
                <w:sz w:val="15"/>
                <w:szCs w:val="15"/>
                <w:highlight w:val="none"/>
              </w:rPr>
              <w:t>㎡以下的，系数0；1</w:t>
            </w:r>
            <w:r>
              <w:rPr>
                <w:rFonts w:hint="eastAsia" w:ascii="宋体" w:hAnsi="宋体" w:eastAsia="宋体" w:cs="宋体"/>
                <w:b w:val="0"/>
                <w:bCs w:val="0"/>
                <w:color w:val="auto"/>
                <w:sz w:val="15"/>
                <w:szCs w:val="15"/>
                <w:highlight w:val="none"/>
                <w:lang w:val="en-US" w:eastAsia="zh-CN"/>
              </w:rPr>
              <w:t>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cs="宋体"/>
                <w:b w:val="0"/>
                <w:bCs w:val="0"/>
                <w:color w:val="auto"/>
                <w:sz w:val="15"/>
                <w:szCs w:val="15"/>
                <w:highlight w:val="none"/>
                <w:lang w:eastAsia="zh-CN"/>
              </w:rPr>
              <w:t>系数</w:t>
            </w:r>
            <w:r>
              <w:rPr>
                <w:rFonts w:hint="eastAsia" w:ascii="宋体" w:hAnsi="宋体" w:eastAsia="宋体" w:cs="宋体"/>
                <w:b w:val="0"/>
                <w:bCs w:val="0"/>
                <w:color w:val="auto"/>
                <w:sz w:val="15"/>
                <w:szCs w:val="15"/>
                <w:highlight w:val="none"/>
              </w:rPr>
              <w:t>1；</w:t>
            </w:r>
            <w:r>
              <w:rPr>
                <w:rFonts w:hint="eastAsia" w:ascii="宋体" w:hAnsi="宋体" w:eastAsia="宋体" w:cs="宋体"/>
                <w:b w:val="0"/>
                <w:bCs w:val="0"/>
                <w:color w:val="auto"/>
                <w:sz w:val="15"/>
                <w:szCs w:val="15"/>
                <w:highlight w:val="none"/>
                <w:lang w:val="en-US" w:eastAsia="zh-CN"/>
              </w:rPr>
              <w:t>200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300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系数2</w:t>
            </w:r>
            <w:r>
              <w:rPr>
                <w:rFonts w:hint="eastAsia" w:ascii="宋体" w:hAnsi="宋体" w:cs="宋体"/>
                <w:b w:val="0"/>
                <w:bCs w:val="0"/>
                <w:color w:val="auto"/>
                <w:sz w:val="15"/>
                <w:szCs w:val="15"/>
                <w:highlight w:val="none"/>
                <w:lang w:eastAsia="zh-CN"/>
              </w:rPr>
              <w:t>；</w:t>
            </w:r>
            <w:r>
              <w:rPr>
                <w:rFonts w:hint="eastAsia" w:ascii="宋体" w:hAnsi="宋体" w:cs="宋体"/>
                <w:b w:val="0"/>
                <w:bCs w:val="0"/>
                <w:color w:val="auto"/>
                <w:sz w:val="15"/>
                <w:szCs w:val="15"/>
                <w:highlight w:val="none"/>
                <w:lang w:val="en-US" w:eastAsia="zh-CN"/>
              </w:rPr>
              <w:t>300-400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3；</w:t>
            </w:r>
            <w:r>
              <w:rPr>
                <w:rFonts w:hint="eastAsia" w:ascii="宋体" w:hAnsi="宋体" w:cs="宋体"/>
                <w:b w:val="0"/>
                <w:bCs w:val="0"/>
                <w:color w:val="auto"/>
                <w:sz w:val="15"/>
                <w:szCs w:val="15"/>
                <w:highlight w:val="none"/>
                <w:lang w:val="en-US" w:eastAsia="zh-CN"/>
              </w:rPr>
              <w:t>400-500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4；</w:t>
            </w:r>
            <w:r>
              <w:rPr>
                <w:rFonts w:hint="eastAsia" w:ascii="宋体" w:hAnsi="宋体" w:cs="宋体"/>
                <w:b w:val="0"/>
                <w:bCs w:val="0"/>
                <w:color w:val="auto"/>
                <w:sz w:val="15"/>
                <w:szCs w:val="15"/>
                <w:highlight w:val="none"/>
                <w:lang w:val="en-US" w:eastAsia="zh-CN"/>
              </w:rPr>
              <w:t>500-600</w:t>
            </w:r>
            <w:r>
              <w:rPr>
                <w:rFonts w:hint="eastAsia" w:ascii="宋体" w:hAnsi="宋体" w:eastAsia="宋体" w:cs="宋体"/>
                <w:b w:val="0"/>
                <w:bCs w:val="0"/>
                <w:color w:val="auto"/>
                <w:sz w:val="15"/>
                <w:szCs w:val="15"/>
                <w:highlight w:val="none"/>
              </w:rPr>
              <w:t>㎡，系数</w:t>
            </w:r>
            <w:r>
              <w:rPr>
                <w:rFonts w:hint="eastAsia" w:ascii="宋体" w:hAnsi="宋体" w:eastAsia="宋体" w:cs="宋体"/>
                <w:b w:val="0"/>
                <w:bCs w:val="0"/>
                <w:color w:val="auto"/>
                <w:sz w:val="15"/>
                <w:szCs w:val="15"/>
                <w:highlight w:val="none"/>
                <w:lang w:val="en-US" w:eastAsia="zh-CN"/>
              </w:rPr>
              <w:t>5；</w:t>
            </w:r>
            <w:r>
              <w:rPr>
                <w:rFonts w:hint="eastAsia" w:ascii="宋体" w:hAnsi="宋体" w:eastAsia="宋体" w:cs="宋体"/>
                <w:b w:val="0"/>
                <w:bCs w:val="0"/>
                <w:color w:val="auto"/>
                <w:sz w:val="15"/>
                <w:szCs w:val="15"/>
                <w:highlight w:val="none"/>
                <w:lang w:eastAsia="zh-CN"/>
              </w:rPr>
              <w:t>每增加</w:t>
            </w:r>
            <w:r>
              <w:rPr>
                <w:rFonts w:hint="eastAsia" w:ascii="宋体" w:hAnsi="宋体" w:eastAsia="宋体" w:cs="宋体"/>
                <w:b w:val="0"/>
                <w:bCs w:val="0"/>
                <w:color w:val="auto"/>
                <w:sz w:val="15"/>
                <w:szCs w:val="15"/>
                <w:highlight w:val="none"/>
                <w:lang w:val="en-US" w:eastAsia="zh-CN"/>
              </w:rPr>
              <w:t>100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val="en-US" w:eastAsia="zh-CN"/>
              </w:rPr>
              <w:t>，系数加1</w:t>
            </w:r>
            <w:r>
              <w:rPr>
                <w:rFonts w:hint="eastAsia" w:ascii="宋体" w:hAnsi="宋体" w:eastAsia="宋体" w:cs="宋体"/>
                <w:b w:val="0"/>
                <w:bCs w:val="0"/>
                <w:color w:val="auto"/>
                <w:sz w:val="15"/>
                <w:szCs w:val="15"/>
                <w:highlight w:val="none"/>
                <w:lang w:eastAsia="zh-CN"/>
              </w:rPr>
              <w:t>，</w:t>
            </w:r>
            <w:r>
              <w:rPr>
                <w:rFonts w:hint="eastAsia" w:ascii="宋体" w:hAnsi="宋体" w:eastAsia="宋体" w:cs="宋体"/>
                <w:b w:val="0"/>
                <w:bCs w:val="0"/>
                <w:color w:val="auto"/>
                <w:sz w:val="15"/>
                <w:szCs w:val="15"/>
                <w:highlight w:val="none"/>
              </w:rPr>
              <w:t>以此类推</w:t>
            </w:r>
            <w:r>
              <w:rPr>
                <w:rFonts w:hint="eastAsia" w:ascii="宋体" w:hAnsi="宋体" w:eastAsia="宋体" w:cs="宋体"/>
                <w:b w:val="0"/>
                <w:bCs w:val="0"/>
                <w:color w:val="auto"/>
                <w:sz w:val="15"/>
                <w:szCs w:val="15"/>
                <w:highlight w:val="none"/>
                <w:lang w:eastAsia="zh-CN"/>
              </w:rPr>
              <w:t>，面积</w:t>
            </w:r>
            <w:r>
              <w:rPr>
                <w:rFonts w:hint="eastAsia" w:ascii="宋体" w:hAnsi="宋体" w:eastAsia="宋体" w:cs="宋体"/>
                <w:b w:val="0"/>
                <w:bCs w:val="0"/>
                <w:color w:val="auto"/>
                <w:sz w:val="15"/>
                <w:szCs w:val="15"/>
                <w:highlight w:val="none"/>
                <w:lang w:val="en-US" w:eastAsia="zh-CN"/>
              </w:rPr>
              <w:t>900</w:t>
            </w:r>
            <w:r>
              <w:rPr>
                <w:rFonts w:hint="eastAsia" w:ascii="宋体" w:hAnsi="宋体" w:eastAsia="宋体" w:cs="宋体"/>
                <w:b w:val="0"/>
                <w:bCs w:val="0"/>
                <w:color w:val="auto"/>
                <w:sz w:val="15"/>
                <w:szCs w:val="15"/>
                <w:highlight w:val="none"/>
              </w:rPr>
              <w:t>㎡</w:t>
            </w:r>
            <w:r>
              <w:rPr>
                <w:rFonts w:hint="eastAsia" w:ascii="宋体" w:hAnsi="宋体" w:eastAsia="宋体" w:cs="宋体"/>
                <w:b w:val="0"/>
                <w:bCs w:val="0"/>
                <w:color w:val="auto"/>
                <w:sz w:val="15"/>
                <w:szCs w:val="15"/>
                <w:highlight w:val="none"/>
                <w:lang w:eastAsia="zh-CN"/>
              </w:rPr>
              <w:t>及以上的，系数</w:t>
            </w:r>
            <w:r>
              <w:rPr>
                <w:rFonts w:hint="eastAsia" w:ascii="宋体" w:hAnsi="宋体" w:eastAsia="宋体" w:cs="宋体"/>
                <w:b w:val="0"/>
                <w:bCs w:val="0"/>
                <w:color w:val="auto"/>
                <w:sz w:val="15"/>
                <w:szCs w:val="15"/>
                <w:highlight w:val="none"/>
                <w:lang w:val="en-US" w:eastAsia="zh-CN"/>
              </w:rPr>
              <w:t>9</w:t>
            </w:r>
            <w:r>
              <w:rPr>
                <w:rFonts w:hint="eastAsia" w:ascii="宋体" w:hAnsi="宋体" w:cs="宋体"/>
                <w:b w:val="0"/>
                <w:bCs w:val="0"/>
                <w:color w:val="auto"/>
                <w:sz w:val="15"/>
                <w:szCs w:val="15"/>
                <w:highlight w:val="none"/>
                <w:lang w:val="en-US" w:eastAsia="zh-CN"/>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产生较大环境污染或者</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严重后果的，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宋体" w:hAnsi="宋体" w:cs="宋体"/>
                <w:b/>
                <w:bCs/>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60D79E1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5571BF41">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14:paraId="2C7C4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34" w:hRule="atLeast"/>
          <w:jc w:val="center"/>
        </w:trPr>
        <w:tc>
          <w:tcPr>
            <w:tcW w:w="610" w:type="dxa"/>
            <w:shd w:val="clear" w:color="auto" w:fill="auto"/>
            <w:vAlign w:val="center"/>
          </w:tcPr>
          <w:p w14:paraId="7F5CD3A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14:paraId="728F562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露天焚烧秸秆（落叶）等产生烟尘污染的物质</w:t>
            </w:r>
          </w:p>
        </w:tc>
        <w:tc>
          <w:tcPr>
            <w:tcW w:w="2789" w:type="dxa"/>
            <w:gridSpan w:val="2"/>
            <w:shd w:val="clear" w:color="auto" w:fill="auto"/>
            <w:vAlign w:val="center"/>
          </w:tcPr>
          <w:p w14:paraId="722FCAC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违反条款：第七十七条；处罚条款：第一百一十九条第一款：责令改正，并可以处五百元以上二千元以下的罚款。</w:t>
            </w:r>
          </w:p>
        </w:tc>
        <w:tc>
          <w:tcPr>
            <w:tcW w:w="851" w:type="dxa"/>
            <w:shd w:val="clear" w:color="auto" w:fill="auto"/>
            <w:vAlign w:val="center"/>
          </w:tcPr>
          <w:p w14:paraId="12CF48C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6343D14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202B9EC">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事故发生的，系数3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57D9388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1D26F57F">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14:paraId="64313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9" w:hRule="atLeast"/>
          <w:jc w:val="center"/>
        </w:trPr>
        <w:tc>
          <w:tcPr>
            <w:tcW w:w="610" w:type="dxa"/>
            <w:vMerge w:val="restart"/>
            <w:shd w:val="clear" w:color="auto" w:fill="auto"/>
            <w:vAlign w:val="center"/>
          </w:tcPr>
          <w:p w14:paraId="005A45A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vMerge w:val="restart"/>
            <w:shd w:val="clear" w:color="auto" w:fill="auto"/>
            <w:vAlign w:val="center"/>
          </w:tcPr>
          <w:p w14:paraId="6B0EB0A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焚烧沥青（油毡、橡胶、塑料、皮革、垃圾）等产生有毒有害烟尘和恶臭气体的物质</w:t>
            </w:r>
          </w:p>
        </w:tc>
        <w:tc>
          <w:tcPr>
            <w:tcW w:w="2789" w:type="dxa"/>
            <w:gridSpan w:val="2"/>
            <w:vMerge w:val="restart"/>
            <w:shd w:val="clear" w:color="auto" w:fill="auto"/>
            <w:vAlign w:val="center"/>
          </w:tcPr>
          <w:p w14:paraId="7906CD2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shd w:val="clear" w:color="auto" w:fill="auto"/>
            <w:vAlign w:val="center"/>
          </w:tcPr>
          <w:p w14:paraId="01EE147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14:paraId="0571DB1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shd w:val="clear" w:color="auto" w:fill="auto"/>
            <w:vAlign w:val="center"/>
          </w:tcPr>
          <w:p w14:paraId="46C559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51F6988">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；2.导致</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事故发生的，系数9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4280D692">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5DB99AC">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14:paraId="11B5F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25" w:hRule="atLeast"/>
          <w:jc w:val="center"/>
        </w:trPr>
        <w:tc>
          <w:tcPr>
            <w:tcW w:w="610" w:type="dxa"/>
            <w:vMerge w:val="continue"/>
            <w:shd w:val="clear" w:color="auto" w:fill="auto"/>
            <w:vAlign w:val="center"/>
          </w:tcPr>
          <w:p w14:paraId="7CA7F8CC">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5CBE8A3E">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49383C13">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451FEA7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p w14:paraId="76673DD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w:t>
            </w:r>
          </w:p>
        </w:tc>
        <w:tc>
          <w:tcPr>
            <w:tcW w:w="840" w:type="dxa"/>
            <w:shd w:val="clear" w:color="auto" w:fill="auto"/>
            <w:vAlign w:val="center"/>
          </w:tcPr>
          <w:p w14:paraId="716C81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51F6842">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事故发生的，系数3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72918E82">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42FD40C">
            <w:pPr>
              <w:spacing w:line="232" w:lineRule="exact"/>
              <w:rPr>
                <w:rFonts w:hint="eastAsia" w:cs="宋体" w:asciiTheme="minorEastAsia" w:hAnsiTheme="minorEastAsia" w:eastAsiaTheme="minorEastAsia"/>
                <w:strike/>
                <w:dstrike w:val="0"/>
                <w:color w:val="auto"/>
                <w:kern w:val="0"/>
                <w:sz w:val="15"/>
                <w:szCs w:val="15"/>
                <w:highlight w:val="none"/>
                <w:lang w:eastAsia="zh-CN"/>
              </w:rPr>
            </w:pPr>
          </w:p>
        </w:tc>
      </w:tr>
      <w:tr w14:paraId="293E2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76" w:hRule="atLeast"/>
          <w:jc w:val="center"/>
        </w:trPr>
        <w:tc>
          <w:tcPr>
            <w:tcW w:w="610" w:type="dxa"/>
            <w:shd w:val="clear" w:color="auto" w:fill="auto"/>
            <w:vAlign w:val="center"/>
          </w:tcPr>
          <w:p w14:paraId="0DF25D2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14:paraId="0F24DF7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789" w:type="dxa"/>
            <w:gridSpan w:val="2"/>
            <w:shd w:val="clear" w:color="auto" w:fill="auto"/>
            <w:vAlign w:val="center"/>
          </w:tcPr>
          <w:p w14:paraId="3A8C680F">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14:paraId="77CAC028">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B7CDFEA">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222BA49">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2；2.占用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公共场地面积较大，或者造成通行秩序、市容环境秩序较为混乱的，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42CBD92A">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p w14:paraId="07E90552">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3E57B32C">
            <w:pPr>
              <w:spacing w:line="20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需要做出其他处罚决定的，报请案审会决定。</w:t>
            </w:r>
          </w:p>
        </w:tc>
      </w:tr>
      <w:tr w14:paraId="7B6B7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90" w:hRule="atLeast"/>
          <w:jc w:val="center"/>
        </w:trPr>
        <w:tc>
          <w:tcPr>
            <w:tcW w:w="610" w:type="dxa"/>
            <w:shd w:val="clear" w:color="auto" w:fill="auto"/>
            <w:vAlign w:val="center"/>
          </w:tcPr>
          <w:p w14:paraId="595F421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14:paraId="7E7210F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违反规定为露天烧烤食品提供场地</w:t>
            </w:r>
          </w:p>
        </w:tc>
        <w:tc>
          <w:tcPr>
            <w:tcW w:w="2789" w:type="dxa"/>
            <w:gridSpan w:val="2"/>
            <w:shd w:val="clear" w:color="auto" w:fill="auto"/>
            <w:vAlign w:val="center"/>
          </w:tcPr>
          <w:p w14:paraId="6612E335">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14:paraId="163E4D32">
            <w:pPr>
              <w:spacing w:line="20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2000</w:t>
            </w:r>
          </w:p>
          <w:p w14:paraId="65A5945C">
            <w:pPr>
              <w:spacing w:line="190" w:lineRule="exact"/>
              <w:jc w:val="both"/>
              <w:rPr>
                <w:rFonts w:hint="default" w:cs="宋体" w:asciiTheme="minorEastAsia" w:hAnsiTheme="minorEastAsia" w:eastAsiaTheme="minorEastAsia"/>
                <w:strike/>
                <w:dstrike w:val="0"/>
                <w:color w:val="auto"/>
                <w:kern w:val="0"/>
                <w:sz w:val="15"/>
                <w:szCs w:val="15"/>
                <w:highlight w:val="none"/>
                <w:lang w:val="en-US" w:eastAsia="zh-CN"/>
              </w:rPr>
            </w:pPr>
          </w:p>
        </w:tc>
        <w:tc>
          <w:tcPr>
            <w:tcW w:w="840" w:type="dxa"/>
            <w:shd w:val="clear" w:color="auto" w:fill="auto"/>
            <w:vAlign w:val="center"/>
          </w:tcPr>
          <w:p w14:paraId="10ED9DE7">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1D84629">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5BDFE9C9">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8CED64D">
            <w:pPr>
              <w:spacing w:line="20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需酌情给予2000以下罚款的，说明理由，报案审会决定。</w:t>
            </w:r>
          </w:p>
        </w:tc>
      </w:tr>
      <w:tr w14:paraId="3E9A7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30" w:hRule="atLeast"/>
          <w:jc w:val="center"/>
        </w:trPr>
        <w:tc>
          <w:tcPr>
            <w:tcW w:w="610" w:type="dxa"/>
            <w:shd w:val="clear" w:color="auto" w:fill="auto"/>
            <w:vAlign w:val="center"/>
          </w:tcPr>
          <w:p w14:paraId="13E4C24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14:paraId="03230F5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拒不执行停止工地土石方作业（建筑物拆除施工）等重污染天气应急措施</w:t>
            </w:r>
          </w:p>
        </w:tc>
        <w:tc>
          <w:tcPr>
            <w:tcW w:w="2789" w:type="dxa"/>
            <w:gridSpan w:val="2"/>
            <w:shd w:val="clear" w:color="auto" w:fill="auto"/>
            <w:vAlign w:val="center"/>
          </w:tcPr>
          <w:p w14:paraId="34667E20">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违反条款：第九十六条第一款、第一百二十一条第二款；处罚条款：第一百二十一条第二款：处一万元以上十万元以下的罚款。</w:t>
            </w:r>
          </w:p>
          <w:p w14:paraId="36AC38F0">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5EDAEDC2">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7F9FCAA">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96C5D15">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11EAB05D">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73D45FF">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市政府的预警级别和应对措施请参照《北京市空气重污染应急预案（试行）》。</w:t>
            </w:r>
          </w:p>
          <w:p w14:paraId="406542C7">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p>
        </w:tc>
      </w:tr>
      <w:tr w14:paraId="13670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463F54C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14:paraId="2A5EA05D">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拒不接受大气环境保护监督检查</w:t>
            </w:r>
          </w:p>
        </w:tc>
        <w:tc>
          <w:tcPr>
            <w:tcW w:w="2789" w:type="dxa"/>
            <w:gridSpan w:val="2"/>
            <w:shd w:val="clear" w:color="auto" w:fill="auto"/>
            <w:vAlign w:val="center"/>
          </w:tcPr>
          <w:p w14:paraId="3C58B3DD">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shd w:val="clear" w:color="auto" w:fill="auto"/>
            <w:vAlign w:val="center"/>
          </w:tcPr>
          <w:p w14:paraId="38876E6A">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AE2831E">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060F676">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1.经责令改正，仍拒不接受监督检查的，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4；2.空气重污染预警期间，拒不接受监督检查的，系数4；3.造成大气污染或者不良社会影响等较为严重情形之一的，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dstrike w:val="0"/>
                <w:color w:val="auto"/>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3797A56D">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09E3EAF">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strike w:val="0"/>
                <w:dstrike w:val="0"/>
                <w:color w:val="auto"/>
                <w:kern w:val="0"/>
                <w:sz w:val="15"/>
                <w:szCs w:val="15"/>
                <w:highlight w:val="none"/>
                <w:lang w:eastAsia="zh-CN"/>
              </w:rPr>
              <w:t>“拒不配合”的情形，不纳入本案由情节系数。</w:t>
            </w:r>
          </w:p>
        </w:tc>
      </w:tr>
      <w:tr w14:paraId="25043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80" w:hRule="atLeast"/>
          <w:jc w:val="center"/>
        </w:trPr>
        <w:tc>
          <w:tcPr>
            <w:tcW w:w="610" w:type="dxa"/>
            <w:tcBorders>
              <w:bottom w:val="single" w:color="auto" w:sz="4" w:space="0"/>
            </w:tcBorders>
            <w:shd w:val="clear" w:color="auto" w:fill="auto"/>
            <w:vAlign w:val="center"/>
          </w:tcPr>
          <w:p w14:paraId="36ADD71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tcBorders>
              <w:bottom w:val="single" w:color="auto" w:sz="4" w:space="0"/>
            </w:tcBorders>
            <w:shd w:val="clear" w:color="auto" w:fill="auto"/>
            <w:vAlign w:val="center"/>
          </w:tcPr>
          <w:p w14:paraId="4032868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接受大气环境保护监督检查时弄虚作假</w:t>
            </w:r>
          </w:p>
        </w:tc>
        <w:tc>
          <w:tcPr>
            <w:tcW w:w="2789" w:type="dxa"/>
            <w:gridSpan w:val="2"/>
            <w:tcBorders>
              <w:bottom w:val="single" w:color="auto" w:sz="4" w:space="0"/>
            </w:tcBorders>
            <w:shd w:val="clear" w:color="auto" w:fill="auto"/>
            <w:vAlign w:val="center"/>
          </w:tcPr>
          <w:p w14:paraId="2204983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shd w:val="clear" w:color="auto" w:fill="auto"/>
            <w:vAlign w:val="center"/>
          </w:tcPr>
          <w:p w14:paraId="1A3B424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tcBorders>
              <w:bottom w:val="single" w:color="auto" w:sz="4" w:space="0"/>
            </w:tcBorders>
            <w:shd w:val="clear" w:color="auto" w:fill="auto"/>
            <w:vAlign w:val="center"/>
          </w:tcPr>
          <w:p w14:paraId="1B0AE8B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bottom w:val="single" w:color="auto" w:sz="4" w:space="0"/>
            </w:tcBorders>
            <w:shd w:val="clear" w:color="auto" w:fill="auto"/>
            <w:vAlign w:val="center"/>
          </w:tcPr>
          <w:p w14:paraId="3C19BDA5">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1.经责令改正，仍弄虚作假的，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4；2.空气重污染预警期间，弄虚作假的，系数4；3.造成大气污染或者不良社会影响等较为严重情形之一的，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dstrike w:val="0"/>
                <w:color w:val="auto"/>
                <w:sz w:val="15"/>
                <w:szCs w:val="15"/>
                <w:highlight w:val="none"/>
                <w:lang w:val="en-US" w:eastAsia="zh-CN"/>
              </w:rPr>
              <w:t>5-</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tcBorders>
              <w:bottom w:val="single" w:color="auto" w:sz="4" w:space="0"/>
            </w:tcBorders>
            <w:shd w:val="clear" w:color="auto" w:fill="auto"/>
            <w:vAlign w:val="center"/>
          </w:tcPr>
          <w:p w14:paraId="3BA7D714">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tcBorders>
              <w:bottom w:val="single" w:color="auto" w:sz="4" w:space="0"/>
            </w:tcBorders>
            <w:shd w:val="clear" w:color="auto" w:fill="auto"/>
            <w:vAlign w:val="center"/>
          </w:tcPr>
          <w:p w14:paraId="108ED7FF">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strike w:val="0"/>
                <w:dstrike w:val="0"/>
                <w:color w:val="auto"/>
                <w:kern w:val="0"/>
                <w:sz w:val="15"/>
                <w:szCs w:val="15"/>
                <w:highlight w:val="none"/>
                <w:lang w:eastAsia="zh-CN"/>
              </w:rPr>
              <w:t>“虚假陈述”的情形，不纳入本案由情节系数。</w:t>
            </w:r>
          </w:p>
        </w:tc>
      </w:tr>
      <w:tr w14:paraId="13499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69" w:hRule="atLeast"/>
          <w:jc w:val="center"/>
        </w:trPr>
        <w:tc>
          <w:tcPr>
            <w:tcW w:w="14203" w:type="dxa"/>
            <w:gridSpan w:val="13"/>
            <w:tcBorders>
              <w:bottom w:val="single" w:color="auto" w:sz="4" w:space="0"/>
            </w:tcBorders>
            <w:shd w:val="clear" w:color="auto" w:fill="auto"/>
            <w:vAlign w:val="center"/>
          </w:tcPr>
          <w:p w14:paraId="6E52DA33">
            <w:pPr>
              <w:pStyle w:val="3"/>
              <w:keepNext w:val="0"/>
              <w:keepLines w:val="0"/>
              <w:pageBreakBefore w:val="0"/>
              <w:widowControl/>
              <w:kinsoku/>
              <w:wordWrap/>
              <w:overflowPunct/>
              <w:topLinePunct w:val="0"/>
              <w:autoSpaceDE/>
              <w:autoSpaceDN/>
              <w:bidi w:val="0"/>
              <w:adjustRightInd/>
              <w:snapToGrid/>
              <w:jc w:val="center"/>
              <w:textAlignment w:val="auto"/>
              <w:rPr>
                <w:rFonts w:asciiTheme="minorEastAsia" w:hAnsiTheme="minorEastAsia" w:eastAsiaTheme="minorEastAsia"/>
                <w:color w:val="auto"/>
                <w:szCs w:val="15"/>
                <w:highlight w:val="none"/>
              </w:rPr>
            </w:pPr>
            <w:bookmarkStart w:id="109" w:name="_Toc614636333"/>
            <w:r>
              <w:rPr>
                <w:rFonts w:hint="eastAsia"/>
                <w:color w:val="auto"/>
                <w:sz w:val="21"/>
                <w:szCs w:val="21"/>
                <w:highlight w:val="none"/>
              </w:rPr>
              <w:t>《北京市大气污染防治条例》案由8项</w:t>
            </w:r>
            <w:bookmarkEnd w:id="109"/>
          </w:p>
        </w:tc>
      </w:tr>
      <w:tr w14:paraId="02252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tcBorders>
              <w:top w:val="single" w:color="auto" w:sz="4" w:space="0"/>
            </w:tcBorders>
            <w:shd w:val="clear" w:color="auto" w:fill="auto"/>
            <w:vAlign w:val="center"/>
          </w:tcPr>
          <w:p w14:paraId="4219C69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tcBorders>
              <w:top w:val="single" w:color="auto" w:sz="4" w:space="0"/>
            </w:tcBorders>
            <w:shd w:val="clear" w:color="auto" w:fill="auto"/>
            <w:vAlign w:val="center"/>
          </w:tcPr>
          <w:p w14:paraId="177D7D6B">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拒不执行空气重污染应急措施</w:t>
            </w:r>
          </w:p>
        </w:tc>
        <w:tc>
          <w:tcPr>
            <w:tcW w:w="2789" w:type="dxa"/>
            <w:gridSpan w:val="2"/>
            <w:tcBorders>
              <w:top w:val="single" w:color="auto" w:sz="4" w:space="0"/>
            </w:tcBorders>
            <w:shd w:val="clear" w:color="auto" w:fill="auto"/>
            <w:vAlign w:val="center"/>
          </w:tcPr>
          <w:p w14:paraId="0CC099F2">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shd w:val="clear" w:color="auto" w:fill="auto"/>
            <w:vAlign w:val="center"/>
          </w:tcPr>
          <w:p w14:paraId="56EDC106">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tcBorders>
              <w:top w:val="single" w:color="auto" w:sz="4" w:space="0"/>
            </w:tcBorders>
            <w:shd w:val="clear" w:color="auto" w:fill="auto"/>
            <w:vAlign w:val="center"/>
          </w:tcPr>
          <w:p w14:paraId="4A2E390E">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tcBorders>
              <w:top w:val="single" w:color="auto" w:sz="4" w:space="0"/>
            </w:tcBorders>
            <w:shd w:val="clear" w:color="auto" w:fill="auto"/>
            <w:vAlign w:val="center"/>
          </w:tcPr>
          <w:p w14:paraId="2E499B2E">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tcBorders>
              <w:top w:val="single" w:color="auto" w:sz="4" w:space="0"/>
            </w:tcBorders>
            <w:shd w:val="clear" w:color="auto" w:fill="auto"/>
            <w:vAlign w:val="center"/>
          </w:tcPr>
          <w:p w14:paraId="35E95C3B">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tcBorders>
              <w:top w:val="single" w:color="auto" w:sz="4" w:space="0"/>
            </w:tcBorders>
            <w:shd w:val="clear" w:color="auto" w:fill="auto"/>
            <w:vAlign w:val="center"/>
          </w:tcPr>
          <w:p w14:paraId="69F3AAF8">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strike/>
                <w:dstrike w:val="0"/>
                <w:color w:val="auto"/>
                <w:kern w:val="0"/>
                <w:sz w:val="15"/>
                <w:szCs w:val="15"/>
                <w:highlight w:val="none"/>
                <w:lang w:eastAsia="zh-CN"/>
              </w:rPr>
            </w:pPr>
          </w:p>
        </w:tc>
      </w:tr>
      <w:tr w14:paraId="38683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72" w:hRule="atLeast"/>
          <w:jc w:val="center"/>
        </w:trPr>
        <w:tc>
          <w:tcPr>
            <w:tcW w:w="610" w:type="dxa"/>
            <w:shd w:val="clear" w:color="auto" w:fill="auto"/>
            <w:vAlign w:val="center"/>
          </w:tcPr>
          <w:p w14:paraId="6BCD30B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shd w:val="clear" w:color="auto" w:fill="auto"/>
            <w:vAlign w:val="center"/>
          </w:tcPr>
          <w:p w14:paraId="76D2CB0A">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789" w:type="dxa"/>
            <w:gridSpan w:val="2"/>
            <w:shd w:val="clear" w:color="auto" w:fill="auto"/>
            <w:vAlign w:val="center"/>
          </w:tcPr>
          <w:p w14:paraId="3556E5CA">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违反条款：第五十九条第二款；处罚条款：第一百零八条第二款，责令改正；拒不改正的，予以关闭，并处一万元以上十万元以下罚款。</w:t>
            </w:r>
          </w:p>
        </w:tc>
        <w:tc>
          <w:tcPr>
            <w:tcW w:w="851" w:type="dxa"/>
            <w:shd w:val="clear" w:color="auto" w:fill="auto"/>
            <w:vAlign w:val="center"/>
          </w:tcPr>
          <w:p w14:paraId="66F1F9F8">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0FE981C3">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4927D1BA">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产生较大环境污染或者社会影响的，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造成事故或者</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社会恶劣影响的，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1E473123">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24AE1DED">
            <w:pPr>
              <w:keepNext w:val="0"/>
              <w:keepLines w:val="0"/>
              <w:pageBreakBefore w:val="0"/>
              <w:widowControl w:val="0"/>
              <w:kinsoku/>
              <w:wordWrap/>
              <w:overflowPunct/>
              <w:topLinePunct w:val="0"/>
              <w:autoSpaceDE/>
              <w:autoSpaceDN/>
              <w:bidi w:val="0"/>
              <w:adjustRightInd/>
              <w:snapToGrid/>
              <w:spacing w:line="212" w:lineRule="exact"/>
              <w:textAlignment w:val="auto"/>
              <w:rPr>
                <w:rFonts w:hint="default" w:cs="宋体" w:asciiTheme="minorEastAsia" w:hAnsiTheme="minorEastAsia" w:eastAsiaTheme="minorEastAsia"/>
                <w:strike/>
                <w:dstrike w:val="0"/>
                <w:color w:val="auto"/>
                <w:kern w:val="0"/>
                <w:sz w:val="15"/>
                <w:szCs w:val="15"/>
                <w:highlight w:val="none"/>
                <w:lang w:val="en-US" w:eastAsia="zh-CN"/>
              </w:rPr>
            </w:pPr>
            <w:r>
              <w:rPr>
                <w:rFonts w:hint="eastAsia" w:asciiTheme="minorEastAsia" w:hAnsiTheme="minorEastAsia" w:eastAsiaTheme="minorEastAsia"/>
                <w:strike w:val="0"/>
                <w:dstrike w:val="0"/>
                <w:color w:val="auto"/>
                <w:sz w:val="15"/>
                <w:szCs w:val="15"/>
                <w:highlight w:val="none"/>
                <w:lang w:eastAsia="zh-CN"/>
              </w:rPr>
              <w:t>拒</w:t>
            </w:r>
            <w:r>
              <w:rPr>
                <w:rFonts w:hint="eastAsia" w:asciiTheme="minorEastAsia" w:hAnsiTheme="minorEastAsia" w:eastAsiaTheme="minorEastAsia"/>
                <w:strike w:val="0"/>
                <w:dstrike w:val="0"/>
                <w:color w:val="auto"/>
                <w:sz w:val="15"/>
                <w:szCs w:val="15"/>
                <w:highlight w:val="none"/>
              </w:rPr>
              <w:t>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14:paraId="6801A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12" w:hRule="atLeast"/>
          <w:jc w:val="center"/>
        </w:trPr>
        <w:tc>
          <w:tcPr>
            <w:tcW w:w="610" w:type="dxa"/>
            <w:shd w:val="clear" w:color="auto" w:fill="auto"/>
            <w:vAlign w:val="center"/>
          </w:tcPr>
          <w:p w14:paraId="0B6BEE4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830" w:type="dxa"/>
            <w:gridSpan w:val="3"/>
            <w:shd w:val="clear" w:color="auto" w:fill="auto"/>
            <w:vAlign w:val="center"/>
          </w:tcPr>
          <w:p w14:paraId="771801E5">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露天焚烧秸秆（树叶、枯草）</w:t>
            </w:r>
          </w:p>
        </w:tc>
        <w:tc>
          <w:tcPr>
            <w:tcW w:w="2789" w:type="dxa"/>
            <w:gridSpan w:val="2"/>
            <w:shd w:val="clear" w:color="auto" w:fill="auto"/>
            <w:vAlign w:val="center"/>
          </w:tcPr>
          <w:p w14:paraId="6021D553">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违反条款：第六十一条第一款；处罚条款：第一百一十条第一款：责令改正，可以处五百元以上二千元以下罚款。</w:t>
            </w:r>
          </w:p>
        </w:tc>
        <w:tc>
          <w:tcPr>
            <w:tcW w:w="851" w:type="dxa"/>
            <w:shd w:val="clear" w:color="auto" w:fill="auto"/>
            <w:vAlign w:val="center"/>
          </w:tcPr>
          <w:p w14:paraId="1B1AD42E">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59569A48">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2EC1CD17">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事故发生的，系数3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14E8F1CC">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0E645B82">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strike/>
                <w:dstrike w:val="0"/>
                <w:color w:val="auto"/>
                <w:sz w:val="15"/>
                <w:szCs w:val="15"/>
                <w:highlight w:val="none"/>
              </w:rPr>
            </w:pPr>
          </w:p>
        </w:tc>
      </w:tr>
      <w:tr w14:paraId="0B27E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752" w:hRule="atLeast"/>
          <w:jc w:val="center"/>
        </w:trPr>
        <w:tc>
          <w:tcPr>
            <w:tcW w:w="610" w:type="dxa"/>
            <w:vMerge w:val="restart"/>
            <w:shd w:val="clear" w:color="auto" w:fill="auto"/>
            <w:vAlign w:val="center"/>
          </w:tcPr>
          <w:p w14:paraId="4E6B3ED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830" w:type="dxa"/>
            <w:gridSpan w:val="3"/>
            <w:vMerge w:val="restart"/>
            <w:shd w:val="clear" w:color="auto" w:fill="auto"/>
            <w:vAlign w:val="center"/>
          </w:tcPr>
          <w:p w14:paraId="2CA55783">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露天焚烧垃圾（电子废物、油毡、橡胶、塑料、皮革、沥青）</w:t>
            </w:r>
          </w:p>
        </w:tc>
        <w:tc>
          <w:tcPr>
            <w:tcW w:w="2789" w:type="dxa"/>
            <w:gridSpan w:val="2"/>
            <w:vMerge w:val="restart"/>
            <w:shd w:val="clear" w:color="auto" w:fill="auto"/>
            <w:vAlign w:val="center"/>
          </w:tcPr>
          <w:p w14:paraId="119E35D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851" w:type="dxa"/>
            <w:shd w:val="clear" w:color="auto" w:fill="auto"/>
            <w:vAlign w:val="center"/>
          </w:tcPr>
          <w:p w14:paraId="0B81F42F">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14:paraId="22D5F764">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w:t>
            </w:r>
          </w:p>
        </w:tc>
        <w:tc>
          <w:tcPr>
            <w:tcW w:w="840" w:type="dxa"/>
            <w:shd w:val="clear" w:color="auto" w:fill="auto"/>
            <w:vAlign w:val="center"/>
          </w:tcPr>
          <w:p w14:paraId="161ADC4E">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0819FD41">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；2.导致</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事故发生的，系数9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4F2B6AF2">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vMerge w:val="restart"/>
            <w:shd w:val="clear" w:color="auto" w:fill="auto"/>
            <w:vAlign w:val="center"/>
          </w:tcPr>
          <w:p w14:paraId="76820D10">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strike/>
                <w:dstrike w:val="0"/>
                <w:color w:val="auto"/>
                <w:sz w:val="15"/>
                <w:szCs w:val="15"/>
                <w:highlight w:val="none"/>
              </w:rPr>
            </w:pPr>
          </w:p>
        </w:tc>
      </w:tr>
      <w:tr w14:paraId="1D8C7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14:paraId="1C24AAC4">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14:paraId="3F73C39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1029233C">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14:paraId="1624E840">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p w14:paraId="17B09EF2">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（对个人）</w:t>
            </w:r>
          </w:p>
        </w:tc>
        <w:tc>
          <w:tcPr>
            <w:tcW w:w="840" w:type="dxa"/>
            <w:shd w:val="clear" w:color="auto" w:fill="auto"/>
            <w:vAlign w:val="center"/>
          </w:tcPr>
          <w:p w14:paraId="04A87E5C">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7E9BC0CE">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1.对大气环境或者生产生活造成较大影响的，系数2-3；2.导致事故发生或者</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恶劣影响的，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1CCCD7BF">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vMerge w:val="continue"/>
            <w:shd w:val="clear" w:color="auto" w:fill="auto"/>
            <w:vAlign w:val="center"/>
          </w:tcPr>
          <w:p w14:paraId="01BF8570">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r>
      <w:tr w14:paraId="4EC4C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5" w:hRule="atLeast"/>
          <w:jc w:val="center"/>
        </w:trPr>
        <w:tc>
          <w:tcPr>
            <w:tcW w:w="610" w:type="dxa"/>
            <w:shd w:val="clear" w:color="auto" w:fill="auto"/>
            <w:vAlign w:val="center"/>
          </w:tcPr>
          <w:p w14:paraId="4708D0E2">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07D66A23">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shd w:val="clear"/>
              </w:rPr>
              <w:t>在政府划定的禁止范围内露天烧烤食品</w:t>
            </w:r>
          </w:p>
        </w:tc>
        <w:tc>
          <w:tcPr>
            <w:tcW w:w="2789" w:type="dxa"/>
            <w:gridSpan w:val="2"/>
            <w:shd w:val="clear" w:color="auto" w:fill="auto"/>
            <w:vAlign w:val="center"/>
          </w:tcPr>
          <w:p w14:paraId="0205F0B0">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14:paraId="0276D78A">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35AC5FA0">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2347638E">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2；2.占用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公共场地面积较大，或者造成通行秩序、市容环境秩序较为混乱的，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33DF4DE9">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5CD4B1A8">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根据案件情形，需要作出公式之外</w:t>
            </w:r>
            <w:r>
              <w:rPr>
                <w:rFonts w:hint="eastAsia" w:cs="宋体" w:asciiTheme="minorEastAsia" w:hAnsiTheme="minorEastAsia" w:eastAsiaTheme="minorEastAsia"/>
                <w:color w:val="auto"/>
                <w:sz w:val="15"/>
                <w:szCs w:val="15"/>
                <w:highlight w:val="none"/>
                <w:lang w:eastAsia="zh-CN"/>
              </w:rPr>
              <w:t>其他</w:t>
            </w:r>
            <w:r>
              <w:rPr>
                <w:rFonts w:hint="eastAsia" w:cs="宋体" w:asciiTheme="minorEastAsia" w:hAnsiTheme="minorEastAsia" w:eastAsiaTheme="minorEastAsia"/>
                <w:color w:val="auto"/>
                <w:sz w:val="15"/>
                <w:szCs w:val="15"/>
                <w:highlight w:val="none"/>
              </w:rPr>
              <w:t>罚款额度处罚的，报案审会决定。</w:t>
            </w:r>
          </w:p>
        </w:tc>
      </w:tr>
      <w:tr w14:paraId="6C2A2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07" w:hRule="atLeast"/>
          <w:jc w:val="center"/>
        </w:trPr>
        <w:tc>
          <w:tcPr>
            <w:tcW w:w="610" w:type="dxa"/>
            <w:shd w:val="clear" w:color="auto" w:fill="auto"/>
            <w:vAlign w:val="center"/>
          </w:tcPr>
          <w:p w14:paraId="053D1DBB">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233F6C88">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为露天烧烤食品提供场地</w:t>
            </w:r>
          </w:p>
        </w:tc>
        <w:tc>
          <w:tcPr>
            <w:tcW w:w="2789" w:type="dxa"/>
            <w:gridSpan w:val="2"/>
            <w:shd w:val="clear" w:color="auto" w:fill="auto"/>
            <w:vAlign w:val="center"/>
          </w:tcPr>
          <w:p w14:paraId="00DBA147">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 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14:paraId="10C0DB03">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14:paraId="53ECA030">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132D6E05">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0B322D16">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07F7D91">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r>
      <w:tr w14:paraId="4B505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7" w:hRule="atLeast"/>
          <w:jc w:val="center"/>
        </w:trPr>
        <w:tc>
          <w:tcPr>
            <w:tcW w:w="610" w:type="dxa"/>
            <w:shd w:val="clear" w:color="auto" w:fill="auto"/>
            <w:vAlign w:val="center"/>
          </w:tcPr>
          <w:p w14:paraId="13D644CE">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830" w:type="dxa"/>
            <w:gridSpan w:val="3"/>
            <w:shd w:val="clear" w:color="auto" w:fill="auto"/>
            <w:vAlign w:val="center"/>
          </w:tcPr>
          <w:p w14:paraId="118DDEDA">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运输散装、流体物料车辆不符合条件（未安装卫星定位系统、未密闭运输）</w:t>
            </w:r>
          </w:p>
        </w:tc>
        <w:tc>
          <w:tcPr>
            <w:tcW w:w="2789" w:type="dxa"/>
            <w:gridSpan w:val="2"/>
            <w:shd w:val="clear" w:color="auto" w:fill="auto"/>
            <w:vAlign w:val="center"/>
          </w:tcPr>
          <w:p w14:paraId="017572EB">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违反条款：第八十三条；处罚条款：第一百二十一条：责令改正，处二千元以上二万</w:t>
            </w:r>
            <w:r>
              <w:rPr>
                <w:rFonts w:hint="eastAsia" w:asciiTheme="minorEastAsia" w:hAnsiTheme="minorEastAsia" w:eastAsiaTheme="minorEastAsia"/>
                <w:color w:val="auto"/>
                <w:sz w:val="15"/>
                <w:szCs w:val="15"/>
                <w:highlight w:val="none"/>
                <w:lang w:eastAsia="zh-CN"/>
              </w:rPr>
              <w:t>元</w:t>
            </w:r>
            <w:r>
              <w:rPr>
                <w:rFonts w:hint="eastAsia" w:asciiTheme="minorEastAsia" w:hAnsiTheme="minorEastAsia" w:eastAsiaTheme="minorEastAsia"/>
                <w:color w:val="auto"/>
                <w:sz w:val="15"/>
                <w:szCs w:val="15"/>
                <w:highlight w:val="none"/>
              </w:rPr>
              <w:t>以下罚款；拒不改正的，车辆不得上道路行驶。</w:t>
            </w:r>
          </w:p>
        </w:tc>
        <w:tc>
          <w:tcPr>
            <w:tcW w:w="851" w:type="dxa"/>
            <w:shd w:val="clear" w:color="auto" w:fill="auto"/>
            <w:vAlign w:val="center"/>
          </w:tcPr>
          <w:p w14:paraId="64627062">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14:paraId="47CB23CE">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65952DBE">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车辆同时存在不符合条件、未安装卫星定位系统、未密闭等</w:t>
            </w:r>
            <w:r>
              <w:rPr>
                <w:rFonts w:hint="eastAsia" w:asciiTheme="minorEastAsia" w:hAnsiTheme="minorEastAsia" w:eastAsiaTheme="minorEastAsia"/>
                <w:color w:val="auto"/>
                <w:sz w:val="15"/>
                <w:szCs w:val="15"/>
                <w:highlight w:val="none"/>
                <w:lang w:val="en-US" w:eastAsia="zh-CN"/>
              </w:rPr>
              <w:t>2种情形的系数2，3种情形的系数4；2.</w:t>
            </w: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50C969AD">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514FD176">
            <w:pPr>
              <w:spacing w:line="240" w:lineRule="exact"/>
              <w:rPr>
                <w:rFonts w:asciiTheme="minorEastAsia" w:hAnsiTheme="minorEastAsia" w:eastAsiaTheme="minorEastAsia"/>
                <w:color w:val="auto"/>
                <w:sz w:val="15"/>
                <w:szCs w:val="15"/>
                <w:highlight w:val="none"/>
              </w:rPr>
            </w:pPr>
          </w:p>
        </w:tc>
      </w:tr>
      <w:tr w14:paraId="64C02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00" w:hRule="atLeast"/>
          <w:jc w:val="center"/>
        </w:trPr>
        <w:tc>
          <w:tcPr>
            <w:tcW w:w="610" w:type="dxa"/>
            <w:shd w:val="clear" w:color="auto" w:fill="auto"/>
            <w:vAlign w:val="center"/>
          </w:tcPr>
          <w:p w14:paraId="6A0F16EA">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830" w:type="dxa"/>
            <w:gridSpan w:val="3"/>
            <w:shd w:val="clear" w:color="auto" w:fill="auto"/>
            <w:vAlign w:val="center"/>
          </w:tcPr>
          <w:p w14:paraId="5B226E67">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建筑垃圾资源化处置场（渣土消纳场、燃煤电厂贮灰场、垃圾填埋场）未实施分区作业或者未采取措施防治扬尘污染</w:t>
            </w:r>
          </w:p>
        </w:tc>
        <w:tc>
          <w:tcPr>
            <w:tcW w:w="2789" w:type="dxa"/>
            <w:gridSpan w:val="2"/>
            <w:shd w:val="clear" w:color="auto" w:fill="auto"/>
            <w:vAlign w:val="center"/>
          </w:tcPr>
          <w:p w14:paraId="42CB4A64">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shd w:val="clear" w:color="auto" w:fill="auto"/>
            <w:vAlign w:val="center"/>
          </w:tcPr>
          <w:p w14:paraId="7FDAE26D">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3A0CBCEE">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14:paraId="4BAF6ADE">
            <w:pPr>
              <w:spacing w:line="240" w:lineRule="exact"/>
              <w:jc w:val="center"/>
              <w:rPr>
                <w:rFonts w:asciiTheme="minorEastAsia" w:hAnsiTheme="minorEastAsia" w:eastAsiaTheme="minorEastAsia"/>
                <w:color w:val="auto"/>
                <w:sz w:val="15"/>
                <w:szCs w:val="15"/>
                <w:highlight w:val="none"/>
              </w:rPr>
            </w:pPr>
          </w:p>
        </w:tc>
        <w:tc>
          <w:tcPr>
            <w:tcW w:w="3426" w:type="dxa"/>
            <w:shd w:val="clear" w:color="auto" w:fill="auto"/>
            <w:vAlign w:val="center"/>
          </w:tcPr>
          <w:p w14:paraId="1A7A4BE4">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产生较大环境污染或者社会影响的，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造成社会恶劣影响或者</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严重后果的，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存在基准2.1.3规定情形的，系数按照相关规定确定。</w:t>
            </w:r>
          </w:p>
        </w:tc>
        <w:tc>
          <w:tcPr>
            <w:tcW w:w="1875" w:type="dxa"/>
            <w:gridSpan w:val="2"/>
            <w:shd w:val="clear" w:color="auto" w:fill="auto"/>
            <w:vAlign w:val="center"/>
          </w:tcPr>
          <w:p w14:paraId="3BD5CD59">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p w14:paraId="3513CD8C">
            <w:pPr>
              <w:spacing w:line="240" w:lineRule="exact"/>
              <w:rPr>
                <w:rFonts w:asciiTheme="minorEastAsia" w:hAnsiTheme="minorEastAsia" w:eastAsiaTheme="minorEastAsia"/>
                <w:color w:val="auto"/>
                <w:sz w:val="15"/>
                <w:szCs w:val="15"/>
                <w:highlight w:val="none"/>
              </w:rPr>
            </w:pPr>
          </w:p>
        </w:tc>
        <w:tc>
          <w:tcPr>
            <w:tcW w:w="1982" w:type="dxa"/>
            <w:gridSpan w:val="2"/>
            <w:shd w:val="clear" w:color="auto" w:fill="auto"/>
            <w:vAlign w:val="center"/>
          </w:tcPr>
          <w:p w14:paraId="6787B32A">
            <w:pPr>
              <w:spacing w:line="240" w:lineRule="exact"/>
              <w:rPr>
                <w:rFonts w:asciiTheme="minorEastAsia" w:hAnsiTheme="minorEastAsia" w:eastAsiaTheme="minorEastAsia"/>
                <w:color w:val="auto"/>
                <w:sz w:val="15"/>
                <w:szCs w:val="15"/>
                <w:highlight w:val="none"/>
              </w:rPr>
            </w:pPr>
          </w:p>
        </w:tc>
      </w:tr>
      <w:tr w14:paraId="61A30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76" w:hRule="atLeast"/>
          <w:jc w:val="center"/>
        </w:trPr>
        <w:tc>
          <w:tcPr>
            <w:tcW w:w="14203" w:type="dxa"/>
            <w:gridSpan w:val="13"/>
            <w:shd w:val="clear" w:color="auto" w:fill="auto"/>
            <w:vAlign w:val="center"/>
          </w:tcPr>
          <w:p w14:paraId="237BDE54">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0" w:name="_Toc955898411"/>
            <w:bookmarkStart w:id="111" w:name="_Toc110851471"/>
            <w:bookmarkStart w:id="112" w:name="_Toc1745180410"/>
            <w:r>
              <w:rPr>
                <w:rFonts w:hint="eastAsia" w:asciiTheme="minorEastAsia" w:hAnsiTheme="minorEastAsia" w:eastAsiaTheme="minorEastAsia"/>
                <w:color w:val="auto"/>
                <w:sz w:val="21"/>
                <w:szCs w:val="21"/>
                <w:highlight w:val="none"/>
              </w:rPr>
              <w:t>《北京市环境噪声污染防治办法》案由</w:t>
            </w:r>
            <w:r>
              <w:rPr>
                <w:rFonts w:hint="eastAsia" w:asciiTheme="minorEastAsia" w:hAnsiTheme="minorEastAsia" w:eastAsiaTheme="minorEastAsia"/>
                <w:color w:val="auto"/>
                <w:sz w:val="21"/>
                <w:szCs w:val="21"/>
                <w:highlight w:val="none"/>
                <w:lang w:val="en-US" w:eastAsia="zh-CN"/>
              </w:rPr>
              <w:t>1</w:t>
            </w:r>
            <w:r>
              <w:rPr>
                <w:rFonts w:hint="eastAsia" w:asciiTheme="minorEastAsia" w:hAnsiTheme="minorEastAsia" w:eastAsiaTheme="minorEastAsia"/>
                <w:color w:val="auto"/>
                <w:sz w:val="21"/>
                <w:szCs w:val="21"/>
                <w:highlight w:val="none"/>
              </w:rPr>
              <w:t>项</w:t>
            </w:r>
            <w:bookmarkEnd w:id="110"/>
            <w:bookmarkEnd w:id="111"/>
            <w:bookmarkEnd w:id="112"/>
          </w:p>
        </w:tc>
      </w:tr>
      <w:tr w14:paraId="01B18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01" w:hRule="atLeast"/>
          <w:jc w:val="center"/>
        </w:trPr>
        <w:tc>
          <w:tcPr>
            <w:tcW w:w="610" w:type="dxa"/>
            <w:shd w:val="clear" w:color="auto" w:fill="auto"/>
            <w:vAlign w:val="center"/>
          </w:tcPr>
          <w:p w14:paraId="0B28993A">
            <w:pPr>
              <w:spacing w:line="240"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1830" w:type="dxa"/>
            <w:gridSpan w:val="3"/>
            <w:tcBorders>
              <w:bottom w:val="single" w:color="auto" w:sz="4" w:space="0"/>
            </w:tcBorders>
            <w:shd w:val="clear" w:color="auto" w:fill="auto"/>
            <w:vAlign w:val="center"/>
          </w:tcPr>
          <w:p w14:paraId="5081250A">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特殊时段在噪声敏感建筑物集中区域内从事产生噪声的施工作业</w:t>
            </w:r>
          </w:p>
        </w:tc>
        <w:tc>
          <w:tcPr>
            <w:tcW w:w="2789" w:type="dxa"/>
            <w:gridSpan w:val="2"/>
            <w:tcBorders>
              <w:bottom w:val="single" w:color="auto" w:sz="4" w:space="0"/>
            </w:tcBorders>
            <w:shd w:val="clear" w:color="auto" w:fill="auto"/>
            <w:vAlign w:val="center"/>
          </w:tcPr>
          <w:p w14:paraId="13F0ABD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w:t>
            </w:r>
          </w:p>
          <w:p w14:paraId="057829A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处罚条款：第三十九条 责令停止违法行为，并处1万元以上3万元以下罚款</w:t>
            </w:r>
          </w:p>
        </w:tc>
        <w:tc>
          <w:tcPr>
            <w:tcW w:w="851" w:type="dxa"/>
            <w:shd w:val="clear" w:color="auto" w:fill="auto"/>
            <w:vAlign w:val="center"/>
          </w:tcPr>
          <w:p w14:paraId="5C9FAF45">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2ACD8A1">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EEA8D2F">
            <w:pPr>
              <w:tabs>
                <w:tab w:val="left" w:pos="312"/>
              </w:tabs>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持续时间较长</w:t>
            </w:r>
            <w:r>
              <w:rPr>
                <w:rFonts w:hint="eastAsia" w:asciiTheme="minorEastAsia" w:hAnsiTheme="minorEastAsia" w:eastAsiaTheme="minorEastAsia"/>
                <w:color w:val="auto"/>
                <w:sz w:val="15"/>
                <w:szCs w:val="15"/>
                <w:highlight w:val="none"/>
                <w:lang w:eastAsia="zh-CN"/>
              </w:rPr>
              <w:t>（达到</w:t>
            </w:r>
            <w:r>
              <w:rPr>
                <w:rFonts w:hint="eastAsia" w:asciiTheme="minorEastAsia" w:hAnsiTheme="minorEastAsia" w:eastAsiaTheme="minorEastAsia"/>
                <w:color w:val="auto"/>
                <w:sz w:val="15"/>
                <w:szCs w:val="15"/>
                <w:highlight w:val="none"/>
                <w:lang w:val="en-US" w:eastAsia="zh-CN"/>
              </w:rPr>
              <w:t>3天及以上的</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，或者造成</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社会恶劣影响等情形，</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1；2.媒体曝光，造成不良社会影响的，系数2；3.在中（高）考考场周边的，系数2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7EA38302">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4E64153D">
            <w:pPr>
              <w:spacing w:line="240" w:lineRule="exact"/>
              <w:rPr>
                <w:rFonts w:cs="宋体" w:asciiTheme="minorEastAsia" w:hAnsiTheme="minorEastAsia" w:eastAsiaTheme="minorEastAsia"/>
                <w:color w:val="auto"/>
                <w:kern w:val="0"/>
                <w:sz w:val="15"/>
                <w:szCs w:val="15"/>
                <w:highlight w:val="none"/>
              </w:rPr>
            </w:pPr>
          </w:p>
        </w:tc>
      </w:tr>
      <w:tr w14:paraId="59FD5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10" w:hRule="atLeast"/>
          <w:jc w:val="center"/>
        </w:trPr>
        <w:tc>
          <w:tcPr>
            <w:tcW w:w="14203" w:type="dxa"/>
            <w:gridSpan w:val="13"/>
            <w:shd w:val="clear" w:color="auto" w:fill="auto"/>
            <w:vAlign w:val="center"/>
          </w:tcPr>
          <w:p w14:paraId="4967FFB2">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21"/>
                <w:szCs w:val="21"/>
                <w:highlight w:val="none"/>
              </w:rPr>
            </w:pPr>
            <w:bookmarkStart w:id="113" w:name="_Toc193344115"/>
            <w:bookmarkStart w:id="114" w:name="_Toc110851472"/>
            <w:bookmarkStart w:id="115" w:name="_Toc62682014"/>
            <w:r>
              <w:rPr>
                <w:rStyle w:val="32"/>
                <w:rFonts w:hint="eastAsia" w:asciiTheme="minorEastAsia" w:hAnsiTheme="minorEastAsia" w:eastAsiaTheme="minorEastAsia"/>
                <w:color w:val="auto"/>
                <w:sz w:val="21"/>
                <w:szCs w:val="21"/>
                <w:highlight w:val="none"/>
              </w:rPr>
              <w:t>《中华人民共和国噪声污染防治法》案由</w:t>
            </w:r>
            <w:r>
              <w:rPr>
                <w:rStyle w:val="32"/>
                <w:rFonts w:hint="eastAsia" w:asciiTheme="minorEastAsia" w:hAnsiTheme="minorEastAsia" w:eastAsiaTheme="minorEastAsia"/>
                <w:color w:val="auto"/>
                <w:sz w:val="21"/>
                <w:szCs w:val="21"/>
                <w:highlight w:val="none"/>
                <w:lang w:val="en-US" w:eastAsia="zh-CN"/>
              </w:rPr>
              <w:t>6</w:t>
            </w:r>
            <w:r>
              <w:rPr>
                <w:rStyle w:val="32"/>
                <w:rFonts w:hint="eastAsia" w:asciiTheme="minorEastAsia" w:hAnsiTheme="minorEastAsia" w:eastAsiaTheme="minorEastAsia"/>
                <w:color w:val="auto"/>
                <w:sz w:val="21"/>
                <w:szCs w:val="21"/>
                <w:highlight w:val="none"/>
              </w:rPr>
              <w:t>项</w:t>
            </w:r>
            <w:bookmarkEnd w:id="113"/>
            <w:bookmarkEnd w:id="114"/>
            <w:bookmarkEnd w:id="115"/>
          </w:p>
        </w:tc>
      </w:tr>
      <w:tr w14:paraId="0CD6A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490" w:hRule="atLeast"/>
          <w:jc w:val="center"/>
        </w:trPr>
        <w:tc>
          <w:tcPr>
            <w:tcW w:w="610" w:type="dxa"/>
            <w:shd w:val="clear" w:color="auto" w:fill="auto"/>
            <w:vAlign w:val="center"/>
          </w:tcPr>
          <w:p w14:paraId="0CC0438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shd w:val="clear" w:color="auto" w:fill="auto"/>
            <w:vAlign w:val="center"/>
          </w:tcPr>
          <w:p w14:paraId="4D36F197">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未取得证明夜间施工</w:t>
            </w:r>
          </w:p>
        </w:tc>
        <w:tc>
          <w:tcPr>
            <w:tcW w:w="2789" w:type="dxa"/>
            <w:gridSpan w:val="2"/>
            <w:shd w:val="clear" w:color="auto" w:fill="auto"/>
            <w:vAlign w:val="center"/>
          </w:tcPr>
          <w:p w14:paraId="4CF4E9E9">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14:paraId="700CB3AE">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处罚条款：第七十七条第（二）项 责令改正，处一万元以上十万元以下的罚款；拒不改正的，可以责令暂停施工。</w:t>
            </w:r>
          </w:p>
        </w:tc>
        <w:tc>
          <w:tcPr>
            <w:tcW w:w="851" w:type="dxa"/>
            <w:shd w:val="clear" w:color="auto" w:fill="auto"/>
            <w:vAlign w:val="center"/>
          </w:tcPr>
          <w:p w14:paraId="79FD1579">
            <w:pPr>
              <w:spacing w:line="220" w:lineRule="exact"/>
              <w:jc w:val="center"/>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2242F924">
            <w:pPr>
              <w:spacing w:line="22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08E7D4C6">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1.持续时间较长</w:t>
            </w:r>
            <w:r>
              <w:rPr>
                <w:rFonts w:hint="eastAsia" w:asciiTheme="minorEastAsia" w:hAnsiTheme="minorEastAsia" w:eastAsiaTheme="minorEastAsia"/>
                <w:color w:val="auto"/>
                <w:sz w:val="15"/>
                <w:szCs w:val="15"/>
                <w:highlight w:val="none"/>
                <w:lang w:eastAsia="zh-CN"/>
              </w:rPr>
              <w:t>（达到</w:t>
            </w:r>
            <w:r>
              <w:rPr>
                <w:rFonts w:hint="eastAsia" w:asciiTheme="minorEastAsia" w:hAnsiTheme="minorEastAsia" w:eastAsiaTheme="minorEastAsia"/>
                <w:color w:val="auto"/>
                <w:sz w:val="15"/>
                <w:szCs w:val="15"/>
                <w:highlight w:val="none"/>
                <w:lang w:val="en-US" w:eastAsia="zh-CN"/>
              </w:rPr>
              <w:t>3天及以上的</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b w:val="0"/>
                <w:bCs w:val="0"/>
                <w:color w:val="auto"/>
                <w:sz w:val="15"/>
                <w:szCs w:val="15"/>
                <w:highlight w:val="none"/>
              </w:rPr>
              <w:t>系数1-4</w:t>
            </w:r>
            <w:r>
              <w:rPr>
                <w:rFonts w:hint="eastAsia" w:asciiTheme="minorEastAsia" w:hAnsiTheme="minorEastAsia" w:eastAsiaTheme="minorEastAsia"/>
                <w:color w:val="auto"/>
                <w:sz w:val="15"/>
                <w:szCs w:val="15"/>
                <w:highlight w:val="none"/>
              </w:rPr>
              <w:t>；2.存在在中高考等特殊时段，投诉举报较多，媒体曝光，或者造成</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社会恶劣影响等情形的，系数5-9。</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6E03FD2A">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310DE495">
            <w:pPr>
              <w:spacing w:line="220" w:lineRule="exact"/>
              <w:rPr>
                <w:color w:val="auto"/>
                <w:highlight w:val="none"/>
              </w:rPr>
            </w:pPr>
            <w:r>
              <w:rPr>
                <w:rFonts w:hint="eastAsia" w:asciiTheme="minorEastAsia" w:hAnsiTheme="minorEastAsia" w:eastAsiaTheme="minorEastAsia"/>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r>
      <w:tr w14:paraId="526D6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332" w:hRule="atLeast"/>
          <w:jc w:val="center"/>
        </w:trPr>
        <w:tc>
          <w:tcPr>
            <w:tcW w:w="610" w:type="dxa"/>
            <w:vMerge w:val="restart"/>
            <w:shd w:val="clear" w:color="auto" w:fill="auto"/>
            <w:vAlign w:val="center"/>
          </w:tcPr>
          <w:p w14:paraId="49CDC8B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vMerge w:val="restart"/>
            <w:shd w:val="clear" w:color="auto" w:fill="auto"/>
            <w:vAlign w:val="center"/>
          </w:tcPr>
          <w:p w14:paraId="4B876903">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未按照规定制定噪声污染防治实施方案</w:t>
            </w:r>
          </w:p>
        </w:tc>
        <w:tc>
          <w:tcPr>
            <w:tcW w:w="2789" w:type="dxa"/>
            <w:gridSpan w:val="2"/>
            <w:vMerge w:val="restart"/>
            <w:shd w:val="clear" w:color="auto" w:fill="auto"/>
            <w:vAlign w:val="center"/>
          </w:tcPr>
          <w:p w14:paraId="4468F9D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违反条款：第四十条第二款 ；</w:t>
            </w:r>
          </w:p>
          <w:p w14:paraId="6608868D">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处罚条款：第七十八条第（二）项 责令改正，处五千元以上五万元以下的罚款；拒不改正的，处五万元以上二十万元以下的罚款。</w:t>
            </w:r>
          </w:p>
        </w:tc>
        <w:tc>
          <w:tcPr>
            <w:tcW w:w="851" w:type="dxa"/>
            <w:shd w:val="clear" w:color="auto" w:fill="auto"/>
            <w:vAlign w:val="center"/>
          </w:tcPr>
          <w:p w14:paraId="7DBF9A4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04BF9BD1">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4C55EE34">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系数1-4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2.造成投诉举报较多，或者其他社会恶劣影响的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28E3919F">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65AF147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w:t>
            </w:r>
            <w:r>
              <w:rPr>
                <w:rFonts w:hint="eastAsia" w:asciiTheme="minorEastAsia" w:hAnsiTheme="minorEastAsia" w:eastAsiaTheme="minorEastAsia"/>
                <w:color w:val="auto"/>
                <w:sz w:val="15"/>
                <w:szCs w:val="15"/>
                <w:highlight w:val="none"/>
                <w:lang w:val="en"/>
              </w:rPr>
              <w:t>是指</w:t>
            </w:r>
            <w:r>
              <w:rPr>
                <w:rFonts w:hint="eastAsia" w:asciiTheme="minorEastAsia" w:hAnsiTheme="minorEastAsia" w:eastAsiaTheme="minorEastAsia"/>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14:paraId="3F1CC6BC">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r>
      <w:tr w14:paraId="494C3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04" w:hRule="atLeast"/>
          <w:jc w:val="center"/>
        </w:trPr>
        <w:tc>
          <w:tcPr>
            <w:tcW w:w="610" w:type="dxa"/>
            <w:vMerge w:val="continue"/>
            <w:shd w:val="clear" w:color="auto" w:fill="auto"/>
            <w:vAlign w:val="center"/>
          </w:tcPr>
          <w:p w14:paraId="1C52A720">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0E8B594B">
            <w:pPr>
              <w:spacing w:line="232" w:lineRule="exact"/>
              <w:jc w:val="lef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59EE083C">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C229264">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14:paraId="51DADAAB">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6CBABC48">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系数1</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2.造成投诉举报较多，或者其他社会恶劣影响的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3211FCC9">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6B88B0A7">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《基准》“拒不改正”的情形，不纳入本案由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14:paraId="7058E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93" w:hRule="atLeast"/>
          <w:jc w:val="center"/>
        </w:trPr>
        <w:tc>
          <w:tcPr>
            <w:tcW w:w="610" w:type="dxa"/>
            <w:vMerge w:val="restart"/>
            <w:shd w:val="clear" w:color="auto" w:fill="auto"/>
            <w:vAlign w:val="center"/>
          </w:tcPr>
          <w:p w14:paraId="0B95F5F6">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830" w:type="dxa"/>
            <w:gridSpan w:val="3"/>
            <w:vMerge w:val="restart"/>
            <w:shd w:val="clear" w:color="auto" w:fill="auto"/>
            <w:vAlign w:val="center"/>
          </w:tcPr>
          <w:p w14:paraId="70206B0A">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建设单位夜间施工未按照规定公告</w:t>
            </w:r>
          </w:p>
        </w:tc>
        <w:tc>
          <w:tcPr>
            <w:tcW w:w="2789" w:type="dxa"/>
            <w:gridSpan w:val="2"/>
            <w:vMerge w:val="restart"/>
            <w:shd w:val="clear" w:color="auto" w:fill="auto"/>
            <w:vAlign w:val="center"/>
          </w:tcPr>
          <w:p w14:paraId="1073559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14:paraId="549B79E8">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处罚条款：第七十八条第（四）项，责令改正，处五千元以上五万元以下的罚款；拒不改正的，处五万元以上二十万元以下的罚款</w:t>
            </w:r>
          </w:p>
        </w:tc>
        <w:tc>
          <w:tcPr>
            <w:tcW w:w="851" w:type="dxa"/>
            <w:shd w:val="clear" w:color="auto" w:fill="auto"/>
            <w:vAlign w:val="center"/>
          </w:tcPr>
          <w:p w14:paraId="678E277A">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14:paraId="4AAD142F">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4E4EFA19">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系数1-4</w:t>
            </w:r>
            <w:r>
              <w:rPr>
                <w:rFonts w:hint="eastAsia" w:asciiTheme="minorEastAsia" w:hAnsiTheme="minorEastAsia" w:eastAsiaTheme="minorEastAsia"/>
                <w:color w:val="auto"/>
                <w:sz w:val="15"/>
                <w:szCs w:val="15"/>
                <w:highlight w:val="none"/>
                <w:lang w:val="en" w:eastAsia="zh-CN"/>
              </w:rPr>
              <w:t>。</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102899B5">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6DB22477">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《北京市环境噪声污染防治办法》的“进行夜间施工作业未公告相关内容”停止执行。</w:t>
            </w:r>
          </w:p>
        </w:tc>
      </w:tr>
      <w:tr w14:paraId="4AEE9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3" w:hRule="atLeast"/>
          <w:jc w:val="center"/>
        </w:trPr>
        <w:tc>
          <w:tcPr>
            <w:tcW w:w="610" w:type="dxa"/>
            <w:vMerge w:val="continue"/>
            <w:shd w:val="clear" w:color="auto" w:fill="auto"/>
            <w:vAlign w:val="center"/>
          </w:tcPr>
          <w:p w14:paraId="648BDC61">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7BFDE4E7">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49D34A12">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3B6D7C7B">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14:paraId="33353721">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0AB419A2">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系数1</w:t>
            </w:r>
            <w:r>
              <w:rPr>
                <w:rFonts w:hint="eastAsia" w:asciiTheme="minorEastAsia" w:hAnsiTheme="minorEastAsia" w:eastAsiaTheme="minorEastAsia"/>
                <w:color w:val="auto"/>
                <w:sz w:val="15"/>
                <w:szCs w:val="15"/>
                <w:highlight w:val="none"/>
                <w:lang w:val="en" w:eastAsia="zh-CN"/>
              </w:rPr>
              <w:t>。</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59243F40">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5D330409">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《基准》“拒不改正”的情形，不纳入本案由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14:paraId="026E8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3" w:hRule="atLeast"/>
          <w:jc w:val="center"/>
        </w:trPr>
        <w:tc>
          <w:tcPr>
            <w:tcW w:w="610" w:type="dxa"/>
            <w:shd w:val="clear" w:color="auto" w:fill="auto"/>
            <w:vAlign w:val="center"/>
          </w:tcPr>
          <w:p w14:paraId="70C2E4A9">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bookmarkStart w:id="116" w:name="_Toc760985315"/>
            <w:bookmarkStart w:id="117" w:name="_Toc110851473"/>
            <w:r>
              <w:rPr>
                <w:rFonts w:hint="eastAsia" w:cs="宋体" w:asciiTheme="minorEastAsia" w:hAnsiTheme="minorEastAsia" w:eastAsiaTheme="minorEastAsia"/>
                <w:color w:val="auto"/>
                <w:kern w:val="0"/>
                <w:sz w:val="15"/>
                <w:szCs w:val="15"/>
                <w:highlight w:val="none"/>
                <w:lang w:val="en-US" w:eastAsia="zh-CN"/>
              </w:rPr>
              <w:t>4</w:t>
            </w:r>
          </w:p>
        </w:tc>
        <w:tc>
          <w:tcPr>
            <w:tcW w:w="1830" w:type="dxa"/>
            <w:gridSpan w:val="3"/>
            <w:shd w:val="clear" w:color="auto" w:fill="auto"/>
            <w:vAlign w:val="center"/>
          </w:tcPr>
          <w:p w14:paraId="314B6D3A">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在噪声敏感建筑物禁止建设区域新建与航空无关的噪声敏感建筑物</w:t>
            </w:r>
          </w:p>
        </w:tc>
        <w:tc>
          <w:tcPr>
            <w:tcW w:w="2789" w:type="dxa"/>
            <w:gridSpan w:val="2"/>
            <w:shd w:val="clear" w:color="auto" w:fill="auto"/>
            <w:vAlign w:val="center"/>
          </w:tcPr>
          <w:p w14:paraId="5F186FA0">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lang w:eastAsia="zh-CN"/>
              </w:rPr>
              <w:t>违反条款：</w:t>
            </w:r>
            <w:r>
              <w:rPr>
                <w:rFonts w:hint="eastAsia" w:ascii="宋体" w:hAnsi="宋体" w:eastAsia="宋体" w:cs="宋体"/>
                <w:color w:val="auto"/>
                <w:kern w:val="0"/>
                <w:sz w:val="15"/>
                <w:szCs w:val="15"/>
                <w:highlight w:val="none"/>
              </w:rPr>
              <w:t>第五十二条第二款</w:t>
            </w:r>
            <w:r>
              <w:rPr>
                <w:rFonts w:hint="eastAsia" w:ascii="宋体" w:hAnsi="宋体" w:eastAsia="宋体" w:cs="宋体"/>
                <w:color w:val="auto"/>
                <w:kern w:val="0"/>
                <w:sz w:val="15"/>
                <w:szCs w:val="15"/>
                <w:highlight w:val="none"/>
                <w:lang w:eastAsia="zh-CN"/>
              </w:rPr>
              <w:t>；</w:t>
            </w:r>
          </w:p>
          <w:p w14:paraId="739E18CC">
            <w:pPr>
              <w:spacing w:line="232" w:lineRule="exact"/>
              <w:rPr>
                <w:rFonts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处罚条款：第七十三条第二款</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责令停止违法行为，处建设工程合同价款百分之二以上百分之十以下的罚款，并报经有批准权的人民政府批准，责令拆除。</w:t>
            </w:r>
          </w:p>
        </w:tc>
        <w:tc>
          <w:tcPr>
            <w:tcW w:w="851" w:type="dxa"/>
            <w:shd w:val="clear" w:color="auto" w:fill="auto"/>
            <w:vAlign w:val="center"/>
          </w:tcPr>
          <w:p w14:paraId="52A0A6D3">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eastAsia="zh-CN"/>
              </w:rPr>
              <w:t>建设工程合同价款</w:t>
            </w:r>
          </w:p>
        </w:tc>
        <w:tc>
          <w:tcPr>
            <w:tcW w:w="840" w:type="dxa"/>
            <w:shd w:val="clear" w:color="auto" w:fill="auto"/>
            <w:vAlign w:val="center"/>
          </w:tcPr>
          <w:p w14:paraId="4746295F">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3426" w:type="dxa"/>
            <w:shd w:val="clear" w:color="auto" w:fill="auto"/>
            <w:vAlign w:val="center"/>
          </w:tcPr>
          <w:p w14:paraId="2AFA921F">
            <w:pPr>
              <w:spacing w:line="232" w:lineRule="exact"/>
              <w:rPr>
                <w:rFonts w:hint="eastAsia" w:ascii="宋体" w:hAnsi="宋体" w:cs="Times New Roman" w:eastAsiaTheme="minorEastAsia"/>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1.拒不改正</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或者投诉举报较多的，系数2</w:t>
            </w:r>
            <w:r>
              <w:rPr>
                <w:rFonts w:hint="eastAsia" w:ascii="宋体" w:hAnsi="宋体"/>
                <w:color w:val="auto"/>
                <w:sz w:val="15"/>
                <w:szCs w:val="15"/>
                <w:highlight w:val="none"/>
                <w:lang w:val="en-US" w:eastAsia="zh-CN"/>
              </w:rPr>
              <w:t>。</w:t>
            </w:r>
            <w:r>
              <w:rPr>
                <w:rFonts w:hint="eastAsia" w:ascii="宋体" w:hAnsi="宋体" w:eastAsia="宋体"/>
                <w:color w:val="auto"/>
                <w:sz w:val="15"/>
                <w:szCs w:val="15"/>
                <w:highlight w:val="none"/>
                <w:lang w:val="en-US" w:eastAsia="zh-CN"/>
              </w:rPr>
              <w:t>2.存在较大安全隐患或者造成社会恶劣影响的，系数3。</w:t>
            </w:r>
            <w:r>
              <w:rPr>
                <w:rFonts w:hint="eastAsia" w:ascii="宋体" w:hAnsi="宋体"/>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7CC72C47">
            <w:pPr>
              <w:spacing w:line="232" w:lineRule="exact"/>
              <w:rPr>
                <w:rFonts w:hint="eastAsia" w:ascii="宋体" w:hAnsi="宋体" w:eastAsia="宋体" w:cs="宋体"/>
                <w:color w:val="auto"/>
                <w:kern w:val="0"/>
                <w:sz w:val="15"/>
                <w:szCs w:val="15"/>
                <w:highlight w:val="none"/>
                <w:lang w:val="en-US" w:eastAsia="zh-CN" w:bidi="ar-SA"/>
              </w:rPr>
            </w:pPr>
            <w:r>
              <w:rPr>
                <w:rFonts w:hint="eastAsia" w:ascii="宋体" w:hAnsi="宋体" w:eastAsia="宋体"/>
                <w:color w:val="auto"/>
                <w:sz w:val="15"/>
                <w:szCs w:val="15"/>
                <w:highlight w:val="none"/>
              </w:rPr>
              <w:t>罚款数额＝</w:t>
            </w:r>
            <w:r>
              <w:rPr>
                <w:rFonts w:hint="eastAsia" w:ascii="宋体" w:hAnsi="宋体"/>
                <w:color w:val="auto"/>
                <w:sz w:val="15"/>
                <w:szCs w:val="15"/>
                <w:highlight w:val="none"/>
                <w:lang w:eastAsia="zh-CN"/>
              </w:rPr>
              <w:t>建设工程合同价款</w:t>
            </w:r>
            <w:r>
              <w:rPr>
                <w:rFonts w:hint="eastAsia" w:ascii="宋体" w:hAnsi="宋体" w:eastAsia="宋体"/>
                <w:color w:val="auto"/>
                <w:sz w:val="15"/>
                <w:szCs w:val="15"/>
                <w:highlight w:val="none"/>
              </w:rPr>
              <w:t>×</w:t>
            </w:r>
            <w:r>
              <w:rPr>
                <w:rFonts w:hint="eastAsia" w:ascii="宋体" w:hAnsi="宋体" w:eastAsia="宋体"/>
                <w:color w:val="auto"/>
                <w:sz w:val="15"/>
                <w:szCs w:val="15"/>
                <w:highlight w:val="none"/>
                <w:lang w:val="en-US" w:eastAsia="zh-CN"/>
              </w:rPr>
              <w:t>2%</w:t>
            </w:r>
            <w:r>
              <w:rPr>
                <w:rFonts w:hint="eastAsia" w:ascii="宋体" w:hAnsi="宋体" w:eastAsia="宋体"/>
                <w:color w:val="auto"/>
                <w:sz w:val="15"/>
                <w:szCs w:val="15"/>
                <w:highlight w:val="none"/>
              </w:rPr>
              <w:t>×（1＋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shd w:val="clear" w:color="auto" w:fill="auto"/>
            <w:vAlign w:val="center"/>
          </w:tcPr>
          <w:p w14:paraId="3EF8DFC3">
            <w:pPr>
              <w:spacing w:line="232" w:lineRule="exact"/>
              <w:rPr>
                <w:rFonts w:hint="eastAsia" w:asciiTheme="minorEastAsia" w:hAnsiTheme="minorEastAsia" w:eastAsiaTheme="minorEastAsia"/>
                <w:color w:val="auto"/>
                <w:sz w:val="15"/>
                <w:szCs w:val="15"/>
                <w:highlight w:val="none"/>
              </w:rPr>
            </w:pPr>
          </w:p>
        </w:tc>
      </w:tr>
      <w:tr w14:paraId="5C120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3" w:hRule="atLeast"/>
          <w:jc w:val="center"/>
        </w:trPr>
        <w:tc>
          <w:tcPr>
            <w:tcW w:w="610" w:type="dxa"/>
            <w:vMerge w:val="restart"/>
            <w:shd w:val="clear" w:color="auto" w:fill="auto"/>
            <w:vAlign w:val="center"/>
          </w:tcPr>
          <w:p w14:paraId="3C55D64A">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5</w:t>
            </w:r>
          </w:p>
        </w:tc>
        <w:tc>
          <w:tcPr>
            <w:tcW w:w="1830" w:type="dxa"/>
            <w:gridSpan w:val="3"/>
            <w:vMerge w:val="restart"/>
            <w:shd w:val="clear" w:color="auto" w:fill="auto"/>
            <w:vAlign w:val="center"/>
          </w:tcPr>
          <w:p w14:paraId="3A6A7257">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未按照规定将噪声污染防治费用列入工程造价</w:t>
            </w:r>
          </w:p>
        </w:tc>
        <w:tc>
          <w:tcPr>
            <w:tcW w:w="2789" w:type="dxa"/>
            <w:gridSpan w:val="2"/>
            <w:vMerge w:val="restart"/>
            <w:shd w:val="clear" w:color="auto" w:fill="auto"/>
            <w:vAlign w:val="center"/>
          </w:tcPr>
          <w:p w14:paraId="535A4F04">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lang w:eastAsia="zh-CN"/>
              </w:rPr>
              <w:t>；</w:t>
            </w:r>
          </w:p>
          <w:p w14:paraId="195E74B0">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处罚条款：第七十八条第（一）项</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shd w:val="clear" w:color="auto" w:fill="auto"/>
            <w:vAlign w:val="center"/>
          </w:tcPr>
          <w:p w14:paraId="52A931A0">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5000</w:t>
            </w:r>
          </w:p>
        </w:tc>
        <w:tc>
          <w:tcPr>
            <w:tcW w:w="840" w:type="dxa"/>
            <w:shd w:val="clear" w:color="auto" w:fill="auto"/>
            <w:vAlign w:val="center"/>
          </w:tcPr>
          <w:p w14:paraId="73DE95C8">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1</w:t>
            </w:r>
          </w:p>
        </w:tc>
        <w:tc>
          <w:tcPr>
            <w:tcW w:w="3426" w:type="dxa"/>
            <w:shd w:val="clear" w:color="auto" w:fill="auto"/>
            <w:vAlign w:val="center"/>
          </w:tcPr>
          <w:p w14:paraId="06CCF2BA">
            <w:pPr>
              <w:spacing w:line="232" w:lineRule="exact"/>
              <w:rPr>
                <w:rFonts w:hint="eastAsia" w:asciiTheme="minorEastAsia" w:hAnsiTheme="minorEastAsia" w:eastAsiaTheme="minorEastAsia"/>
                <w:color w:val="auto"/>
                <w:sz w:val="15"/>
                <w:szCs w:val="15"/>
                <w:highlight w:val="none"/>
                <w:lang w:eastAsia="zh-CN"/>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color w:val="auto"/>
                <w:sz w:val="15"/>
                <w:szCs w:val="15"/>
                <w:highlight w:val="none"/>
                <w:lang w:val="en" w:eastAsia="zh-CN"/>
              </w:rPr>
              <w:t>；</w:t>
            </w:r>
            <w:r>
              <w:rPr>
                <w:rFonts w:hint="eastAsia" w:ascii="宋体" w:hAnsi="宋体"/>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589DAC20">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shd w:val="clear" w:color="auto" w:fill="auto"/>
            <w:vAlign w:val="center"/>
          </w:tcPr>
          <w:p w14:paraId="4AC0B852">
            <w:pPr>
              <w:spacing w:line="232" w:lineRule="exact"/>
              <w:rPr>
                <w:rFonts w:hint="eastAsia" w:asciiTheme="minorEastAsia" w:hAnsiTheme="minorEastAsia" w:eastAsiaTheme="minorEastAsia"/>
                <w:color w:val="auto"/>
                <w:sz w:val="15"/>
                <w:szCs w:val="15"/>
                <w:highlight w:val="none"/>
              </w:rPr>
            </w:pPr>
          </w:p>
        </w:tc>
      </w:tr>
      <w:tr w14:paraId="32204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3" w:hRule="atLeast"/>
          <w:jc w:val="center"/>
        </w:trPr>
        <w:tc>
          <w:tcPr>
            <w:tcW w:w="610" w:type="dxa"/>
            <w:vMerge w:val="continue"/>
            <w:shd w:val="clear" w:color="auto" w:fill="auto"/>
            <w:vAlign w:val="center"/>
          </w:tcPr>
          <w:p w14:paraId="3C8C15AE">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5DEDD367">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65387F8A">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1977534">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50000（拒不改正）</w:t>
            </w:r>
          </w:p>
        </w:tc>
        <w:tc>
          <w:tcPr>
            <w:tcW w:w="840" w:type="dxa"/>
            <w:shd w:val="clear" w:color="auto" w:fill="auto"/>
            <w:vAlign w:val="center"/>
          </w:tcPr>
          <w:p w14:paraId="388D36C5">
            <w:pPr>
              <w:spacing w:line="232" w:lineRule="exact"/>
              <w:jc w:val="center"/>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lang w:val="en-US" w:eastAsia="zh-CN"/>
              </w:rPr>
              <w:t>1</w:t>
            </w:r>
          </w:p>
        </w:tc>
        <w:tc>
          <w:tcPr>
            <w:tcW w:w="3426" w:type="dxa"/>
            <w:shd w:val="clear" w:color="auto" w:fill="auto"/>
            <w:vAlign w:val="center"/>
          </w:tcPr>
          <w:p w14:paraId="7EDEBADE">
            <w:pPr>
              <w:spacing w:line="232" w:lineRule="exact"/>
              <w:rPr>
                <w:rFonts w:hint="eastAsia" w:asciiTheme="minorEastAsia" w:hAnsiTheme="minorEastAsia" w:eastAsiaTheme="minorEastAsia"/>
                <w:color w:val="auto"/>
                <w:sz w:val="15"/>
                <w:szCs w:val="15"/>
                <w:highlight w:val="none"/>
                <w:lang w:eastAsia="zh-CN"/>
              </w:rPr>
            </w:pPr>
            <w:r>
              <w:rPr>
                <w:rFonts w:hint="eastAsia" w:ascii="宋体" w:hAnsi="宋体" w:eastAsia="宋体"/>
                <w:color w:val="auto"/>
                <w:sz w:val="15"/>
                <w:szCs w:val="15"/>
                <w:highlight w:val="none"/>
              </w:rPr>
              <w:t>1.开工时间较长，工地位置处于人口集中区域等情形的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7EF7CC5D">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color w:val="auto"/>
                <w:sz w:val="15"/>
                <w:szCs w:val="15"/>
                <w:highlight w:val="none"/>
              </w:rPr>
              <w:t>罚款数额＝50000×（1＋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shd w:val="clear" w:color="auto" w:fill="auto"/>
            <w:vAlign w:val="center"/>
          </w:tcPr>
          <w:p w14:paraId="16FDF86E">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《基准》“拒不改正”的情形，不纳入本案由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14:paraId="247D7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3" w:hRule="atLeast"/>
          <w:jc w:val="center"/>
        </w:trPr>
        <w:tc>
          <w:tcPr>
            <w:tcW w:w="610" w:type="dxa"/>
            <w:vMerge w:val="restart"/>
            <w:shd w:val="clear" w:color="auto" w:fill="auto"/>
            <w:vAlign w:val="center"/>
          </w:tcPr>
          <w:p w14:paraId="5FB3CA49">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6</w:t>
            </w:r>
          </w:p>
        </w:tc>
        <w:tc>
          <w:tcPr>
            <w:tcW w:w="1830" w:type="dxa"/>
            <w:gridSpan w:val="3"/>
            <w:vMerge w:val="restart"/>
            <w:shd w:val="clear" w:color="auto" w:fill="auto"/>
            <w:vAlign w:val="center"/>
          </w:tcPr>
          <w:p w14:paraId="257C0D0A">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未采取有效措施减少振动、降低噪声</w:t>
            </w:r>
          </w:p>
        </w:tc>
        <w:tc>
          <w:tcPr>
            <w:tcW w:w="2789" w:type="dxa"/>
            <w:gridSpan w:val="2"/>
            <w:vMerge w:val="restart"/>
            <w:shd w:val="clear" w:color="auto" w:fill="auto"/>
            <w:vAlign w:val="center"/>
          </w:tcPr>
          <w:p w14:paraId="445E7A5F">
            <w:pPr>
              <w:spacing w:line="232" w:lineRule="exact"/>
              <w:rPr>
                <w:rFonts w:hint="eastAsia" w:ascii="宋体" w:hAnsi="宋体" w:eastAsia="宋体" w:cs="宋体"/>
                <w:color w:val="auto"/>
                <w:kern w:val="0"/>
                <w:sz w:val="15"/>
                <w:szCs w:val="15"/>
                <w:highlight w:val="none"/>
                <w:lang w:eastAsia="zh-CN"/>
              </w:rPr>
            </w:pPr>
            <w:r>
              <w:rPr>
                <w:rFonts w:hint="eastAsia" w:ascii="宋体" w:hAnsi="宋体" w:eastAsia="宋体" w:cs="宋体"/>
                <w:color w:val="auto"/>
                <w:kern w:val="0"/>
                <w:sz w:val="15"/>
                <w:szCs w:val="15"/>
                <w:highlight w:val="none"/>
              </w:rPr>
              <w:t>违反条款：第四十条第二款</w:t>
            </w:r>
            <w:r>
              <w:rPr>
                <w:rFonts w:hint="eastAsia" w:ascii="宋体" w:hAnsi="宋体" w:cs="宋体"/>
                <w:color w:val="auto"/>
                <w:kern w:val="0"/>
                <w:sz w:val="15"/>
                <w:szCs w:val="15"/>
                <w:highlight w:val="none"/>
                <w:lang w:eastAsia="zh-CN"/>
              </w:rPr>
              <w:t>；</w:t>
            </w:r>
          </w:p>
          <w:p w14:paraId="1DAF3785">
            <w:pPr>
              <w:spacing w:line="232" w:lineRule="exact"/>
              <w:rPr>
                <w:rFonts w:cs="宋体" w:asciiTheme="minorEastAsia" w:hAnsiTheme="minorEastAsia" w:eastAsiaTheme="minorEastAsia"/>
                <w:color w:val="auto"/>
                <w:kern w:val="0"/>
                <w:sz w:val="15"/>
                <w:szCs w:val="15"/>
                <w:highlight w:val="none"/>
              </w:rPr>
            </w:pPr>
            <w:r>
              <w:rPr>
                <w:rFonts w:hint="eastAsia" w:ascii="宋体" w:hAnsi="宋体" w:eastAsia="宋体" w:cs="宋体"/>
                <w:color w:val="auto"/>
                <w:kern w:val="0"/>
                <w:sz w:val="15"/>
                <w:szCs w:val="15"/>
                <w:highlight w:val="none"/>
              </w:rPr>
              <w:t>处罚条款：第七十八条第（二）项</w:t>
            </w:r>
            <w:r>
              <w:rPr>
                <w:rFonts w:hint="eastAsia" w:ascii="宋体" w:hAnsi="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责令改正，处五千元以上五万元以下的罚款；拒不改正的，处五万元以上二十万元以下的罚款。</w:t>
            </w:r>
          </w:p>
        </w:tc>
        <w:tc>
          <w:tcPr>
            <w:tcW w:w="851" w:type="dxa"/>
            <w:shd w:val="clear" w:color="auto" w:fill="auto"/>
            <w:vAlign w:val="center"/>
          </w:tcPr>
          <w:p w14:paraId="0DBC5FF7">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5000</w:t>
            </w:r>
          </w:p>
        </w:tc>
        <w:tc>
          <w:tcPr>
            <w:tcW w:w="840" w:type="dxa"/>
            <w:shd w:val="clear" w:color="auto" w:fill="auto"/>
            <w:vAlign w:val="center"/>
          </w:tcPr>
          <w:p w14:paraId="7B7378D2">
            <w:pPr>
              <w:spacing w:line="232" w:lineRule="exact"/>
              <w:jc w:val="center"/>
              <w:rPr>
                <w:rFonts w:hint="eastAsia" w:ascii="宋体" w:hAnsi="宋体" w:eastAsia="宋体"/>
                <w:color w:val="auto"/>
                <w:sz w:val="15"/>
                <w:szCs w:val="15"/>
                <w:highlight w:val="none"/>
                <w:lang w:val="en-US" w:eastAsia="zh-CN"/>
              </w:rPr>
            </w:pPr>
            <w:r>
              <w:rPr>
                <w:rFonts w:hint="eastAsia" w:ascii="宋体" w:hAnsi="宋体"/>
                <w:color w:val="auto"/>
                <w:sz w:val="15"/>
                <w:szCs w:val="15"/>
                <w:highlight w:val="none"/>
                <w:lang w:val="en-US" w:eastAsia="zh-CN"/>
              </w:rPr>
              <w:t>1</w:t>
            </w:r>
          </w:p>
        </w:tc>
        <w:tc>
          <w:tcPr>
            <w:tcW w:w="3426" w:type="dxa"/>
            <w:shd w:val="clear" w:color="auto" w:fill="auto"/>
            <w:vAlign w:val="center"/>
          </w:tcPr>
          <w:p w14:paraId="235F775B">
            <w:pPr>
              <w:spacing w:line="232" w:lineRule="exact"/>
              <w:rPr>
                <w:rFonts w:hint="eastAsia" w:ascii="宋体" w:hAnsi="宋体" w:eastAsiaTheme="minorEastAsia"/>
                <w:color w:val="auto"/>
                <w:sz w:val="15"/>
                <w:szCs w:val="15"/>
                <w:highlight w:val="none"/>
                <w:lang w:eastAsia="zh-CN"/>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系数1-4</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eastAsia="宋体"/>
                <w:color w:val="auto"/>
                <w:sz w:val="15"/>
                <w:szCs w:val="15"/>
                <w:highlight w:val="none"/>
                <w:lang w:val="en" w:eastAsia="zh-CN"/>
              </w:rPr>
              <w:t>，</w:t>
            </w:r>
            <w:r>
              <w:rPr>
                <w:rFonts w:hint="eastAsia" w:ascii="宋体" w:hAnsi="宋体" w:eastAsia="宋体"/>
                <w:color w:val="auto"/>
                <w:sz w:val="15"/>
                <w:szCs w:val="15"/>
                <w:highlight w:val="none"/>
              </w:rPr>
              <w:t>系数5-9</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66C5E243">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rPr>
              <w:t>罚款数额＝5000×（1＋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shd w:val="clear" w:color="auto" w:fill="auto"/>
            <w:vAlign w:val="center"/>
          </w:tcPr>
          <w:p w14:paraId="1685B727">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1</w:t>
            </w:r>
            <w:r>
              <w:rPr>
                <w:rFonts w:hint="eastAsia" w:ascii="宋体" w:hAnsi="宋体" w:eastAsia="宋体"/>
                <w:color w:val="auto"/>
                <w:sz w:val="15"/>
                <w:szCs w:val="15"/>
                <w:highlight w:val="none"/>
              </w:rPr>
              <w:t>.</w:t>
            </w:r>
            <w:r>
              <w:rPr>
                <w:rFonts w:hint="eastAsia" w:ascii="宋体" w:hAnsi="宋体"/>
                <w:color w:val="auto"/>
                <w:sz w:val="15"/>
                <w:szCs w:val="15"/>
                <w:highlight w:val="none"/>
                <w:lang w:eastAsia="zh-CN"/>
              </w:rPr>
              <w:t>原</w:t>
            </w:r>
            <w:r>
              <w:rPr>
                <w:rFonts w:hint="eastAsia" w:ascii="宋体" w:hAnsi="宋体" w:eastAsia="宋体"/>
                <w:color w:val="auto"/>
                <w:sz w:val="15"/>
                <w:szCs w:val="15"/>
                <w:highlight w:val="none"/>
              </w:rPr>
              <w:t>《北京市环境噪声污染防治办法》中“未把产生噪声的设备、设施布置在远离居住区一侧”案由停止执行，存在</w:t>
            </w:r>
            <w:r>
              <w:rPr>
                <w:rFonts w:hint="eastAsia" w:ascii="宋体" w:hAnsi="宋体"/>
                <w:color w:val="auto"/>
                <w:sz w:val="15"/>
                <w:szCs w:val="15"/>
                <w:highlight w:val="none"/>
                <w:lang w:eastAsia="zh-CN"/>
              </w:rPr>
              <w:t>上述</w:t>
            </w:r>
            <w:r>
              <w:rPr>
                <w:rFonts w:hint="eastAsia" w:ascii="宋体" w:hAnsi="宋体" w:eastAsia="宋体"/>
                <w:color w:val="auto"/>
                <w:sz w:val="15"/>
                <w:szCs w:val="15"/>
                <w:highlight w:val="none"/>
              </w:rPr>
              <w:t>情形的，按照“施工单位未采取有效措施减少振动、降低噪声”</w:t>
            </w:r>
            <w:r>
              <w:rPr>
                <w:rFonts w:hint="eastAsia" w:ascii="宋体" w:hAnsi="宋体" w:eastAsia="宋体"/>
                <w:color w:val="auto"/>
                <w:sz w:val="15"/>
                <w:szCs w:val="15"/>
                <w:highlight w:val="none"/>
                <w:lang w:eastAsia="zh-CN"/>
              </w:rPr>
              <w:t>执行</w:t>
            </w:r>
            <w:r>
              <w:rPr>
                <w:rFonts w:hint="eastAsia" w:ascii="宋体" w:hAnsi="宋体" w:eastAsia="宋体"/>
                <w:color w:val="auto"/>
                <w:sz w:val="15"/>
                <w:szCs w:val="15"/>
                <w:highlight w:val="none"/>
              </w:rPr>
              <w:t>。</w:t>
            </w:r>
          </w:p>
          <w:p w14:paraId="42DF0A27">
            <w:pPr>
              <w:spacing w:line="232" w:lineRule="exact"/>
              <w:rPr>
                <w:rFonts w:hint="eastAsia" w:ascii="宋体" w:hAnsi="宋体" w:eastAsia="宋体"/>
                <w:color w:val="auto"/>
                <w:sz w:val="15"/>
                <w:szCs w:val="15"/>
                <w:highlight w:val="none"/>
              </w:rPr>
            </w:pPr>
            <w:r>
              <w:rPr>
                <w:rFonts w:hint="eastAsia" w:ascii="宋体" w:hAnsi="宋体" w:eastAsia="宋体"/>
                <w:color w:val="auto"/>
                <w:sz w:val="15"/>
                <w:szCs w:val="15"/>
                <w:highlight w:val="none"/>
                <w:lang w:val="en-US" w:eastAsia="zh-CN"/>
              </w:rPr>
              <w:t>2.大型建设工程是指：25层以上（含，下同）的房屋建筑工程；高度100米以上的构筑物或建筑物工程；单体建筑面积3万平方米以上的房屋建筑工程；建筑面积10万平方米以上的住宅小区或建筑群体工程单项合同额1亿元以上的房屋建筑工程。</w:t>
            </w:r>
          </w:p>
        </w:tc>
      </w:tr>
      <w:tr w14:paraId="5168F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3" w:hRule="atLeast"/>
          <w:jc w:val="center"/>
        </w:trPr>
        <w:tc>
          <w:tcPr>
            <w:tcW w:w="610" w:type="dxa"/>
            <w:vMerge w:val="continue"/>
            <w:shd w:val="clear" w:color="auto" w:fill="auto"/>
            <w:vAlign w:val="center"/>
          </w:tcPr>
          <w:p w14:paraId="41D8234B">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p>
        </w:tc>
        <w:tc>
          <w:tcPr>
            <w:tcW w:w="1830" w:type="dxa"/>
            <w:gridSpan w:val="3"/>
            <w:vMerge w:val="continue"/>
            <w:shd w:val="clear" w:color="auto" w:fill="auto"/>
            <w:vAlign w:val="center"/>
          </w:tcPr>
          <w:p w14:paraId="5172CE1C">
            <w:pPr>
              <w:spacing w:line="232" w:lineRule="exact"/>
              <w:rPr>
                <w:rFonts w:hint="eastAsia" w:ascii="宋体" w:hAnsi="宋体" w:eastAsia="宋体" w:cs="宋体"/>
                <w:color w:val="auto"/>
                <w:kern w:val="0"/>
                <w:sz w:val="15"/>
                <w:szCs w:val="15"/>
                <w:highlight w:val="none"/>
              </w:rPr>
            </w:pPr>
          </w:p>
        </w:tc>
        <w:tc>
          <w:tcPr>
            <w:tcW w:w="2789" w:type="dxa"/>
            <w:gridSpan w:val="2"/>
            <w:vMerge w:val="continue"/>
            <w:shd w:val="clear" w:color="auto" w:fill="auto"/>
            <w:vAlign w:val="center"/>
          </w:tcPr>
          <w:p w14:paraId="094C790D">
            <w:pPr>
              <w:spacing w:line="232" w:lineRule="exact"/>
              <w:rPr>
                <w:rFonts w:hint="eastAsia" w:ascii="宋体" w:hAnsi="宋体" w:eastAsia="宋体" w:cs="宋体"/>
                <w:color w:val="auto"/>
                <w:kern w:val="0"/>
                <w:sz w:val="15"/>
                <w:szCs w:val="15"/>
                <w:highlight w:val="none"/>
              </w:rPr>
            </w:pPr>
          </w:p>
        </w:tc>
        <w:tc>
          <w:tcPr>
            <w:tcW w:w="851" w:type="dxa"/>
            <w:shd w:val="clear" w:color="auto" w:fill="auto"/>
            <w:vAlign w:val="center"/>
          </w:tcPr>
          <w:p w14:paraId="075E99D9">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lang w:val="en-US" w:eastAsia="zh-CN"/>
              </w:rPr>
              <w:t>50000（拒不改正）</w:t>
            </w:r>
          </w:p>
        </w:tc>
        <w:tc>
          <w:tcPr>
            <w:tcW w:w="840" w:type="dxa"/>
            <w:shd w:val="clear" w:color="auto" w:fill="auto"/>
            <w:vAlign w:val="center"/>
          </w:tcPr>
          <w:p w14:paraId="6B90E551">
            <w:pPr>
              <w:spacing w:line="232" w:lineRule="exact"/>
              <w:jc w:val="center"/>
              <w:rPr>
                <w:rFonts w:hint="eastAsia" w:ascii="宋体" w:hAnsi="宋体" w:eastAsia="宋体" w:cs="Times New Roman"/>
                <w:color w:val="auto"/>
                <w:kern w:val="2"/>
                <w:sz w:val="15"/>
                <w:szCs w:val="15"/>
                <w:highlight w:val="none"/>
                <w:lang w:val="en-US" w:eastAsia="zh-CN" w:bidi="ar-SA"/>
              </w:rPr>
            </w:pPr>
            <w:r>
              <w:rPr>
                <w:rFonts w:hint="eastAsia" w:ascii="宋体" w:hAnsi="宋体"/>
                <w:color w:val="auto"/>
                <w:sz w:val="15"/>
                <w:szCs w:val="15"/>
                <w:highlight w:val="none"/>
                <w:lang w:val="en-US" w:eastAsia="zh-CN"/>
              </w:rPr>
              <w:t>1</w:t>
            </w:r>
          </w:p>
        </w:tc>
        <w:tc>
          <w:tcPr>
            <w:tcW w:w="3426" w:type="dxa"/>
            <w:shd w:val="clear" w:color="auto" w:fill="auto"/>
            <w:vAlign w:val="center"/>
          </w:tcPr>
          <w:p w14:paraId="1A6C9387">
            <w:pPr>
              <w:spacing w:line="232" w:lineRule="exact"/>
              <w:rPr>
                <w:rFonts w:hint="eastAsia" w:ascii="宋体" w:hAnsi="宋体" w:cs="Times New Roman" w:eastAsiaTheme="minorEastAsia"/>
                <w:color w:val="auto"/>
                <w:kern w:val="2"/>
                <w:sz w:val="15"/>
                <w:szCs w:val="15"/>
                <w:highlight w:val="none"/>
                <w:lang w:val="en-US" w:eastAsia="zh-CN" w:bidi="ar-SA"/>
              </w:rPr>
            </w:pPr>
            <w:r>
              <w:rPr>
                <w:rFonts w:hint="eastAsia" w:ascii="宋体" w:hAnsi="宋体" w:eastAsia="宋体"/>
                <w:color w:val="auto"/>
                <w:sz w:val="15"/>
                <w:szCs w:val="15"/>
                <w:highlight w:val="none"/>
              </w:rPr>
              <w:t>1.大型建设工程，开工时间较长，工地位置处于人口集中区域等情形的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系数1</w:t>
            </w:r>
            <w:r>
              <w:rPr>
                <w:rFonts w:hint="eastAsia" w:ascii="宋体" w:hAnsi="宋体"/>
                <w:color w:val="auto"/>
                <w:sz w:val="15"/>
                <w:szCs w:val="15"/>
                <w:highlight w:val="none"/>
                <w:lang w:eastAsia="zh-CN"/>
              </w:rPr>
              <w:t>；</w:t>
            </w:r>
            <w:r>
              <w:rPr>
                <w:rFonts w:hint="eastAsia" w:ascii="宋体" w:hAnsi="宋体" w:eastAsia="宋体"/>
                <w:color w:val="auto"/>
                <w:sz w:val="15"/>
                <w:szCs w:val="15"/>
                <w:highlight w:val="none"/>
              </w:rPr>
              <w:t>2.投诉举报较多，或者</w:t>
            </w:r>
            <w:r>
              <w:rPr>
                <w:rFonts w:hint="eastAsia" w:ascii="宋体" w:hAnsi="宋体"/>
                <w:color w:val="auto"/>
                <w:sz w:val="15"/>
                <w:szCs w:val="15"/>
                <w:highlight w:val="none"/>
                <w:lang w:eastAsia="zh-CN"/>
              </w:rPr>
              <w:t>造成</w:t>
            </w:r>
            <w:r>
              <w:rPr>
                <w:rFonts w:hint="eastAsia" w:ascii="宋体" w:hAnsi="宋体" w:eastAsia="宋体"/>
                <w:color w:val="auto"/>
                <w:sz w:val="15"/>
                <w:szCs w:val="15"/>
                <w:highlight w:val="none"/>
              </w:rPr>
              <w:t>其他社会恶劣影响的</w:t>
            </w:r>
            <w:r>
              <w:rPr>
                <w:rFonts w:hint="eastAsia" w:ascii="宋体" w:hAnsi="宋体"/>
                <w:color w:val="auto"/>
                <w:sz w:val="15"/>
                <w:szCs w:val="15"/>
                <w:highlight w:val="none"/>
                <w:lang w:val="en" w:eastAsia="zh-CN"/>
              </w:rPr>
              <w:t>，</w:t>
            </w:r>
            <w:r>
              <w:rPr>
                <w:rFonts w:hint="eastAsia" w:ascii="宋体" w:hAnsi="宋体" w:eastAsia="宋体"/>
                <w:color w:val="auto"/>
                <w:sz w:val="15"/>
                <w:szCs w:val="15"/>
                <w:highlight w:val="none"/>
              </w:rPr>
              <w:t>系数2</w:t>
            </w:r>
            <w:r>
              <w:rPr>
                <w:rFonts w:hint="eastAsia" w:ascii="宋体" w:hAnsi="宋体"/>
                <w:color w:val="auto"/>
                <w:sz w:val="15"/>
                <w:szCs w:val="15"/>
                <w:highlight w:val="none"/>
                <w:lang w:eastAsia="zh-CN"/>
              </w:rPr>
              <w:t>；</w:t>
            </w:r>
            <w:r>
              <w:rPr>
                <w:rFonts w:hint="eastAsia" w:ascii="宋体" w:hAnsi="宋体"/>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0545A1ED">
            <w:pPr>
              <w:spacing w:line="232" w:lineRule="exact"/>
              <w:rPr>
                <w:rFonts w:hint="eastAsia" w:ascii="宋体" w:hAnsi="宋体" w:eastAsia="宋体" w:cs="Times New Roman"/>
                <w:color w:val="auto"/>
                <w:kern w:val="2"/>
                <w:sz w:val="15"/>
                <w:szCs w:val="15"/>
                <w:highlight w:val="none"/>
                <w:lang w:val="en-US" w:eastAsia="zh-CN" w:bidi="ar-SA"/>
              </w:rPr>
            </w:pPr>
            <w:r>
              <w:rPr>
                <w:rFonts w:hint="eastAsia" w:ascii="宋体" w:hAnsi="宋体" w:eastAsia="宋体"/>
                <w:color w:val="auto"/>
                <w:sz w:val="15"/>
                <w:szCs w:val="15"/>
                <w:highlight w:val="none"/>
              </w:rPr>
              <w:t>罚款数额＝50000×（1＋</w:t>
            </w:r>
            <w:r>
              <w:rPr>
                <w:rFonts w:hint="eastAsia" w:ascii="宋体" w:hAnsi="宋体"/>
                <w:color w:val="auto"/>
                <w:sz w:val="15"/>
                <w:szCs w:val="15"/>
                <w:highlight w:val="none"/>
                <w:lang w:eastAsia="zh-CN"/>
              </w:rPr>
              <w:t>情节</w:t>
            </w:r>
            <w:r>
              <w:rPr>
                <w:rFonts w:hint="eastAsia" w:ascii="宋体" w:hAnsi="宋体" w:eastAsia="宋体"/>
                <w:color w:val="auto"/>
                <w:sz w:val="15"/>
                <w:szCs w:val="15"/>
                <w:highlight w:val="none"/>
              </w:rPr>
              <w:t>系数）</w:t>
            </w:r>
          </w:p>
        </w:tc>
        <w:tc>
          <w:tcPr>
            <w:tcW w:w="1982" w:type="dxa"/>
            <w:gridSpan w:val="2"/>
            <w:shd w:val="clear" w:color="auto" w:fill="auto"/>
            <w:vAlign w:val="center"/>
          </w:tcPr>
          <w:p w14:paraId="678F66B3">
            <w:pPr>
              <w:spacing w:line="232" w:lineRule="exact"/>
              <w:rPr>
                <w:rFonts w:hint="eastAsia" w:ascii="宋体" w:hAnsi="宋体" w:eastAsia="宋体" w:cs="宋体"/>
                <w:color w:val="auto"/>
                <w:kern w:val="0"/>
                <w:sz w:val="15"/>
                <w:szCs w:val="15"/>
                <w:highlight w:val="none"/>
                <w:lang w:val="en-US" w:eastAsia="zh-CN" w:bidi="ar-SA"/>
              </w:rPr>
            </w:pPr>
            <w:r>
              <w:rPr>
                <w:rFonts w:hint="eastAsia" w:asciiTheme="minorEastAsia" w:hAnsiTheme="minorEastAsia" w:eastAsiaTheme="minorEastAsia"/>
                <w:strike w:val="0"/>
                <w:dstrike w:val="0"/>
                <w:color w:val="auto"/>
                <w:sz w:val="15"/>
                <w:szCs w:val="15"/>
                <w:highlight w:val="none"/>
              </w:rPr>
              <w:t>《基准》“拒不改正”的情形，不纳入本案由</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14:paraId="5DE15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31" w:hRule="atLeast"/>
          <w:jc w:val="center"/>
        </w:trPr>
        <w:tc>
          <w:tcPr>
            <w:tcW w:w="14203" w:type="dxa"/>
            <w:gridSpan w:val="13"/>
            <w:shd w:val="clear" w:color="auto" w:fill="auto"/>
            <w:vAlign w:val="center"/>
          </w:tcPr>
          <w:p w14:paraId="7CAF9478">
            <w:pPr>
              <w:pStyle w:val="2"/>
              <w:keepNext w:val="0"/>
              <w:keepLines w:val="0"/>
              <w:rPr>
                <w:rFonts w:ascii="黑体" w:hAnsi="黑体" w:eastAsia="黑体"/>
                <w:b w:val="0"/>
                <w:color w:val="auto"/>
                <w:sz w:val="24"/>
                <w:szCs w:val="24"/>
                <w:highlight w:val="none"/>
              </w:rPr>
            </w:pPr>
            <w:bookmarkStart w:id="118" w:name="_Toc2094638046"/>
            <w:r>
              <w:rPr>
                <w:rFonts w:hint="eastAsia" w:ascii="黑体" w:hAnsi="黑体" w:eastAsia="黑体"/>
                <w:b w:val="0"/>
                <w:color w:val="auto"/>
                <w:sz w:val="28"/>
                <w:szCs w:val="28"/>
                <w:highlight w:val="none"/>
              </w:rPr>
              <w:t>施工现场管理方面</w:t>
            </w:r>
            <w:bookmarkEnd w:id="116"/>
            <w:bookmarkEnd w:id="117"/>
            <w:bookmarkEnd w:id="118"/>
          </w:p>
        </w:tc>
      </w:tr>
      <w:tr w14:paraId="64452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75" w:hRule="atLeast"/>
          <w:jc w:val="center"/>
        </w:trPr>
        <w:tc>
          <w:tcPr>
            <w:tcW w:w="14203" w:type="dxa"/>
            <w:gridSpan w:val="13"/>
            <w:shd w:val="clear" w:color="auto" w:fill="auto"/>
            <w:vAlign w:val="center"/>
          </w:tcPr>
          <w:p w14:paraId="6A81092C">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9" w:name="_Toc1669927446"/>
            <w:bookmarkStart w:id="120" w:name="_Toc110851474"/>
            <w:bookmarkStart w:id="121" w:name="_Toc1199177022"/>
            <w:r>
              <w:rPr>
                <w:rFonts w:hint="eastAsia" w:asciiTheme="minorEastAsia" w:hAnsiTheme="minorEastAsia" w:eastAsiaTheme="minorEastAsia"/>
                <w:color w:val="auto"/>
                <w:sz w:val="21"/>
                <w:szCs w:val="21"/>
                <w:highlight w:val="none"/>
              </w:rPr>
              <w:t>《北京市大气污染防治条例》施工现场执法案由16项</w:t>
            </w:r>
            <w:bookmarkEnd w:id="119"/>
            <w:bookmarkEnd w:id="120"/>
            <w:bookmarkEnd w:id="121"/>
          </w:p>
        </w:tc>
      </w:tr>
      <w:tr w14:paraId="1F458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07" w:hRule="atLeast"/>
          <w:jc w:val="center"/>
        </w:trPr>
        <w:tc>
          <w:tcPr>
            <w:tcW w:w="610" w:type="dxa"/>
            <w:shd w:val="clear" w:color="auto" w:fill="auto"/>
            <w:vAlign w:val="center"/>
          </w:tcPr>
          <w:p w14:paraId="5FDDB6A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0C3C6E9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gridSpan w:val="2"/>
            <w:shd w:val="clear" w:color="auto" w:fill="auto"/>
            <w:vAlign w:val="center"/>
          </w:tcPr>
          <w:p w14:paraId="30B721D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14:paraId="408DB97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14:paraId="736D320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100DCF5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0ACDC04A">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1.未按标准设置围挡长度16-30米的，系数1；31-45米的，系数2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5EABB69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10DDC7C8">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14:paraId="00948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23" w:hRule="atLeast"/>
          <w:jc w:val="center"/>
        </w:trPr>
        <w:tc>
          <w:tcPr>
            <w:tcW w:w="610" w:type="dxa"/>
            <w:shd w:val="clear" w:color="auto" w:fill="auto"/>
            <w:vAlign w:val="center"/>
          </w:tcPr>
          <w:p w14:paraId="5FD85DF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13E9431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gridSpan w:val="2"/>
            <w:shd w:val="clear" w:color="auto" w:fill="auto"/>
            <w:vAlign w:val="center"/>
          </w:tcPr>
          <w:p w14:paraId="2B0613A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14:paraId="62152234">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14:paraId="0D1E820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47DF2A2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78BD4C77">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1.未按规定管护围挡长度16-30米的，系数1；31-45米的，系数2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未按规定管护围挡</w:t>
            </w:r>
            <w:r>
              <w:rPr>
                <w:rFonts w:hint="eastAsia" w:asciiTheme="minorEastAsia" w:hAnsiTheme="minorEastAsia" w:eastAsiaTheme="minorEastAsia"/>
                <w:color w:val="auto"/>
                <w:sz w:val="15"/>
                <w:szCs w:val="15"/>
                <w:highlight w:val="none"/>
              </w:rPr>
              <w:t>危害公共安全的，系数9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5B944E5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2EAE920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14:paraId="4EFE0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69" w:hRule="atLeast"/>
          <w:jc w:val="center"/>
        </w:trPr>
        <w:tc>
          <w:tcPr>
            <w:tcW w:w="610" w:type="dxa"/>
            <w:shd w:val="clear" w:color="auto" w:fill="auto"/>
            <w:vAlign w:val="center"/>
          </w:tcPr>
          <w:p w14:paraId="1940E18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0C3569A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施工单位未在施工现场出入口公示相关信息</w:t>
            </w:r>
          </w:p>
        </w:tc>
        <w:tc>
          <w:tcPr>
            <w:tcW w:w="2789" w:type="dxa"/>
            <w:gridSpan w:val="2"/>
            <w:shd w:val="clear" w:color="auto" w:fill="auto"/>
            <w:vAlign w:val="center"/>
          </w:tcPr>
          <w:p w14:paraId="7FDDF5D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违反条款：第八十一条第一款第（二）项；</w:t>
            </w:r>
          </w:p>
          <w:p w14:paraId="3A7EDF9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14:paraId="63EBAF29">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0000</w:t>
            </w:r>
          </w:p>
        </w:tc>
        <w:tc>
          <w:tcPr>
            <w:tcW w:w="840" w:type="dxa"/>
            <w:shd w:val="clear" w:color="auto" w:fill="auto"/>
            <w:vAlign w:val="center"/>
          </w:tcPr>
          <w:p w14:paraId="46ADB2B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62A1AA6B">
            <w:pPr>
              <w:spacing w:line="232" w:lineRule="exact"/>
              <w:jc w:val="lef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7D1249EF">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strike w:val="0"/>
                <w:dstrike w:val="0"/>
                <w:color w:val="auto"/>
                <w:sz w:val="15"/>
                <w:szCs w:val="15"/>
                <w:highlight w:val="none"/>
                <w:lang w:val="en-US" w:eastAsia="zh-CN"/>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17D2A2A5">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需要做出其他处罚决定的，报请案审会决定。</w:t>
            </w:r>
          </w:p>
          <w:p w14:paraId="01B349AE">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14:paraId="462BC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14" w:hRule="atLeast"/>
          <w:jc w:val="center"/>
        </w:trPr>
        <w:tc>
          <w:tcPr>
            <w:tcW w:w="610" w:type="dxa"/>
            <w:shd w:val="clear" w:color="auto" w:fill="auto"/>
            <w:vAlign w:val="center"/>
          </w:tcPr>
          <w:p w14:paraId="05467C2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59499D8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未对施工现场内主要道路和物料堆放场地进行硬化</w:t>
            </w:r>
          </w:p>
        </w:tc>
        <w:tc>
          <w:tcPr>
            <w:tcW w:w="2789" w:type="dxa"/>
            <w:gridSpan w:val="2"/>
            <w:shd w:val="clear" w:color="auto" w:fill="auto"/>
            <w:vAlign w:val="center"/>
          </w:tcPr>
          <w:p w14:paraId="7EB9CBF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14:paraId="6714BB1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2764A9F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137D5F1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0BD010E2">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未硬化、覆盖或者绿化面积10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3FF4625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0CBE9EE0">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14:paraId="4DDB8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99" w:hRule="atLeast"/>
          <w:jc w:val="center"/>
        </w:trPr>
        <w:tc>
          <w:tcPr>
            <w:tcW w:w="610" w:type="dxa"/>
            <w:shd w:val="clear" w:color="auto" w:fill="auto"/>
            <w:vAlign w:val="center"/>
          </w:tcPr>
          <w:p w14:paraId="6F58BFA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7C8B328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未对施工现场内除主要道路和物料堆放场地外</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场地进行覆盖或者临时绿化</w:t>
            </w:r>
          </w:p>
        </w:tc>
        <w:tc>
          <w:tcPr>
            <w:tcW w:w="2789" w:type="dxa"/>
            <w:gridSpan w:val="2"/>
            <w:shd w:val="clear" w:color="auto" w:fill="auto"/>
            <w:vAlign w:val="center"/>
          </w:tcPr>
          <w:p w14:paraId="6B259A5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14:paraId="41182FE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3F830C6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1D6A658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42AB9B2B">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23254ED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05C0946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14:paraId="5E704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30" w:hRule="atLeast"/>
          <w:jc w:val="center"/>
        </w:trPr>
        <w:tc>
          <w:tcPr>
            <w:tcW w:w="610" w:type="dxa"/>
            <w:shd w:val="clear" w:color="auto" w:fill="auto"/>
            <w:vAlign w:val="center"/>
          </w:tcPr>
          <w:p w14:paraId="45314FE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200D17C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固化措施</w:t>
            </w:r>
          </w:p>
        </w:tc>
        <w:tc>
          <w:tcPr>
            <w:tcW w:w="2789" w:type="dxa"/>
            <w:gridSpan w:val="2"/>
            <w:shd w:val="clear" w:color="auto" w:fill="auto"/>
            <w:vAlign w:val="center"/>
          </w:tcPr>
          <w:p w14:paraId="1A1DB10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14:paraId="2F39E97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106CBBA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25EDE3B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7F71FB35">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16D81DD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432A0BF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14:paraId="4CAC7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90" w:hRule="atLeast"/>
          <w:jc w:val="center"/>
        </w:trPr>
        <w:tc>
          <w:tcPr>
            <w:tcW w:w="610" w:type="dxa"/>
            <w:shd w:val="clear" w:color="auto" w:fill="auto"/>
            <w:vAlign w:val="center"/>
          </w:tcPr>
          <w:p w14:paraId="642402C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14:paraId="381A1511">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大风天气未停止可能产生扬尘污染的施工作业</w:t>
            </w:r>
          </w:p>
        </w:tc>
        <w:tc>
          <w:tcPr>
            <w:tcW w:w="2789" w:type="dxa"/>
            <w:gridSpan w:val="2"/>
            <w:shd w:val="clear" w:color="auto" w:fill="auto"/>
            <w:vAlign w:val="center"/>
          </w:tcPr>
          <w:p w14:paraId="6656573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违反条款：第八十一条第一款第（四）项</w:t>
            </w:r>
          </w:p>
          <w:p w14:paraId="17BF67C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4CA04BB1">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2EAA12B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ACC0306">
            <w:pPr>
              <w:spacing w:line="232" w:lineRule="exact"/>
              <w:rPr>
                <w:rFonts w:hint="eastAsia" w:asciiTheme="minorEastAsia" w:hAnsiTheme="minorEastAsia" w:eastAsiaTheme="minorEastAsia"/>
                <w:color w:val="auto"/>
                <w:sz w:val="15"/>
                <w:szCs w:val="15"/>
                <w:highlight w:val="none"/>
                <w:lang w:eastAsia="zh-CN"/>
              </w:rPr>
            </w:pP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级及</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级以上大风未停止可能产生扬尘污染的施工作业的，系数</w:t>
            </w:r>
            <w:r>
              <w:rPr>
                <w:rFonts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231304B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106BB9A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14:paraId="44D08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7FBB9D8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14:paraId="3A341D5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gridSpan w:val="2"/>
            <w:shd w:val="clear" w:color="auto" w:fill="auto"/>
            <w:vAlign w:val="center"/>
          </w:tcPr>
          <w:p w14:paraId="2DB1C143">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14:paraId="79B06AE2">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5CB7A28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1736CFF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5AE2BD52">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0CAF0D0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2F3D4060">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14:paraId="26E9A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66" w:hRule="atLeast"/>
          <w:jc w:val="center"/>
        </w:trPr>
        <w:tc>
          <w:tcPr>
            <w:tcW w:w="610" w:type="dxa"/>
            <w:shd w:val="clear" w:color="auto" w:fill="auto"/>
            <w:vAlign w:val="center"/>
          </w:tcPr>
          <w:p w14:paraId="3FA8A70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14:paraId="5DD7C58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施工现场未按规定安装视频监控系统</w:t>
            </w:r>
          </w:p>
        </w:tc>
        <w:tc>
          <w:tcPr>
            <w:tcW w:w="2789" w:type="dxa"/>
            <w:gridSpan w:val="2"/>
            <w:shd w:val="clear" w:color="auto" w:fill="auto"/>
            <w:vAlign w:val="center"/>
          </w:tcPr>
          <w:p w14:paraId="0C77C6A2">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14:paraId="475448D6">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4CD19EB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1CB166C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5BAE1C76">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478372D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152C50B6">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14:paraId="0C260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99" w:hRule="atLeast"/>
          <w:jc w:val="center"/>
        </w:trPr>
        <w:tc>
          <w:tcPr>
            <w:tcW w:w="610" w:type="dxa"/>
            <w:shd w:val="clear" w:color="auto" w:fill="auto"/>
            <w:vAlign w:val="center"/>
          </w:tcPr>
          <w:p w14:paraId="3C1B1C4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14:paraId="7C263D49">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施工车辆未经除泥、冲洗驶出工地</w:t>
            </w:r>
          </w:p>
        </w:tc>
        <w:tc>
          <w:tcPr>
            <w:tcW w:w="2789" w:type="dxa"/>
            <w:gridSpan w:val="2"/>
            <w:shd w:val="clear" w:color="auto" w:fill="auto"/>
            <w:vAlign w:val="center"/>
          </w:tcPr>
          <w:p w14:paraId="47366F4C">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14:paraId="51EFA3E7">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0AF06CD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5D789BE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64894E33">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6912A99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4E0476CC">
            <w:pPr>
              <w:spacing w:line="23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14:paraId="6A72F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88" w:hRule="atLeast"/>
          <w:jc w:val="center"/>
        </w:trPr>
        <w:tc>
          <w:tcPr>
            <w:tcW w:w="610" w:type="dxa"/>
            <w:shd w:val="clear" w:color="auto" w:fill="auto"/>
            <w:vAlign w:val="center"/>
          </w:tcPr>
          <w:p w14:paraId="46F3877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14:paraId="037E5DEA">
            <w:pPr>
              <w:spacing w:line="232" w:lineRule="exact"/>
              <w:rPr>
                <w:rFonts w:hint="default" w:cs="宋体"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车辆清洗处未配套设置排水、泥浆沉淀设施</w:t>
            </w:r>
          </w:p>
        </w:tc>
        <w:tc>
          <w:tcPr>
            <w:tcW w:w="2789" w:type="dxa"/>
            <w:gridSpan w:val="2"/>
            <w:shd w:val="clear" w:color="auto" w:fill="auto"/>
            <w:vAlign w:val="center"/>
          </w:tcPr>
          <w:p w14:paraId="3BA3E7F7">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14:paraId="2D7A7425">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4084430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78B5CBB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10549B4B">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5D1B37B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6E11650C">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14:paraId="13D5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20" w:hRule="atLeast"/>
          <w:jc w:val="center"/>
        </w:trPr>
        <w:tc>
          <w:tcPr>
            <w:tcW w:w="610" w:type="dxa"/>
            <w:shd w:val="clear" w:color="auto" w:fill="auto"/>
            <w:vAlign w:val="center"/>
          </w:tcPr>
          <w:p w14:paraId="01EDCF2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14:paraId="24A1E8A3">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施工现场道路及进出口周边一百米以内的道路有泥土和建筑垃圾</w:t>
            </w:r>
          </w:p>
        </w:tc>
        <w:tc>
          <w:tcPr>
            <w:tcW w:w="2789" w:type="dxa"/>
            <w:gridSpan w:val="2"/>
            <w:shd w:val="clear" w:color="auto" w:fill="auto"/>
            <w:vAlign w:val="center"/>
          </w:tcPr>
          <w:p w14:paraId="1B34C9BA">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违反条款：第八十一条第一款第（六）项；</w:t>
            </w:r>
          </w:p>
          <w:p w14:paraId="39668CF0">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3D908D5B">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43FC0B65">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7DF5125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p>
        </w:tc>
        <w:tc>
          <w:tcPr>
            <w:tcW w:w="1875" w:type="dxa"/>
            <w:gridSpan w:val="2"/>
            <w:shd w:val="clear" w:color="auto" w:fill="auto"/>
            <w:vAlign w:val="center"/>
          </w:tcPr>
          <w:p w14:paraId="088364EA">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278E9EA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14:paraId="003B9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34" w:hRule="atLeast"/>
          <w:jc w:val="center"/>
        </w:trPr>
        <w:tc>
          <w:tcPr>
            <w:tcW w:w="610" w:type="dxa"/>
            <w:shd w:val="clear" w:color="auto" w:fill="auto"/>
            <w:vAlign w:val="center"/>
          </w:tcPr>
          <w:p w14:paraId="03C02CB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14:paraId="00923F27">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道路挖掘施工过程中未及时覆盖破损路面并采取措施</w:t>
            </w:r>
          </w:p>
        </w:tc>
        <w:tc>
          <w:tcPr>
            <w:tcW w:w="2789" w:type="dxa"/>
            <w:gridSpan w:val="2"/>
            <w:shd w:val="clear" w:color="auto" w:fill="auto"/>
            <w:vAlign w:val="center"/>
          </w:tcPr>
          <w:p w14:paraId="5FFDB9A7">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14:paraId="1D2A1EBD">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2CEBAFC2">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4B0DA8FD">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575DD8F3">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路面长21－30米的，系数1；31－40米的，系数2；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p>
        </w:tc>
        <w:tc>
          <w:tcPr>
            <w:tcW w:w="1875" w:type="dxa"/>
            <w:gridSpan w:val="2"/>
            <w:shd w:val="clear" w:color="auto" w:fill="auto"/>
            <w:vAlign w:val="center"/>
          </w:tcPr>
          <w:p w14:paraId="7CBD75F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122987C9">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14:paraId="6A090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28E3C31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14:paraId="69D94E3E">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道路挖掘施工完成后未及时修复路面</w:t>
            </w:r>
          </w:p>
        </w:tc>
        <w:tc>
          <w:tcPr>
            <w:tcW w:w="2789" w:type="dxa"/>
            <w:gridSpan w:val="2"/>
            <w:shd w:val="clear" w:color="auto" w:fill="auto"/>
            <w:vAlign w:val="center"/>
          </w:tcPr>
          <w:p w14:paraId="32FD15AC">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14:paraId="3B790FD7">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14:paraId="3FF2E791">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3C225E78">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7094A6A6">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未修复的道路长21－30米的，系数1；31－40米的，系数2；</w:t>
            </w:r>
            <w:r>
              <w:rPr>
                <w:rFonts w:hint="eastAsia" w:cs="宋体" w:asciiTheme="minorEastAsia" w:hAnsiTheme="minorEastAsia" w:eastAsiaTheme="minorEastAsia"/>
                <w:color w:val="auto"/>
                <w:kern w:val="0"/>
                <w:sz w:val="15"/>
                <w:szCs w:val="15"/>
                <w:highlight w:val="none"/>
                <w:lang w:val="en-US" w:eastAsia="zh-CN"/>
              </w:rPr>
              <w:t>41-50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51-60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4；61-70</w:t>
            </w:r>
            <w:r>
              <w:rPr>
                <w:rFonts w:hint="eastAsia" w:cs="宋体" w:asciiTheme="minorEastAsia" w:hAnsiTheme="minorEastAsia" w:eastAsiaTheme="minorEastAsia"/>
                <w:color w:val="auto"/>
                <w:kern w:val="0"/>
                <w:sz w:val="15"/>
                <w:szCs w:val="15"/>
                <w:highlight w:val="none"/>
              </w:rPr>
              <w:t>米的，系数</w:t>
            </w:r>
            <w:r>
              <w:rPr>
                <w:rFonts w:hint="eastAsia" w:cs="宋体" w:asciiTheme="minorEastAsia" w:hAnsiTheme="minorEastAsia" w:eastAsiaTheme="minorEastAsia"/>
                <w:color w:val="auto"/>
                <w:kern w:val="0"/>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p>
        </w:tc>
        <w:tc>
          <w:tcPr>
            <w:tcW w:w="1875" w:type="dxa"/>
            <w:gridSpan w:val="2"/>
            <w:shd w:val="clear" w:color="auto" w:fill="auto"/>
            <w:vAlign w:val="center"/>
          </w:tcPr>
          <w:p w14:paraId="535AEA4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58B7116C">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r>
      <w:tr w14:paraId="0C342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24" w:hRule="atLeast"/>
          <w:jc w:val="center"/>
        </w:trPr>
        <w:tc>
          <w:tcPr>
            <w:tcW w:w="610" w:type="dxa"/>
            <w:shd w:val="clear" w:color="auto" w:fill="auto"/>
            <w:vAlign w:val="center"/>
          </w:tcPr>
          <w:p w14:paraId="298F8AB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14:paraId="2FE8F83E">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产生扬尘的物料未按规定贮存或者未</w:t>
            </w:r>
            <w:r>
              <w:rPr>
                <w:rFonts w:hint="eastAsia" w:asciiTheme="minorEastAsia" w:hAnsiTheme="minorEastAsia" w:eastAsiaTheme="minorEastAsia"/>
                <w:bCs/>
                <w:color w:val="auto"/>
                <w:sz w:val="15"/>
                <w:szCs w:val="15"/>
                <w:highlight w:val="none"/>
              </w:rPr>
              <w:t>采取有效防尘措施</w:t>
            </w:r>
          </w:p>
        </w:tc>
        <w:tc>
          <w:tcPr>
            <w:tcW w:w="2789" w:type="dxa"/>
            <w:gridSpan w:val="2"/>
            <w:shd w:val="clear" w:color="auto" w:fill="auto"/>
            <w:vAlign w:val="center"/>
          </w:tcPr>
          <w:p w14:paraId="1365FB20">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w:t>
            </w:r>
          </w:p>
          <w:p w14:paraId="32D2744C">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14:paraId="5FF7F386">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42705E67">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2FB3DF5C">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42886A30">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76A4F5F0">
            <w:pPr>
              <w:spacing w:line="21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r>
      <w:tr w14:paraId="7BA1B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79" w:hRule="atLeast"/>
          <w:jc w:val="center"/>
        </w:trPr>
        <w:tc>
          <w:tcPr>
            <w:tcW w:w="610" w:type="dxa"/>
            <w:shd w:val="clear" w:color="auto" w:fill="auto"/>
            <w:vAlign w:val="center"/>
          </w:tcPr>
          <w:p w14:paraId="60797D4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14:paraId="09F7F79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未按规定处置或覆盖建筑土方、工程渣土、建筑垃圾</w:t>
            </w:r>
          </w:p>
        </w:tc>
        <w:tc>
          <w:tcPr>
            <w:tcW w:w="2789" w:type="dxa"/>
            <w:gridSpan w:val="2"/>
            <w:shd w:val="clear" w:color="auto" w:fill="auto"/>
            <w:vAlign w:val="center"/>
          </w:tcPr>
          <w:p w14:paraId="7F4E5A1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违反条款：第八十二条第二款；</w:t>
            </w:r>
          </w:p>
          <w:p w14:paraId="3963482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14:paraId="67AC0D8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2E447E95">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232AE716">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占地面积10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的，系数1；16－20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s="宋体"/>
                <w:color w:val="auto"/>
                <w:kern w:val="0"/>
                <w:sz w:val="15"/>
                <w:szCs w:val="15"/>
                <w:highlight w:val="none"/>
                <w:lang w:val="en-US" w:eastAsia="zh-CN"/>
              </w:rPr>
              <w:t>21-25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3</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26-30</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4</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31-35</w:t>
            </w:r>
            <w:r>
              <w:rPr>
                <w:rFonts w:hint="eastAsia" w:ascii="宋体" w:hAnsi="宋体" w:eastAsia="宋体" w:cs="宋体"/>
                <w:color w:val="auto"/>
                <w:kern w:val="0"/>
                <w:sz w:val="15"/>
                <w:szCs w:val="15"/>
                <w:highlight w:val="none"/>
              </w:rPr>
              <w:t>㎡</w:t>
            </w:r>
            <w:r>
              <w:rPr>
                <w:rFonts w:hint="eastAsia" w:ascii="宋体" w:hAnsi="宋体" w:eastAsia="宋体" w:cs="仿宋_GB2312"/>
                <w:color w:val="auto"/>
                <w:kern w:val="0"/>
                <w:sz w:val="15"/>
                <w:szCs w:val="15"/>
                <w:highlight w:val="none"/>
              </w:rPr>
              <w:t>的，系数</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0D2BE2A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w:t>
            </w:r>
            <w:r>
              <w:rPr>
                <w:rFonts w:hint="eastAsia" w:asciiTheme="minorEastAsia" w:hAnsiTheme="minorEastAsia" w:eastAsiaTheme="minorEastAsia"/>
                <w:color w:val="auto"/>
                <w:sz w:val="15"/>
                <w:szCs w:val="15"/>
                <w:highlight w:val="none"/>
              </w:rPr>
              <w:t>系数）</w:t>
            </w:r>
          </w:p>
        </w:tc>
        <w:tc>
          <w:tcPr>
            <w:tcW w:w="1982" w:type="dxa"/>
            <w:gridSpan w:val="2"/>
            <w:shd w:val="clear" w:color="auto" w:fill="auto"/>
            <w:vAlign w:val="center"/>
          </w:tcPr>
          <w:p w14:paraId="584431B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r>
      <w:tr w14:paraId="3B5FA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22" w:hRule="atLeast"/>
          <w:jc w:val="center"/>
        </w:trPr>
        <w:tc>
          <w:tcPr>
            <w:tcW w:w="14203" w:type="dxa"/>
            <w:gridSpan w:val="13"/>
            <w:shd w:val="clear" w:color="auto" w:fill="auto"/>
            <w:vAlign w:val="center"/>
          </w:tcPr>
          <w:p w14:paraId="3D6EDDEA">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2" w:name="_Toc110851475"/>
            <w:bookmarkStart w:id="123" w:name="_Toc854219027"/>
            <w:bookmarkStart w:id="124" w:name="_Toc1490673052"/>
            <w:r>
              <w:rPr>
                <w:rFonts w:hint="eastAsia" w:asciiTheme="minorEastAsia" w:hAnsiTheme="minorEastAsia" w:eastAsiaTheme="minorEastAsia"/>
                <w:color w:val="auto"/>
                <w:sz w:val="21"/>
                <w:szCs w:val="21"/>
                <w:highlight w:val="none"/>
              </w:rPr>
              <w:t>《北京市建设工程施工现场管理办法》案由13项</w:t>
            </w:r>
            <w:bookmarkEnd w:id="122"/>
            <w:bookmarkEnd w:id="123"/>
            <w:bookmarkEnd w:id="124"/>
          </w:p>
        </w:tc>
      </w:tr>
      <w:tr w14:paraId="4F18E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70" w:hRule="atLeast"/>
          <w:jc w:val="center"/>
        </w:trPr>
        <w:tc>
          <w:tcPr>
            <w:tcW w:w="610" w:type="dxa"/>
            <w:shd w:val="clear" w:color="auto" w:fill="auto"/>
            <w:vAlign w:val="center"/>
          </w:tcPr>
          <w:p w14:paraId="6104739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2DEC67E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gridSpan w:val="2"/>
            <w:shd w:val="clear" w:color="auto" w:fill="auto"/>
            <w:vAlign w:val="center"/>
          </w:tcPr>
          <w:p w14:paraId="596AA4D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14:paraId="4FD83A7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182A386C">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63836CE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186A3DBE">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1.未按标准设置围挡长度1</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2.期间发生危害公共安全行为的，系数9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72EE0CD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5C673D0C">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14:paraId="174B1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51" w:hRule="atLeast"/>
          <w:jc w:val="center"/>
        </w:trPr>
        <w:tc>
          <w:tcPr>
            <w:tcW w:w="610" w:type="dxa"/>
            <w:shd w:val="clear" w:color="auto" w:fill="auto"/>
            <w:vAlign w:val="center"/>
          </w:tcPr>
          <w:p w14:paraId="5BD2AF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3534FB0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gridSpan w:val="2"/>
            <w:shd w:val="clear" w:color="auto" w:fill="auto"/>
            <w:vAlign w:val="center"/>
          </w:tcPr>
          <w:p w14:paraId="7D1C261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14:paraId="0B65348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5FE1960C">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7D7A9B9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1C9F6C9C">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1.未按规定管护围挡长度</w:t>
            </w: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46-60米的，系数3；61-75米的，系数4；76-90米的，系数5；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2.期间发生危害公共安全行为的，系数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103A9AF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086BC29E">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14:paraId="1211C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77" w:hRule="atLeast"/>
          <w:jc w:val="center"/>
        </w:trPr>
        <w:tc>
          <w:tcPr>
            <w:tcW w:w="610" w:type="dxa"/>
            <w:shd w:val="clear" w:color="auto" w:fill="auto"/>
            <w:vAlign w:val="center"/>
          </w:tcPr>
          <w:p w14:paraId="2310B8B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2ACC88F6">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市政基础设施工程因特殊情况不能进行围挡的未设置警示标志（或未在工程危险部位采取防护措施）</w:t>
            </w:r>
          </w:p>
        </w:tc>
        <w:tc>
          <w:tcPr>
            <w:tcW w:w="2789" w:type="dxa"/>
            <w:gridSpan w:val="2"/>
            <w:shd w:val="clear" w:color="auto" w:fill="auto"/>
            <w:vAlign w:val="center"/>
          </w:tcPr>
          <w:p w14:paraId="5752200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14:paraId="7B7A3B9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324146FD">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7D6C5AF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7D03C915">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1.违法行为持续时间较长，或者未设置警示标志或者防护措施的长度、面积较大的，发生在人口密集地区的，系数</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；2.期间发生危害公共安全行为的，系数9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1B5B5EB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20C7ED3D">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14:paraId="6F1B8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7" w:hRule="atLeast"/>
          <w:jc w:val="center"/>
        </w:trPr>
        <w:tc>
          <w:tcPr>
            <w:tcW w:w="610" w:type="dxa"/>
            <w:shd w:val="clear" w:color="auto" w:fill="auto"/>
            <w:vAlign w:val="center"/>
          </w:tcPr>
          <w:p w14:paraId="68348E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1429059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未按规定对施工现场道路、场地进行硬化、覆盖或者绿化</w:t>
            </w:r>
          </w:p>
        </w:tc>
        <w:tc>
          <w:tcPr>
            <w:tcW w:w="2789" w:type="dxa"/>
            <w:gridSpan w:val="2"/>
            <w:shd w:val="clear" w:color="auto" w:fill="auto"/>
            <w:vAlign w:val="center"/>
          </w:tcPr>
          <w:p w14:paraId="5AC9C21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14:paraId="191BD3C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58C8272F">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336C908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651318B">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未硬化、覆盖或者绿化面积</w:t>
            </w:r>
            <w:r>
              <w:rPr>
                <w:rFonts w:cs="宋体" w:asciiTheme="minorEastAsia" w:hAnsiTheme="minorEastAsia" w:eastAsiaTheme="minorEastAsia"/>
                <w:color w:val="auto"/>
                <w:kern w:val="0"/>
                <w:sz w:val="15"/>
                <w:szCs w:val="15"/>
                <w:highlight w:val="none"/>
              </w:rPr>
              <w:t>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w:t>
            </w:r>
            <w:r>
              <w:rPr>
                <w:rFonts w:cs="宋体" w:asciiTheme="minorEastAsia" w:hAnsiTheme="minorEastAsia" w:eastAsiaTheme="minorEastAsia"/>
                <w:color w:val="auto"/>
                <w:kern w:val="0"/>
                <w:sz w:val="15"/>
                <w:szCs w:val="15"/>
                <w:highlight w:val="none"/>
              </w:rPr>
              <w:t>11</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26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40</w:t>
            </w:r>
            <w:r>
              <w:rPr>
                <w:rFonts w:hint="eastAsia" w:cs="Batang" w:asciiTheme="minorEastAsia" w:hAnsiTheme="minorEastAsia" w:eastAsiaTheme="minorEastAsia"/>
                <w:color w:val="auto"/>
                <w:kern w:val="0"/>
                <w:sz w:val="15"/>
                <w:szCs w:val="15"/>
                <w:highlight w:val="none"/>
              </w:rPr>
              <w:t>㎡</w:t>
            </w:r>
            <w:r>
              <w:rPr>
                <w:rFonts w:hint="eastAsia" w:cs="Batang"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33696F7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情节系数）</w:t>
            </w:r>
          </w:p>
        </w:tc>
        <w:tc>
          <w:tcPr>
            <w:tcW w:w="1982" w:type="dxa"/>
            <w:gridSpan w:val="2"/>
            <w:shd w:val="clear" w:color="auto" w:fill="auto"/>
            <w:vAlign w:val="center"/>
          </w:tcPr>
          <w:p w14:paraId="575D47D0">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14:paraId="46CC9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59" w:hRule="atLeast"/>
          <w:jc w:val="center"/>
        </w:trPr>
        <w:tc>
          <w:tcPr>
            <w:tcW w:w="610" w:type="dxa"/>
            <w:shd w:val="clear" w:color="auto" w:fill="auto"/>
            <w:vAlign w:val="center"/>
          </w:tcPr>
          <w:p w14:paraId="70F5BCA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5F27905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固化等措施</w:t>
            </w:r>
          </w:p>
        </w:tc>
        <w:tc>
          <w:tcPr>
            <w:tcW w:w="2789" w:type="dxa"/>
            <w:gridSpan w:val="2"/>
            <w:shd w:val="clear" w:color="auto" w:fill="auto"/>
            <w:vAlign w:val="center"/>
          </w:tcPr>
          <w:p w14:paraId="6F1538F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14:paraId="0243843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4BD58146">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03804E38">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08851150">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26321A1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10000×（1+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0683142">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14:paraId="20BD3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13" w:hRule="atLeast"/>
          <w:jc w:val="center"/>
        </w:trPr>
        <w:tc>
          <w:tcPr>
            <w:tcW w:w="610" w:type="dxa"/>
            <w:shd w:val="clear" w:color="auto" w:fill="auto"/>
            <w:vAlign w:val="center"/>
          </w:tcPr>
          <w:p w14:paraId="5CFC8E5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6F1A6650">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建设单位</w:t>
            </w:r>
            <w:r>
              <w:rPr>
                <w:rFonts w:hint="eastAsia" w:cs="宋体" w:asciiTheme="minorEastAsia" w:hAnsiTheme="minorEastAsia" w:eastAsiaTheme="minorEastAsia"/>
                <w:color w:val="auto"/>
                <w:kern w:val="0"/>
                <w:sz w:val="15"/>
                <w:szCs w:val="15"/>
                <w:highlight w:val="none"/>
              </w:rPr>
              <w:t>未对暂时不开发的空地进行绿化</w:t>
            </w:r>
          </w:p>
        </w:tc>
        <w:tc>
          <w:tcPr>
            <w:tcW w:w="2789" w:type="dxa"/>
            <w:gridSpan w:val="2"/>
            <w:shd w:val="clear" w:color="auto" w:fill="auto"/>
            <w:vAlign w:val="center"/>
          </w:tcPr>
          <w:p w14:paraId="0D01886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14:paraId="6E34F34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323E7EFB">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330FD6E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37266783">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w:t>
            </w:r>
            <w:r>
              <w:rPr>
                <w:rFonts w:hint="eastAsia" w:cs="仿宋_GB2312"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2000</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2500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30</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3000</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35</w:t>
            </w:r>
            <w:r>
              <w:rPr>
                <w:rFonts w:hint="eastAsia"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仿宋_GB2312"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w:t>
            </w:r>
            <w:r>
              <w:rPr>
                <w:rFonts w:hint="eastAsia" w:asciiTheme="minorEastAsia" w:hAnsiTheme="minorEastAsia" w:eastAsiaTheme="minorEastAsia"/>
                <w:strike w:val="0"/>
                <w:color w:val="auto"/>
                <w:sz w:val="15"/>
                <w:szCs w:val="15"/>
                <w:highlight w:val="none"/>
                <w:lang w:val="en-US" w:eastAsia="zh-CN"/>
              </w:rPr>
              <w:t>5-6</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038A0F7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10C4600C">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14:paraId="03D3A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4" w:hRule="atLeast"/>
          <w:jc w:val="center"/>
        </w:trPr>
        <w:tc>
          <w:tcPr>
            <w:tcW w:w="610" w:type="dxa"/>
            <w:shd w:val="clear" w:color="auto" w:fill="auto"/>
            <w:vAlign w:val="center"/>
          </w:tcPr>
          <w:p w14:paraId="1BDCA72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auto"/>
            <w:vAlign w:val="center"/>
          </w:tcPr>
          <w:p w14:paraId="5E469744">
            <w:pPr>
              <w:spacing w:line="232" w:lineRule="exact"/>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施工现场未采取洒水措施防止扬尘</w:t>
            </w:r>
          </w:p>
        </w:tc>
        <w:tc>
          <w:tcPr>
            <w:tcW w:w="2789" w:type="dxa"/>
            <w:gridSpan w:val="2"/>
            <w:shd w:val="clear" w:color="auto" w:fill="auto"/>
            <w:vAlign w:val="center"/>
          </w:tcPr>
          <w:p w14:paraId="6A2B912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14:paraId="2F32B8A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50E574BE">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15DAE79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0F9D19FD">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4C7A99E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17CD8B91">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14:paraId="69184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25" w:hRule="atLeast"/>
          <w:jc w:val="center"/>
        </w:trPr>
        <w:tc>
          <w:tcPr>
            <w:tcW w:w="610" w:type="dxa"/>
            <w:shd w:val="clear" w:color="auto" w:fill="auto"/>
            <w:vAlign w:val="center"/>
          </w:tcPr>
          <w:p w14:paraId="4F2DAFE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14:paraId="18EF67A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拆除作业时未采取洒水措施防止扬尘</w:t>
            </w:r>
          </w:p>
        </w:tc>
        <w:tc>
          <w:tcPr>
            <w:tcW w:w="2789" w:type="dxa"/>
            <w:gridSpan w:val="2"/>
            <w:shd w:val="clear" w:color="auto" w:fill="auto"/>
            <w:vAlign w:val="center"/>
          </w:tcPr>
          <w:p w14:paraId="2453008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14:paraId="6AB46E4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7701F2EC">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7AD107E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4B4D0C03">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3EEF725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490F7003">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14:paraId="35400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49" w:hRule="atLeast"/>
          <w:jc w:val="center"/>
        </w:trPr>
        <w:tc>
          <w:tcPr>
            <w:tcW w:w="610" w:type="dxa"/>
            <w:shd w:val="clear" w:color="auto" w:fill="auto"/>
            <w:vAlign w:val="center"/>
          </w:tcPr>
          <w:p w14:paraId="4C54C52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14:paraId="7671BA0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可能产生扬尘污染的建筑材料未在库房存放或者未严密遮盖</w:t>
            </w:r>
          </w:p>
        </w:tc>
        <w:tc>
          <w:tcPr>
            <w:tcW w:w="2789" w:type="dxa"/>
            <w:gridSpan w:val="2"/>
            <w:shd w:val="clear" w:color="auto" w:fill="auto"/>
            <w:vAlign w:val="center"/>
          </w:tcPr>
          <w:p w14:paraId="6588D8C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14:paraId="5610F71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11BA1352">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0606940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6C3AC18D">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4C0DC6D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204185BD">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适用于施工现场相关违法行为的查处。</w:t>
            </w:r>
          </w:p>
          <w:p w14:paraId="79B19A4F">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14:paraId="1D713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53" w:hRule="atLeast"/>
          <w:jc w:val="center"/>
        </w:trPr>
        <w:tc>
          <w:tcPr>
            <w:tcW w:w="610" w:type="dxa"/>
            <w:shd w:val="clear" w:color="auto" w:fill="auto"/>
            <w:vAlign w:val="center"/>
          </w:tcPr>
          <w:p w14:paraId="5FB7966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14:paraId="15960E33">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施工现场存放油料未采取防止泄漏和污染措施</w:t>
            </w:r>
          </w:p>
        </w:tc>
        <w:tc>
          <w:tcPr>
            <w:tcW w:w="2789" w:type="dxa"/>
            <w:gridSpan w:val="2"/>
            <w:shd w:val="clear" w:color="auto" w:fill="auto"/>
            <w:vAlign w:val="center"/>
          </w:tcPr>
          <w:p w14:paraId="36EFDA3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14:paraId="51B7146A">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14:paraId="5DF631BB">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14:paraId="58D69D3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14:paraId="12FFB190">
            <w:pPr>
              <w:spacing w:line="232" w:lineRule="exact"/>
              <w:jc w:val="center"/>
              <w:rPr>
                <w:rFonts w:asciiTheme="minorEastAsia" w:hAnsiTheme="minorEastAsia" w:eastAsiaTheme="minorEastAsia"/>
                <w:color w:val="auto"/>
                <w:sz w:val="15"/>
                <w:szCs w:val="15"/>
                <w:highlight w:val="none"/>
              </w:rPr>
            </w:pPr>
          </w:p>
        </w:tc>
        <w:tc>
          <w:tcPr>
            <w:tcW w:w="3426" w:type="dxa"/>
            <w:shd w:val="clear" w:color="auto" w:fill="auto"/>
            <w:vAlign w:val="center"/>
          </w:tcPr>
          <w:p w14:paraId="205D6E7A">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的，</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w:t>
            </w:r>
            <w:r>
              <w:rPr>
                <w:rFonts w:hint="eastAsia" w:ascii="宋体" w:hAnsi="宋体" w:eastAsia="宋体"/>
                <w:color w:val="auto"/>
                <w:sz w:val="15"/>
                <w:szCs w:val="15"/>
                <w:highlight w:val="none"/>
                <w:lang w:val="en-US" w:eastAsia="zh-CN"/>
              </w:rPr>
              <w:t>41-55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3</w:t>
            </w:r>
            <w:r>
              <w:rPr>
                <w:rFonts w:hint="eastAsia" w:ascii="宋体" w:hAnsi="宋体" w:eastAsia="宋体" w:cs="Batang"/>
                <w:color w:val="auto"/>
                <w:sz w:val="15"/>
                <w:szCs w:val="15"/>
                <w:highlight w:val="none"/>
                <w:lang w:eastAsia="zh-CN"/>
              </w:rPr>
              <w:t>；</w:t>
            </w:r>
            <w:r>
              <w:rPr>
                <w:rFonts w:hint="eastAsia" w:ascii="宋体" w:hAnsi="宋体" w:eastAsia="宋体" w:cs="Batang"/>
                <w:color w:val="auto"/>
                <w:sz w:val="15"/>
                <w:szCs w:val="15"/>
                <w:highlight w:val="none"/>
                <w:lang w:val="en-US" w:eastAsia="zh-CN"/>
              </w:rPr>
              <w:t>56-70</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4；71-85</w:t>
            </w:r>
            <w:r>
              <w:rPr>
                <w:rFonts w:hint="eastAsia" w:ascii="宋体" w:hAnsi="宋体" w:eastAsia="宋体" w:cs="Batang"/>
                <w:color w:val="auto"/>
                <w:sz w:val="15"/>
                <w:szCs w:val="15"/>
                <w:highlight w:val="none"/>
              </w:rPr>
              <w:t>㎡</w:t>
            </w:r>
            <w:r>
              <w:rPr>
                <w:rFonts w:hint="eastAsia" w:ascii="宋体" w:hAnsi="宋体" w:eastAsia="宋体"/>
                <w:color w:val="auto"/>
                <w:sz w:val="15"/>
                <w:szCs w:val="15"/>
                <w:highlight w:val="none"/>
              </w:rPr>
              <w:t>的，系数</w:t>
            </w:r>
            <w:r>
              <w:rPr>
                <w:rFonts w:hint="eastAsia" w:ascii="宋体" w:hAnsi="宋体" w:eastAsia="宋体"/>
                <w:color w:val="auto"/>
                <w:sz w:val="15"/>
                <w:szCs w:val="15"/>
                <w:highlight w:val="none"/>
                <w:lang w:val="en-US" w:eastAsia="zh-CN"/>
              </w:rPr>
              <w:t>5；</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strike w:val="0"/>
                <w:color w:val="auto"/>
                <w:sz w:val="15"/>
                <w:szCs w:val="15"/>
                <w:highlight w:val="none"/>
                <w:lang w:val="en-US" w:eastAsia="zh-CN"/>
              </w:rPr>
              <w:t>5-6</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7709BE0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2AA6A4D5">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14:paraId="2B47C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68" w:hRule="atLeast"/>
          <w:jc w:val="center"/>
        </w:trPr>
        <w:tc>
          <w:tcPr>
            <w:tcW w:w="610" w:type="dxa"/>
            <w:shd w:val="clear" w:color="auto" w:fill="auto"/>
            <w:vAlign w:val="center"/>
          </w:tcPr>
          <w:p w14:paraId="696F0EA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14:paraId="00F5EEBF">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gridSpan w:val="2"/>
            <w:shd w:val="clear" w:color="auto" w:fill="auto"/>
            <w:vAlign w:val="center"/>
          </w:tcPr>
          <w:p w14:paraId="7583F28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w:t>
            </w:r>
          </w:p>
          <w:p w14:paraId="4014EC9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w:t>
            </w:r>
            <w:r>
              <w:rPr>
                <w:rFonts w:asciiTheme="minorEastAsia" w:hAnsiTheme="minorEastAsia" w:eastAsiaTheme="minorEastAsia"/>
                <w:color w:val="auto"/>
                <w:sz w:val="15"/>
                <w:szCs w:val="15"/>
                <w:highlight w:val="none"/>
              </w:rPr>
              <w:t>三十七条，</w:t>
            </w:r>
            <w:r>
              <w:rPr>
                <w:rFonts w:hint="eastAsia" w:asciiTheme="minorEastAsia" w:hAnsiTheme="minorEastAsia" w:eastAsiaTheme="minorEastAsia"/>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shd w:val="clear" w:color="auto" w:fill="auto"/>
            <w:vAlign w:val="center"/>
          </w:tcPr>
          <w:p w14:paraId="4D93E230">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14:paraId="56FC574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3973D141">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001C65A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1AFFA5BD">
            <w:pPr>
              <w:spacing w:line="232" w:lineRule="exact"/>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r>
      <w:tr w14:paraId="14D84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58" w:hRule="atLeast"/>
          <w:jc w:val="center"/>
        </w:trPr>
        <w:tc>
          <w:tcPr>
            <w:tcW w:w="610" w:type="dxa"/>
            <w:shd w:val="clear" w:color="auto" w:fill="auto"/>
            <w:vAlign w:val="center"/>
          </w:tcPr>
          <w:p w14:paraId="52E8BD4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14:paraId="1171DFC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未设密闭式垃圾站</w:t>
            </w:r>
          </w:p>
        </w:tc>
        <w:tc>
          <w:tcPr>
            <w:tcW w:w="2789" w:type="dxa"/>
            <w:gridSpan w:val="2"/>
            <w:shd w:val="clear" w:color="auto" w:fill="auto"/>
            <w:vAlign w:val="center"/>
          </w:tcPr>
          <w:p w14:paraId="47373E6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14:paraId="034ED9B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14:paraId="0A870926">
            <w:pPr>
              <w:spacing w:line="232" w:lineRule="exact"/>
              <w:jc w:val="center"/>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14:paraId="5FE3E943">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51C8DC02">
            <w:pPr>
              <w:spacing w:line="232" w:lineRule="exact"/>
              <w:rPr>
                <w:rFonts w:hint="eastAsia" w:cs="宋体" w:asciiTheme="minorEastAsia" w:hAnsiTheme="minorEastAsia" w:eastAsiaTheme="minorEastAsia"/>
                <w:dstrike/>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未设置时间持续较长、垃圾堆放量较大，垃圾飘洒、恶臭等环境脏乱严重等情形，</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60651857">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5F95E8FB">
            <w:pPr>
              <w:spacing w:line="232" w:lineRule="exact"/>
              <w:rPr>
                <w:rFonts w:cs="宋体" w:asciiTheme="minorEastAsia" w:hAnsiTheme="minorEastAsia" w:eastAsiaTheme="minorEastAsia"/>
                <w:color w:val="auto"/>
                <w:kern w:val="0"/>
                <w:sz w:val="15"/>
                <w:szCs w:val="15"/>
                <w:highlight w:val="none"/>
              </w:rPr>
            </w:pPr>
          </w:p>
        </w:tc>
      </w:tr>
      <w:tr w14:paraId="311CD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02" w:hRule="atLeast"/>
          <w:jc w:val="center"/>
        </w:trPr>
        <w:tc>
          <w:tcPr>
            <w:tcW w:w="610" w:type="dxa"/>
            <w:shd w:val="clear" w:color="auto" w:fill="auto"/>
            <w:vAlign w:val="center"/>
          </w:tcPr>
          <w:p w14:paraId="1BC9E6A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14:paraId="24DE536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未搭设密闭式专用垃圾通道或者未采用容器吊运的</w:t>
            </w:r>
          </w:p>
        </w:tc>
        <w:tc>
          <w:tcPr>
            <w:tcW w:w="2789" w:type="dxa"/>
            <w:gridSpan w:val="2"/>
            <w:shd w:val="clear" w:color="auto" w:fill="auto"/>
            <w:vAlign w:val="center"/>
          </w:tcPr>
          <w:p w14:paraId="625A6B3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14:paraId="589AC6A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14:paraId="3FC327E9">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14:paraId="45CEC5FF">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6D599D63">
            <w:pPr>
              <w:spacing w:line="232" w:lineRule="exact"/>
              <w:rPr>
                <w:rFonts w:hint="eastAsia" w:cs="宋体" w:asciiTheme="minorEastAsia" w:hAnsiTheme="minorEastAsia" w:eastAsiaTheme="minorEastAsia"/>
                <w:dstrike/>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未搭设密闭式专用垃圾通道时间持续较长或不采用容器吊运时间较长的，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1FB445E9">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20896B49">
            <w:pPr>
              <w:spacing w:line="232" w:lineRule="exact"/>
              <w:rPr>
                <w:rFonts w:cs="宋体" w:asciiTheme="minorEastAsia" w:hAnsiTheme="minorEastAsia" w:eastAsiaTheme="minorEastAsia"/>
                <w:color w:val="auto"/>
                <w:kern w:val="0"/>
                <w:sz w:val="15"/>
                <w:szCs w:val="15"/>
                <w:highlight w:val="none"/>
              </w:rPr>
            </w:pPr>
          </w:p>
        </w:tc>
      </w:tr>
      <w:tr w14:paraId="2F77F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96" w:hRule="atLeast"/>
          <w:jc w:val="center"/>
        </w:trPr>
        <w:tc>
          <w:tcPr>
            <w:tcW w:w="14203" w:type="dxa"/>
            <w:gridSpan w:val="13"/>
            <w:shd w:val="clear" w:color="auto" w:fill="auto"/>
            <w:vAlign w:val="center"/>
          </w:tcPr>
          <w:p w14:paraId="0CBCF46E">
            <w:pPr>
              <w:pStyle w:val="2"/>
              <w:keepNext w:val="0"/>
              <w:keepLines w:val="0"/>
              <w:rPr>
                <w:rFonts w:ascii="黑体" w:hAnsi="黑体" w:eastAsia="黑体"/>
                <w:b w:val="0"/>
                <w:color w:val="auto"/>
                <w:sz w:val="24"/>
                <w:szCs w:val="24"/>
                <w:highlight w:val="none"/>
              </w:rPr>
            </w:pPr>
            <w:bookmarkStart w:id="125" w:name="_Toc110851476"/>
            <w:bookmarkStart w:id="126" w:name="_Toc681783114"/>
            <w:bookmarkStart w:id="127" w:name="_Toc1256403622"/>
            <w:r>
              <w:rPr>
                <w:rFonts w:hint="eastAsia" w:ascii="黑体" w:hAnsi="黑体" w:eastAsia="黑体"/>
                <w:b w:val="0"/>
                <w:color w:val="auto"/>
                <w:sz w:val="28"/>
                <w:szCs w:val="28"/>
                <w:highlight w:val="none"/>
              </w:rPr>
              <w:t>停车场管理方面</w:t>
            </w:r>
            <w:bookmarkEnd w:id="125"/>
            <w:bookmarkEnd w:id="126"/>
            <w:bookmarkEnd w:id="127"/>
          </w:p>
        </w:tc>
      </w:tr>
      <w:tr w14:paraId="4DAE9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12" w:hRule="atLeast"/>
          <w:jc w:val="center"/>
        </w:trPr>
        <w:tc>
          <w:tcPr>
            <w:tcW w:w="14203" w:type="dxa"/>
            <w:gridSpan w:val="13"/>
            <w:shd w:val="clear" w:color="auto" w:fill="auto"/>
            <w:vAlign w:val="center"/>
          </w:tcPr>
          <w:p w14:paraId="0736EE79">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8" w:name="_Toc509001082"/>
            <w:bookmarkStart w:id="129" w:name="_Toc1711555879"/>
            <w:bookmarkStart w:id="130" w:name="_Toc110851477"/>
            <w:r>
              <w:rPr>
                <w:rFonts w:hint="eastAsia" w:asciiTheme="minorEastAsia" w:hAnsiTheme="minorEastAsia" w:eastAsiaTheme="minorEastAsia"/>
                <w:color w:val="auto"/>
                <w:sz w:val="21"/>
                <w:szCs w:val="21"/>
                <w:highlight w:val="none"/>
              </w:rPr>
              <w:t>《北京市机动车停车管理办法》案由13项</w:t>
            </w:r>
            <w:bookmarkEnd w:id="128"/>
            <w:bookmarkEnd w:id="129"/>
            <w:bookmarkEnd w:id="130"/>
          </w:p>
        </w:tc>
      </w:tr>
      <w:tr w14:paraId="35A1C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77" w:hRule="atLeast"/>
          <w:jc w:val="center"/>
        </w:trPr>
        <w:tc>
          <w:tcPr>
            <w:tcW w:w="610" w:type="dxa"/>
            <w:shd w:val="clear" w:color="auto" w:fill="auto"/>
            <w:vAlign w:val="center"/>
          </w:tcPr>
          <w:p w14:paraId="451C4A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41BE2AA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擅自停止使用机动车停车场</w:t>
            </w:r>
          </w:p>
        </w:tc>
        <w:tc>
          <w:tcPr>
            <w:tcW w:w="2789" w:type="dxa"/>
            <w:gridSpan w:val="2"/>
            <w:shd w:val="clear" w:color="auto" w:fill="auto"/>
            <w:vAlign w:val="center"/>
          </w:tcPr>
          <w:p w14:paraId="491EA894">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14:paraId="62218A53">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63D12AC0">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58EECE4B">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3D9BCC88">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68F85F76">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r>
      <w:tr w14:paraId="7767D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55" w:hRule="atLeast"/>
          <w:jc w:val="center"/>
        </w:trPr>
        <w:tc>
          <w:tcPr>
            <w:tcW w:w="610" w:type="dxa"/>
            <w:shd w:val="clear" w:color="auto" w:fill="auto"/>
            <w:vAlign w:val="center"/>
          </w:tcPr>
          <w:p w14:paraId="5443395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3302BA4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擅自将机动车停车场改作他用</w:t>
            </w:r>
          </w:p>
        </w:tc>
        <w:tc>
          <w:tcPr>
            <w:tcW w:w="2789" w:type="dxa"/>
            <w:gridSpan w:val="2"/>
            <w:shd w:val="clear" w:color="auto" w:fill="auto"/>
            <w:vAlign w:val="center"/>
          </w:tcPr>
          <w:p w14:paraId="7D01D39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第三十一条</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责令限期改正，恢复原状。</w:t>
            </w:r>
          </w:p>
        </w:tc>
        <w:tc>
          <w:tcPr>
            <w:tcW w:w="851" w:type="dxa"/>
            <w:shd w:val="clear" w:color="auto" w:fill="auto"/>
            <w:vAlign w:val="center"/>
          </w:tcPr>
          <w:p w14:paraId="304C99B6">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3FDA0EAA">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3472999">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14401F90">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651FBE40">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r>
      <w:tr w14:paraId="00D1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01" w:hRule="atLeast"/>
          <w:jc w:val="center"/>
        </w:trPr>
        <w:tc>
          <w:tcPr>
            <w:tcW w:w="610" w:type="dxa"/>
            <w:shd w:val="clear" w:color="auto" w:fill="auto"/>
            <w:vAlign w:val="center"/>
          </w:tcPr>
          <w:p w14:paraId="2B1D1DD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2552843B">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擅自将机动车临时停车场停止使用</w:t>
            </w:r>
          </w:p>
        </w:tc>
        <w:tc>
          <w:tcPr>
            <w:tcW w:w="2789" w:type="dxa"/>
            <w:gridSpan w:val="2"/>
            <w:shd w:val="clear" w:color="auto" w:fill="auto"/>
            <w:vAlign w:val="center"/>
          </w:tcPr>
          <w:p w14:paraId="6558EE2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违反条款第十四条第二款；处罚条款；第三十一条：责令限期改正，恢复原状。</w:t>
            </w:r>
          </w:p>
        </w:tc>
        <w:tc>
          <w:tcPr>
            <w:tcW w:w="851" w:type="dxa"/>
            <w:shd w:val="clear" w:color="auto" w:fill="auto"/>
            <w:vAlign w:val="center"/>
          </w:tcPr>
          <w:p w14:paraId="58B4BB32">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0969AD2">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25BBFE73">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4495E3A5">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4153C33A">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r>
      <w:tr w14:paraId="793BB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64" w:hRule="atLeast"/>
          <w:jc w:val="center"/>
        </w:trPr>
        <w:tc>
          <w:tcPr>
            <w:tcW w:w="610" w:type="dxa"/>
            <w:shd w:val="clear" w:color="auto" w:fill="auto"/>
            <w:vAlign w:val="center"/>
          </w:tcPr>
          <w:p w14:paraId="3A446A9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03173FA6">
            <w:pPr>
              <w:spacing w:line="190" w:lineRule="exact"/>
              <w:contextualSpacing/>
              <w:jc w:val="left"/>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无照经营（机动车停车场）</w:t>
            </w:r>
          </w:p>
        </w:tc>
        <w:tc>
          <w:tcPr>
            <w:tcW w:w="2789" w:type="dxa"/>
            <w:gridSpan w:val="2"/>
            <w:shd w:val="clear" w:color="auto" w:fill="auto"/>
            <w:vAlign w:val="center"/>
          </w:tcPr>
          <w:p w14:paraId="3741AD26">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违反条款：《北京市机动车停车管理办法》第二十条第一款、《无证无照经营查处办法》第二条；</w:t>
            </w:r>
          </w:p>
          <w:p w14:paraId="4AECEB42">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shd w:val="clear" w:color="auto" w:fill="auto"/>
            <w:vAlign w:val="center"/>
          </w:tcPr>
          <w:p w14:paraId="4FC7F1BA">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3000</w:t>
            </w:r>
          </w:p>
        </w:tc>
        <w:tc>
          <w:tcPr>
            <w:tcW w:w="840" w:type="dxa"/>
            <w:shd w:val="clear" w:color="auto" w:fill="auto"/>
            <w:vAlign w:val="center"/>
          </w:tcPr>
          <w:p w14:paraId="2F4B7D0A">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3426" w:type="dxa"/>
            <w:shd w:val="clear" w:color="auto" w:fill="auto"/>
            <w:vAlign w:val="center"/>
          </w:tcPr>
          <w:p w14:paraId="79B9B176">
            <w:pPr>
              <w:spacing w:line="190" w:lineRule="exact"/>
              <w:contextualSpacing/>
              <w:jc w:val="left"/>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存在基准2.1.3规定情形的，系数按照相关规定确定。</w:t>
            </w:r>
          </w:p>
        </w:tc>
        <w:tc>
          <w:tcPr>
            <w:tcW w:w="1875" w:type="dxa"/>
            <w:gridSpan w:val="2"/>
            <w:shd w:val="clear" w:color="auto" w:fill="auto"/>
            <w:vAlign w:val="center"/>
          </w:tcPr>
          <w:p w14:paraId="246AF0C1">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罚款数额＝3000×（1＋</w:t>
            </w:r>
            <w:r>
              <w:rPr>
                <w:rFonts w:hint="eastAsia" w:cs="宋体" w:asciiTheme="minorEastAsia" w:hAnsiTheme="minorEastAsia" w:eastAsiaTheme="minorEastAsia"/>
                <w:bCs/>
                <w:color w:val="auto"/>
                <w:kern w:val="0"/>
                <w:sz w:val="15"/>
                <w:szCs w:val="15"/>
                <w:highlight w:val="none"/>
                <w:lang w:eastAsia="zh-CN"/>
              </w:rPr>
              <w:t>情节系数</w:t>
            </w:r>
            <w:r>
              <w:rPr>
                <w:rFonts w:hint="eastAsia" w:cs="宋体" w:asciiTheme="minorEastAsia" w:hAnsiTheme="minorEastAsia" w:eastAsiaTheme="minorEastAsia"/>
                <w:bCs/>
                <w:color w:val="auto"/>
                <w:kern w:val="0"/>
                <w:sz w:val="15"/>
                <w:szCs w:val="15"/>
                <w:highlight w:val="none"/>
              </w:rPr>
              <w:t>）</w:t>
            </w:r>
          </w:p>
        </w:tc>
        <w:tc>
          <w:tcPr>
            <w:tcW w:w="1982" w:type="dxa"/>
            <w:gridSpan w:val="2"/>
            <w:shd w:val="clear" w:color="auto" w:fill="auto"/>
            <w:vAlign w:val="center"/>
          </w:tcPr>
          <w:p w14:paraId="033C12A8">
            <w:pPr>
              <w:spacing w:line="190" w:lineRule="exact"/>
              <w:contextualSpacing/>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lang w:eastAsia="zh-CN"/>
              </w:rPr>
              <w:t>需要</w:t>
            </w:r>
            <w:r>
              <w:rPr>
                <w:rFonts w:hint="eastAsia" w:cs="宋体" w:asciiTheme="minorEastAsia" w:hAnsiTheme="minorEastAsia" w:eastAsiaTheme="minorEastAsia"/>
                <w:bCs/>
                <w:color w:val="auto"/>
                <w:kern w:val="0"/>
                <w:sz w:val="15"/>
                <w:szCs w:val="15"/>
                <w:highlight w:val="none"/>
              </w:rPr>
              <w:t>在3000元以下进行处罚</w:t>
            </w:r>
            <w:r>
              <w:rPr>
                <w:rFonts w:hint="eastAsia" w:cs="宋体" w:asciiTheme="minorEastAsia" w:hAnsiTheme="minorEastAsia" w:eastAsiaTheme="minorEastAsia"/>
                <w:bCs/>
                <w:color w:val="auto"/>
                <w:kern w:val="0"/>
                <w:sz w:val="15"/>
                <w:szCs w:val="15"/>
                <w:highlight w:val="none"/>
                <w:lang w:eastAsia="zh-CN"/>
              </w:rPr>
              <w:t>，</w:t>
            </w:r>
            <w:r>
              <w:rPr>
                <w:rFonts w:hint="eastAsia" w:cs="宋体" w:asciiTheme="minorEastAsia" w:hAnsiTheme="minorEastAsia" w:eastAsiaTheme="minorEastAsia"/>
                <w:bCs/>
                <w:color w:val="auto"/>
                <w:kern w:val="0"/>
                <w:sz w:val="15"/>
                <w:szCs w:val="15"/>
                <w:highlight w:val="none"/>
              </w:rPr>
              <w:t>报案审会审议</w:t>
            </w:r>
            <w:r>
              <w:rPr>
                <w:rFonts w:hint="eastAsia" w:cs="宋体" w:asciiTheme="minorEastAsia" w:hAnsiTheme="minorEastAsia" w:eastAsiaTheme="minorEastAsia"/>
                <w:bCs/>
                <w:color w:val="auto"/>
                <w:kern w:val="0"/>
                <w:sz w:val="15"/>
                <w:szCs w:val="15"/>
                <w:highlight w:val="none"/>
                <w:lang w:eastAsia="zh-CN"/>
              </w:rPr>
              <w:t>决定。</w:t>
            </w:r>
          </w:p>
        </w:tc>
      </w:tr>
      <w:tr w14:paraId="0A38D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62" w:hRule="atLeast"/>
          <w:jc w:val="center"/>
        </w:trPr>
        <w:tc>
          <w:tcPr>
            <w:tcW w:w="610" w:type="dxa"/>
            <w:shd w:val="clear" w:color="auto" w:fill="auto"/>
            <w:vAlign w:val="center"/>
          </w:tcPr>
          <w:p w14:paraId="26E8F75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12DE9E3E">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未按规定对停车泊位备案</w:t>
            </w:r>
          </w:p>
        </w:tc>
        <w:tc>
          <w:tcPr>
            <w:tcW w:w="2789" w:type="dxa"/>
            <w:gridSpan w:val="2"/>
            <w:shd w:val="clear" w:color="auto" w:fill="auto"/>
            <w:vAlign w:val="center"/>
          </w:tcPr>
          <w:p w14:paraId="5F9FC3F2">
            <w:pPr>
              <w:spacing w:line="19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违反条款：第二十条第一款；处罚条款：第三十二条第二款</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处1万元罚款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14:paraId="5584AE7F">
            <w:pPr>
              <w:spacing w:line="190"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671F2609">
            <w:pPr>
              <w:spacing w:line="19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1562B0F5">
            <w:pPr>
              <w:spacing w:line="19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2D48BBD3">
            <w:pPr>
              <w:spacing w:line="19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38B1AF52">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14:paraId="093EF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00" w:hRule="atLeast"/>
          <w:jc w:val="center"/>
        </w:trPr>
        <w:tc>
          <w:tcPr>
            <w:tcW w:w="610" w:type="dxa"/>
            <w:vMerge w:val="restart"/>
            <w:shd w:val="clear" w:color="auto" w:fill="auto"/>
            <w:vAlign w:val="center"/>
          </w:tcPr>
          <w:p w14:paraId="70F1CBC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vMerge w:val="restart"/>
            <w:shd w:val="clear" w:color="auto" w:fill="auto"/>
            <w:vAlign w:val="center"/>
          </w:tcPr>
          <w:p w14:paraId="4FE03DF6">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停车场管理单位未配置完备的停车设施标志标识（或未为停车人进出提供明确的引导或未为残疾人提供必要服务）</w:t>
            </w:r>
          </w:p>
        </w:tc>
        <w:tc>
          <w:tcPr>
            <w:tcW w:w="2789" w:type="dxa"/>
            <w:gridSpan w:val="2"/>
            <w:vMerge w:val="restart"/>
            <w:shd w:val="clear" w:color="auto" w:fill="auto"/>
            <w:vAlign w:val="center"/>
          </w:tcPr>
          <w:p w14:paraId="62BB4CD1">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shd w:val="clear" w:color="auto" w:fill="auto"/>
            <w:vAlign w:val="center"/>
          </w:tcPr>
          <w:p w14:paraId="7CEA6125">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4EFA9031">
            <w:pPr>
              <w:spacing w:line="190"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0FF59336">
            <w:pPr>
              <w:spacing w:line="190"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69B810D2">
            <w:pPr>
              <w:spacing w:line="190"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58B548D7">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14:paraId="6ED65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09" w:hRule="atLeast"/>
          <w:jc w:val="center"/>
        </w:trPr>
        <w:tc>
          <w:tcPr>
            <w:tcW w:w="610" w:type="dxa"/>
            <w:vMerge w:val="continue"/>
            <w:shd w:val="clear" w:color="auto" w:fill="auto"/>
            <w:vAlign w:val="center"/>
          </w:tcPr>
          <w:p w14:paraId="08A2970A">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178283E7">
            <w:pPr>
              <w:spacing w:line="190"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5DCFD62E">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26A4ECE6">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A445FA7">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746457B">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同时存在设施标志标识不“完备”“未提供明确引导”“未为残疾人提供必要服务”等2个以上（含2个）违法行为的，系数0.5；同时存在本款2个以上（含2个）违法形态的，系数1。</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4C4004BE">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F7CA36D">
            <w:pPr>
              <w:spacing w:line="190" w:lineRule="exact"/>
              <w:rPr>
                <w:rFonts w:cs="宋体" w:asciiTheme="minorEastAsia" w:hAnsiTheme="minorEastAsia" w:eastAsiaTheme="minorEastAsia"/>
                <w:strike/>
                <w:dstrike w:val="0"/>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w:t>
            </w:r>
            <w:r>
              <w:rPr>
                <w:rFonts w:hint="eastAsia" w:cs="宋体" w:asciiTheme="minorEastAsia" w:hAnsiTheme="minorEastAsia" w:eastAsiaTheme="minorEastAsia"/>
                <w:color w:val="auto"/>
                <w:kern w:val="0"/>
                <w:sz w:val="15"/>
                <w:szCs w:val="15"/>
                <w:highlight w:val="none"/>
                <w:lang w:eastAsia="zh-CN"/>
              </w:rPr>
              <w:t>《基准表》中情节</w:t>
            </w:r>
            <w:r>
              <w:rPr>
                <w:rFonts w:hint="eastAsia" w:cs="宋体" w:asciiTheme="minorEastAsia" w:hAnsiTheme="minorEastAsia" w:eastAsiaTheme="minorEastAsia"/>
                <w:color w:val="auto"/>
                <w:kern w:val="0"/>
                <w:sz w:val="15"/>
                <w:szCs w:val="15"/>
                <w:highlight w:val="none"/>
              </w:rPr>
              <w:t>系数规定的情形之一，或者一年内2次以上同类违法行为受到告诫或处罚的，视为情节严重。</w:t>
            </w:r>
          </w:p>
          <w:p w14:paraId="22976AC2">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14:paraId="170EC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43" w:hRule="atLeast"/>
          <w:jc w:val="center"/>
        </w:trPr>
        <w:tc>
          <w:tcPr>
            <w:tcW w:w="610" w:type="dxa"/>
            <w:vMerge w:val="restart"/>
            <w:shd w:val="clear" w:color="auto" w:fill="auto"/>
            <w:vAlign w:val="center"/>
          </w:tcPr>
          <w:p w14:paraId="5ADD8A8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vMerge w:val="restart"/>
            <w:shd w:val="clear" w:color="auto" w:fill="auto"/>
            <w:vAlign w:val="center"/>
          </w:tcPr>
          <w:p w14:paraId="5F3E74D5">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停车场管理单位未指挥车辆按序进出和停放，维护停车秩序</w:t>
            </w:r>
          </w:p>
        </w:tc>
        <w:tc>
          <w:tcPr>
            <w:tcW w:w="2789" w:type="dxa"/>
            <w:gridSpan w:val="2"/>
            <w:vMerge w:val="restart"/>
            <w:shd w:val="clear" w:color="auto" w:fill="auto"/>
            <w:vAlign w:val="center"/>
          </w:tcPr>
          <w:p w14:paraId="0E021D4F">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shd w:val="clear" w:color="auto" w:fill="auto"/>
            <w:vAlign w:val="center"/>
          </w:tcPr>
          <w:p w14:paraId="1ACD72A1">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715B1A43">
            <w:pPr>
              <w:spacing w:line="21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03CC80C">
            <w:pPr>
              <w:spacing w:line="21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0F9AD5A6">
            <w:pPr>
              <w:spacing w:line="21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313D232F">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14:paraId="15734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9" w:hRule="atLeast"/>
          <w:jc w:val="center"/>
        </w:trPr>
        <w:tc>
          <w:tcPr>
            <w:tcW w:w="610" w:type="dxa"/>
            <w:vMerge w:val="continue"/>
            <w:shd w:val="clear" w:color="auto" w:fill="auto"/>
            <w:vAlign w:val="center"/>
          </w:tcPr>
          <w:p w14:paraId="7F0217CE">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75864857">
            <w:pPr>
              <w:spacing w:line="21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062E4E03">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1884B44E">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58324EB3">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67A2338">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02E2874D">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BE0A3E6">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停车事故、交通事故的，或者一年内2次以上同类违法行为受到告诫或处罚的，视为情节严重。</w:t>
            </w:r>
          </w:p>
          <w:p w14:paraId="097B1C1E">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14:paraId="10077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38" w:hRule="atLeast"/>
          <w:jc w:val="center"/>
        </w:trPr>
        <w:tc>
          <w:tcPr>
            <w:tcW w:w="610" w:type="dxa"/>
            <w:vMerge w:val="restart"/>
            <w:shd w:val="clear" w:color="auto" w:fill="auto"/>
            <w:vAlign w:val="center"/>
          </w:tcPr>
          <w:p w14:paraId="250732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vMerge w:val="restart"/>
            <w:shd w:val="clear" w:color="auto" w:fill="auto"/>
            <w:vAlign w:val="center"/>
          </w:tcPr>
          <w:p w14:paraId="25010F4E">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停车场管理单位未对停车管理员进行专业培训、考核</w:t>
            </w:r>
          </w:p>
        </w:tc>
        <w:tc>
          <w:tcPr>
            <w:tcW w:w="2789" w:type="dxa"/>
            <w:gridSpan w:val="2"/>
            <w:vMerge w:val="restart"/>
            <w:shd w:val="clear" w:color="auto" w:fill="auto"/>
            <w:vAlign w:val="center"/>
          </w:tcPr>
          <w:p w14:paraId="6B7A3A32">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shd w:val="clear" w:color="auto" w:fill="auto"/>
            <w:vAlign w:val="center"/>
          </w:tcPr>
          <w:p w14:paraId="5AFA0CE0">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092AB796">
            <w:pPr>
              <w:spacing w:line="21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06B1FFA9">
            <w:pPr>
              <w:spacing w:line="21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5D387DE0">
            <w:pPr>
              <w:spacing w:line="21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506DEF38">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14:paraId="17EF3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29" w:hRule="atLeast"/>
          <w:jc w:val="center"/>
        </w:trPr>
        <w:tc>
          <w:tcPr>
            <w:tcW w:w="610" w:type="dxa"/>
            <w:vMerge w:val="continue"/>
            <w:shd w:val="clear" w:color="auto" w:fill="auto"/>
            <w:vAlign w:val="center"/>
          </w:tcPr>
          <w:p w14:paraId="7A2BD62F">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64D8BD53">
            <w:pPr>
              <w:spacing w:line="212" w:lineRule="exact"/>
              <w:rPr>
                <w:rFonts w:cs="宋体"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0D83A13C">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14:paraId="20C8440D">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7DD9198">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26C66422">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经核实，管理单位长达半年以上未对管理员进行培训考核，或者存在3名以上管理员同时未参与培训、考核的情形，系数1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5B6641F9">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E6C2617">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w:t>
            </w:r>
            <w:r>
              <w:rPr>
                <w:rFonts w:hint="eastAsia" w:cs="宋体" w:asciiTheme="minorEastAsia" w:hAnsiTheme="minorEastAsia" w:eastAsiaTheme="minorEastAsia"/>
                <w:color w:val="auto"/>
                <w:kern w:val="0"/>
                <w:sz w:val="15"/>
                <w:szCs w:val="15"/>
                <w:highlight w:val="none"/>
                <w:lang w:eastAsia="zh-CN"/>
              </w:rPr>
              <w:t>《基准表》中情节</w:t>
            </w:r>
            <w:r>
              <w:rPr>
                <w:rFonts w:hint="eastAsia" w:cs="宋体" w:asciiTheme="minorEastAsia" w:hAnsiTheme="minorEastAsia" w:eastAsiaTheme="minorEastAsia"/>
                <w:color w:val="auto"/>
                <w:kern w:val="0"/>
                <w:sz w:val="15"/>
                <w:szCs w:val="15"/>
                <w:highlight w:val="none"/>
              </w:rPr>
              <w:t>系数规定的情形之一，或者一年内2次以上同类违法行为受到告诫或处罚的，视为情节严重。</w:t>
            </w:r>
          </w:p>
          <w:p w14:paraId="3111608E">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14:paraId="7EBC2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95" w:hRule="atLeast"/>
          <w:jc w:val="center"/>
        </w:trPr>
        <w:tc>
          <w:tcPr>
            <w:tcW w:w="610" w:type="dxa"/>
            <w:vMerge w:val="restart"/>
            <w:shd w:val="clear" w:color="auto" w:fill="auto"/>
            <w:vAlign w:val="center"/>
          </w:tcPr>
          <w:p w14:paraId="4A021E5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vMerge w:val="restart"/>
            <w:shd w:val="clear" w:color="auto" w:fill="auto"/>
            <w:vAlign w:val="center"/>
          </w:tcPr>
          <w:p w14:paraId="614384CC">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停车场管理单位在停车区域从事影响车辆安全停放的</w:t>
            </w:r>
            <w:r>
              <w:rPr>
                <w:rFonts w:hint="eastAsia" w:asciiTheme="minorEastAsia" w:hAnsiTheme="minorEastAsia" w:eastAsiaTheme="minorEastAsia"/>
                <w:color w:val="auto"/>
                <w:sz w:val="15"/>
                <w:szCs w:val="15"/>
                <w:highlight w:val="none"/>
                <w:shd w:val="clear"/>
              </w:rPr>
              <w:t>其</w:t>
            </w:r>
            <w:r>
              <w:rPr>
                <w:rFonts w:hint="eastAsia" w:asciiTheme="minorEastAsia" w:hAnsiTheme="minorEastAsia" w:eastAsiaTheme="minorEastAsia"/>
                <w:color w:val="auto"/>
                <w:sz w:val="15"/>
                <w:szCs w:val="15"/>
                <w:highlight w:val="none"/>
                <w:shd w:val="clear"/>
                <w:lang w:eastAsia="zh-CN"/>
              </w:rPr>
              <w:t>他</w:t>
            </w:r>
            <w:r>
              <w:rPr>
                <w:rFonts w:hint="eastAsia" w:asciiTheme="minorEastAsia" w:hAnsiTheme="minorEastAsia" w:eastAsiaTheme="minorEastAsia"/>
                <w:color w:val="auto"/>
                <w:sz w:val="15"/>
                <w:szCs w:val="15"/>
                <w:highlight w:val="none"/>
                <w:shd w:val="clear"/>
              </w:rPr>
              <w:t>经</w:t>
            </w:r>
            <w:r>
              <w:rPr>
                <w:rFonts w:hint="eastAsia" w:asciiTheme="minorEastAsia" w:hAnsiTheme="minorEastAsia" w:eastAsiaTheme="minorEastAsia"/>
                <w:color w:val="auto"/>
                <w:sz w:val="15"/>
                <w:szCs w:val="15"/>
                <w:highlight w:val="none"/>
              </w:rPr>
              <w:t>营活动</w:t>
            </w:r>
          </w:p>
        </w:tc>
        <w:tc>
          <w:tcPr>
            <w:tcW w:w="2789" w:type="dxa"/>
            <w:gridSpan w:val="2"/>
            <w:vMerge w:val="restart"/>
            <w:shd w:val="clear" w:color="auto" w:fill="auto"/>
            <w:vAlign w:val="center"/>
          </w:tcPr>
          <w:p w14:paraId="3A602300">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shd w:val="clear" w:color="auto" w:fill="auto"/>
            <w:vAlign w:val="center"/>
          </w:tcPr>
          <w:p w14:paraId="359A88F8">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79EFCD55">
            <w:pPr>
              <w:spacing w:line="21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5B6783F5">
            <w:pPr>
              <w:spacing w:line="21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0AB8C441">
            <w:pPr>
              <w:spacing w:line="21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35FFA88B">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14:paraId="05F0E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42" w:hRule="atLeast"/>
          <w:jc w:val="center"/>
        </w:trPr>
        <w:tc>
          <w:tcPr>
            <w:tcW w:w="610" w:type="dxa"/>
            <w:vMerge w:val="continue"/>
            <w:shd w:val="clear" w:color="auto" w:fill="auto"/>
            <w:vAlign w:val="center"/>
          </w:tcPr>
          <w:p w14:paraId="37D5E14A">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39551539">
            <w:pPr>
              <w:spacing w:line="21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2680A681">
            <w:pPr>
              <w:spacing w:line="21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520F8ED3">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89AA686">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7B16D29">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一年内群众投诉3次以上，或者致使周边交通拥堵的，或者因上述原因诱发停车事故或者交通事故的，系数1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3C501FA0">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6E7A7B8">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致使周边交通拥堵或者诱发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停车事故、交通事故的，或者一年内2次以上同类违法行为受到告诫或处罚的，视为情节严重。</w:t>
            </w:r>
          </w:p>
          <w:p w14:paraId="7DD127B4">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14:paraId="3B3A4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7" w:hRule="atLeast"/>
          <w:jc w:val="center"/>
        </w:trPr>
        <w:tc>
          <w:tcPr>
            <w:tcW w:w="610" w:type="dxa"/>
            <w:vMerge w:val="restart"/>
            <w:shd w:val="clear" w:color="auto" w:fill="auto"/>
            <w:vAlign w:val="center"/>
          </w:tcPr>
          <w:p w14:paraId="624312C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vMerge w:val="restart"/>
            <w:shd w:val="clear" w:color="auto" w:fill="auto"/>
            <w:vAlign w:val="center"/>
          </w:tcPr>
          <w:p w14:paraId="08700256">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停车场管理单位未建立投诉处理制度</w:t>
            </w:r>
          </w:p>
        </w:tc>
        <w:tc>
          <w:tcPr>
            <w:tcW w:w="2789" w:type="dxa"/>
            <w:gridSpan w:val="2"/>
            <w:vMerge w:val="restart"/>
            <w:shd w:val="clear" w:color="auto" w:fill="auto"/>
            <w:vAlign w:val="center"/>
          </w:tcPr>
          <w:p w14:paraId="7373238B">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shd w:val="clear" w:color="auto" w:fill="auto"/>
            <w:vAlign w:val="center"/>
          </w:tcPr>
          <w:p w14:paraId="0BC707D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5E27DCC6">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42B4EAED">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3C5ABA6">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1B6E9436">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14:paraId="50884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32" w:hRule="atLeast"/>
          <w:jc w:val="center"/>
        </w:trPr>
        <w:tc>
          <w:tcPr>
            <w:tcW w:w="610" w:type="dxa"/>
            <w:vMerge w:val="continue"/>
            <w:shd w:val="clear" w:color="auto" w:fill="auto"/>
            <w:vAlign w:val="center"/>
          </w:tcPr>
          <w:p w14:paraId="217DB25D">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734BEC02">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1CCB998E">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026C825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38E177C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3B4CAD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一年内群众投诉3次以上，或者诱发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停车事故、交通事故、治安事件的，系数1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7C09FCB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2935A42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停车事故、交通事故、治安事件的，或者一年内2次以上同类违法行为受到告诫或处罚的，视为情节严重。</w:t>
            </w:r>
          </w:p>
          <w:p w14:paraId="00E1BDA2">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14:paraId="6E41F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1" w:hRule="atLeast"/>
          <w:jc w:val="center"/>
        </w:trPr>
        <w:tc>
          <w:tcPr>
            <w:tcW w:w="610" w:type="dxa"/>
            <w:vMerge w:val="restart"/>
            <w:shd w:val="clear" w:color="auto" w:fill="auto"/>
            <w:vAlign w:val="center"/>
          </w:tcPr>
          <w:p w14:paraId="3FFD869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vMerge w:val="restart"/>
            <w:shd w:val="clear" w:color="auto" w:fill="auto"/>
            <w:vAlign w:val="center"/>
          </w:tcPr>
          <w:p w14:paraId="37AA0850">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停车场管理单位未遵守国家和</w:t>
            </w:r>
            <w:r>
              <w:rPr>
                <w:rFonts w:hint="eastAsia" w:asciiTheme="minorEastAsia" w:hAnsiTheme="minorEastAsia" w:eastAsiaTheme="minorEastAsia"/>
                <w:color w:val="auto"/>
                <w:sz w:val="15"/>
                <w:szCs w:val="15"/>
                <w:highlight w:val="none"/>
                <w:shd w:val="clear"/>
              </w:rPr>
              <w:t>本市其</w:t>
            </w:r>
            <w:r>
              <w:rPr>
                <w:rFonts w:hint="eastAsia" w:asciiTheme="minorEastAsia" w:hAnsiTheme="minorEastAsia" w:eastAsiaTheme="minorEastAsia"/>
                <w:color w:val="auto"/>
                <w:sz w:val="15"/>
                <w:szCs w:val="15"/>
                <w:highlight w:val="none"/>
                <w:shd w:val="clear"/>
                <w:lang w:eastAsia="zh-CN"/>
              </w:rPr>
              <w:t>他</w:t>
            </w:r>
            <w:r>
              <w:rPr>
                <w:rFonts w:hint="eastAsia" w:asciiTheme="minorEastAsia" w:hAnsiTheme="minorEastAsia" w:eastAsiaTheme="minorEastAsia"/>
                <w:color w:val="auto"/>
                <w:sz w:val="15"/>
                <w:szCs w:val="15"/>
                <w:highlight w:val="none"/>
                <w:shd w:val="clear"/>
              </w:rPr>
              <w:t>相关停车管理服务规范和标准</w:t>
            </w:r>
          </w:p>
        </w:tc>
        <w:tc>
          <w:tcPr>
            <w:tcW w:w="2789" w:type="dxa"/>
            <w:gridSpan w:val="2"/>
            <w:vMerge w:val="restart"/>
            <w:shd w:val="clear" w:color="auto" w:fill="auto"/>
            <w:vAlign w:val="center"/>
          </w:tcPr>
          <w:p w14:paraId="4B5F85B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shd w:val="clear" w:color="auto" w:fill="auto"/>
            <w:vAlign w:val="center"/>
          </w:tcPr>
          <w:p w14:paraId="3FBC66F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74D04D31">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5269351E">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3061CDC4">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54095BA1">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r>
      <w:tr w14:paraId="69895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42" w:hRule="atLeast"/>
          <w:jc w:val="center"/>
        </w:trPr>
        <w:tc>
          <w:tcPr>
            <w:tcW w:w="610" w:type="dxa"/>
            <w:vMerge w:val="continue"/>
            <w:shd w:val="clear" w:color="auto" w:fill="auto"/>
            <w:vAlign w:val="center"/>
          </w:tcPr>
          <w:p w14:paraId="1DFF8BB8">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04FC9905">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2338260E">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69264B5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8F3475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A6167B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一年内群众投诉3次以上，或者诱发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停车事故、交通事故、治安事件的，系数1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64D0FED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BC4FD3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停车事故、交通事故、治安事件的，或者一年内2次以上同类违法行为受到告诫或处罚的，视为情节严重。</w:t>
            </w:r>
          </w:p>
          <w:p w14:paraId="30B6AAB9">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w:t>
            </w:r>
            <w:r>
              <w:rPr>
                <w:rFonts w:hint="eastAsia" w:asciiTheme="minorEastAsia" w:hAnsiTheme="minorEastAsia" w:eastAsiaTheme="minorEastAsia"/>
                <w:strike w:val="0"/>
                <w:dstrike w:val="0"/>
                <w:color w:val="auto"/>
                <w:sz w:val="15"/>
                <w:szCs w:val="15"/>
                <w:highlight w:val="none"/>
              </w:rPr>
              <w:t>本项</w:t>
            </w:r>
            <w:r>
              <w:rPr>
                <w:rFonts w:hint="eastAsia" w:asciiTheme="minorEastAsia" w:hAnsiTheme="minorEastAsia" w:eastAsiaTheme="minorEastAsia"/>
                <w:strike w:val="0"/>
                <w:dstrike w:val="0"/>
                <w:color w:val="auto"/>
                <w:sz w:val="15"/>
                <w:szCs w:val="15"/>
                <w:highlight w:val="none"/>
                <w:lang w:eastAsia="zh-CN"/>
              </w:rPr>
              <w:t>情节系数</w:t>
            </w:r>
            <w:r>
              <w:rPr>
                <w:rFonts w:hint="eastAsia" w:asciiTheme="minorEastAsia" w:hAnsiTheme="minorEastAsia" w:eastAsiaTheme="minorEastAsia"/>
                <w:strike w:val="0"/>
                <w:dstrike w:val="0"/>
                <w:color w:val="auto"/>
                <w:sz w:val="15"/>
                <w:szCs w:val="15"/>
                <w:highlight w:val="none"/>
              </w:rPr>
              <w:t>。</w:t>
            </w:r>
          </w:p>
        </w:tc>
      </w:tr>
      <w:tr w14:paraId="7F981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58" w:hRule="atLeast"/>
          <w:jc w:val="center"/>
        </w:trPr>
        <w:tc>
          <w:tcPr>
            <w:tcW w:w="610" w:type="dxa"/>
            <w:shd w:val="clear" w:color="auto" w:fill="auto"/>
            <w:vAlign w:val="center"/>
          </w:tcPr>
          <w:p w14:paraId="438AED2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14:paraId="76C290FE">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gridSpan w:val="2"/>
            <w:shd w:val="clear" w:color="auto" w:fill="auto"/>
            <w:vAlign w:val="center"/>
          </w:tcPr>
          <w:p w14:paraId="32846F68">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违反条款：第二十一条第二款；处罚条款：第三十四条，责令限期改正，并处5000元以上1万元以下罚款。</w:t>
            </w:r>
          </w:p>
        </w:tc>
        <w:tc>
          <w:tcPr>
            <w:tcW w:w="851" w:type="dxa"/>
            <w:shd w:val="clear" w:color="auto" w:fill="auto"/>
            <w:vAlign w:val="center"/>
          </w:tcPr>
          <w:p w14:paraId="6F85C9C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59DBC1C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6C5DEB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一年内群众投诉3次以上的，系数1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165730A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6E0A97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 xml:space="preserve">适用于中心城范围内向社会开放并收费的停车场；按规定实行限时的临时停车场除外。 </w:t>
            </w:r>
          </w:p>
        </w:tc>
      </w:tr>
      <w:tr w14:paraId="635A1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490" w:hRule="atLeast"/>
          <w:jc w:val="center"/>
        </w:trPr>
        <w:tc>
          <w:tcPr>
            <w:tcW w:w="610" w:type="dxa"/>
            <w:shd w:val="clear" w:color="auto" w:fill="auto"/>
            <w:vAlign w:val="center"/>
          </w:tcPr>
          <w:p w14:paraId="05B7A78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14:paraId="1B0B1715">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擅自设置地桩、地锁等障碍物</w:t>
            </w:r>
          </w:p>
        </w:tc>
        <w:tc>
          <w:tcPr>
            <w:tcW w:w="2789" w:type="dxa"/>
            <w:gridSpan w:val="2"/>
            <w:shd w:val="clear" w:color="auto" w:fill="auto"/>
            <w:vAlign w:val="center"/>
          </w:tcPr>
          <w:p w14:paraId="2C0728FA">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违反条款：第二十七条第一款；处罚条款：第三十七条</w:t>
            </w:r>
            <w:r>
              <w:rPr>
                <w:rFonts w:hint="eastAsia" w:asciiTheme="minorEastAsia" w:hAnsiTheme="minorEastAsia" w:eastAsiaTheme="minorEastAsia"/>
                <w:color w:val="auto"/>
                <w:sz w:val="15"/>
                <w:szCs w:val="15"/>
                <w:highlight w:val="none"/>
                <w:lang w:eastAsia="zh-CN"/>
              </w:rPr>
              <w:t>第一款</w:t>
            </w:r>
            <w:r>
              <w:rPr>
                <w:rFonts w:hint="eastAsia" w:asciiTheme="minorEastAsia" w:hAnsiTheme="minorEastAsia" w:eastAsiaTheme="minorEastAsia"/>
                <w:color w:val="auto"/>
                <w:sz w:val="15"/>
                <w:szCs w:val="15"/>
                <w:highlight w:val="none"/>
              </w:rPr>
              <w:t>，责令停止违法行为，恢复原状，并处500元以上5000元以下罚款。</w:t>
            </w:r>
          </w:p>
        </w:tc>
        <w:tc>
          <w:tcPr>
            <w:tcW w:w="851" w:type="dxa"/>
            <w:shd w:val="clear" w:color="auto" w:fill="auto"/>
            <w:vAlign w:val="center"/>
          </w:tcPr>
          <w:p w14:paraId="7DC7A31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1A074F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F6618D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一年内群众投诉3次以上的，系数1；2.设置地桩、地锁等障碍物数量2个，系数1；3个，系数2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4个，系数3；5个，系数4；6个，系数5；</w:t>
            </w:r>
            <w:r>
              <w:rPr>
                <w:rFonts w:hint="eastAsia" w:cs="宋体" w:asciiTheme="minorEastAsia" w:hAnsiTheme="minorEastAsia" w:eastAsiaTheme="minorEastAsia"/>
                <w:color w:val="auto"/>
                <w:kern w:val="0"/>
                <w:sz w:val="15"/>
                <w:szCs w:val="15"/>
                <w:highlight w:val="none"/>
              </w:rPr>
              <w:t>以此</w:t>
            </w:r>
            <w:r>
              <w:rPr>
                <w:rFonts w:hint="eastAsia" w:cs="宋体" w:asciiTheme="minorEastAsia" w:hAnsiTheme="minorEastAsia" w:eastAsiaTheme="minorEastAsia"/>
                <w:color w:val="auto"/>
                <w:kern w:val="0"/>
                <w:sz w:val="15"/>
                <w:szCs w:val="15"/>
                <w:highlight w:val="none"/>
                <w:lang w:eastAsia="zh-CN"/>
              </w:rPr>
              <w:t>类推，</w:t>
            </w:r>
            <w:r>
              <w:rPr>
                <w:rFonts w:hint="eastAsia" w:cs="宋体" w:asciiTheme="minorEastAsia" w:hAnsiTheme="minorEastAsia" w:eastAsiaTheme="minorEastAsia"/>
                <w:color w:val="auto"/>
                <w:kern w:val="0"/>
                <w:sz w:val="15"/>
                <w:szCs w:val="15"/>
                <w:highlight w:val="none"/>
                <w:lang w:val="en-US" w:eastAsia="zh-CN"/>
              </w:rPr>
              <w:t>10个及以上的，系数9</w:t>
            </w:r>
            <w:r>
              <w:rPr>
                <w:rFonts w:hint="eastAsia" w:cs="宋体" w:asciiTheme="minorEastAsia" w:hAnsiTheme="minorEastAsia" w:eastAsiaTheme="minorEastAsia"/>
                <w:color w:val="auto"/>
                <w:kern w:val="0"/>
                <w:sz w:val="15"/>
                <w:szCs w:val="15"/>
                <w:highlight w:val="none"/>
              </w:rPr>
              <w:t>；3.存在</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严重影响通行和市容秩序、致使公共安全等事件的，系数9</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存在基准2.1.3规定情形的，系数按照相关规定确定。</w:t>
            </w:r>
          </w:p>
        </w:tc>
        <w:tc>
          <w:tcPr>
            <w:tcW w:w="1875" w:type="dxa"/>
            <w:gridSpan w:val="2"/>
            <w:shd w:val="clear" w:color="auto" w:fill="auto"/>
            <w:vAlign w:val="center"/>
          </w:tcPr>
          <w:p w14:paraId="6EDDCE4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431DA989">
            <w:pPr>
              <w:spacing w:line="232" w:lineRule="exact"/>
              <w:rPr>
                <w:rFonts w:asciiTheme="minorEastAsia" w:hAnsiTheme="minorEastAsia" w:eastAsiaTheme="minorEastAsia"/>
                <w:color w:val="auto"/>
                <w:sz w:val="15"/>
                <w:szCs w:val="15"/>
                <w:highlight w:val="none"/>
              </w:rPr>
            </w:pPr>
          </w:p>
        </w:tc>
      </w:tr>
      <w:tr w14:paraId="79DA0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65" w:hRule="atLeast"/>
          <w:jc w:val="center"/>
        </w:trPr>
        <w:tc>
          <w:tcPr>
            <w:tcW w:w="14203" w:type="dxa"/>
            <w:gridSpan w:val="13"/>
            <w:shd w:val="clear" w:color="auto" w:fill="auto"/>
            <w:vAlign w:val="center"/>
          </w:tcPr>
          <w:p w14:paraId="297FAFA6">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1" w:name="_Toc1557995543"/>
            <w:bookmarkStart w:id="132" w:name="_Toc179211844"/>
            <w:bookmarkStart w:id="133" w:name="_Toc110851478"/>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机动车停车条例</w:t>
            </w:r>
            <w:r>
              <w:rPr>
                <w:rFonts w:hint="eastAsia" w:asciiTheme="minorEastAsia" w:hAnsiTheme="minorEastAsia" w:eastAsiaTheme="minorEastAsia"/>
                <w:color w:val="auto"/>
                <w:sz w:val="21"/>
                <w:szCs w:val="21"/>
                <w:highlight w:val="none"/>
              </w:rPr>
              <w:t>》案由6项</w:t>
            </w:r>
            <w:bookmarkEnd w:id="131"/>
            <w:bookmarkEnd w:id="132"/>
            <w:bookmarkEnd w:id="133"/>
          </w:p>
        </w:tc>
      </w:tr>
      <w:tr w14:paraId="5B928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44" w:hRule="atLeast"/>
          <w:jc w:val="center"/>
        </w:trPr>
        <w:tc>
          <w:tcPr>
            <w:tcW w:w="610" w:type="dxa"/>
            <w:shd w:val="clear" w:color="auto" w:fill="auto"/>
            <w:vAlign w:val="center"/>
          </w:tcPr>
          <w:p w14:paraId="797D931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1B0D9CF9">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未如实报送停车设施设置情况</w:t>
            </w:r>
          </w:p>
        </w:tc>
        <w:tc>
          <w:tcPr>
            <w:tcW w:w="2789" w:type="dxa"/>
            <w:gridSpan w:val="2"/>
            <w:shd w:val="clear" w:color="auto" w:fill="auto"/>
            <w:vAlign w:val="center"/>
          </w:tcPr>
          <w:p w14:paraId="1D8F630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w:t>
            </w:r>
          </w:p>
          <w:p w14:paraId="5D9CCEB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处罚条款：第二十一条第三款，责令限期改正；逾期未改正的，处1万元罚款。</w:t>
            </w:r>
          </w:p>
        </w:tc>
        <w:tc>
          <w:tcPr>
            <w:tcW w:w="851" w:type="dxa"/>
            <w:shd w:val="clear" w:color="auto" w:fill="auto"/>
            <w:vAlign w:val="center"/>
          </w:tcPr>
          <w:p w14:paraId="0C31E0B2">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8BF53F9">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1803BA67">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7294C55">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1FC5BD0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先行责令限期改正，当事人在规定期限内改正的，不予处罚；逾期未改正的，处1万元罚款。</w:t>
            </w:r>
          </w:p>
        </w:tc>
      </w:tr>
      <w:tr w14:paraId="3D00B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46" w:hRule="atLeast"/>
          <w:jc w:val="center"/>
        </w:trPr>
        <w:tc>
          <w:tcPr>
            <w:tcW w:w="610" w:type="dxa"/>
            <w:shd w:val="clear" w:color="auto" w:fill="auto"/>
            <w:vAlign w:val="center"/>
          </w:tcPr>
          <w:p w14:paraId="0D1CC69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1E9959E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未按照规定时限（或未如实）报送停车设施设置情况</w:t>
            </w:r>
          </w:p>
        </w:tc>
        <w:tc>
          <w:tcPr>
            <w:tcW w:w="2789" w:type="dxa"/>
            <w:gridSpan w:val="2"/>
            <w:shd w:val="clear" w:color="auto" w:fill="auto"/>
            <w:vAlign w:val="center"/>
          </w:tcPr>
          <w:p w14:paraId="71D9B33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违反条款：第二十二条第一款。</w:t>
            </w:r>
          </w:p>
          <w:p w14:paraId="3B015CC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处罚条款：第二十二条第二款，责令限期改正；逾期未改正的，处2000元罚款。</w:t>
            </w:r>
          </w:p>
        </w:tc>
        <w:tc>
          <w:tcPr>
            <w:tcW w:w="851" w:type="dxa"/>
            <w:shd w:val="clear" w:color="auto" w:fill="auto"/>
            <w:vAlign w:val="center"/>
          </w:tcPr>
          <w:p w14:paraId="18329237">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8FD807F">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7BDC0CEC">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4F15CFFB">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076516BE">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先行责令限期改正，当事人在规定期限内改正的，不予处罚；逾期未改正的，处2000元罚款。</w:t>
            </w:r>
          </w:p>
        </w:tc>
      </w:tr>
      <w:tr w14:paraId="0C0A8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75" w:hRule="atLeast"/>
          <w:jc w:val="center"/>
        </w:trPr>
        <w:tc>
          <w:tcPr>
            <w:tcW w:w="610" w:type="dxa"/>
            <w:shd w:val="clear" w:color="auto" w:fill="auto"/>
            <w:vAlign w:val="center"/>
          </w:tcPr>
          <w:p w14:paraId="253319F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auto"/>
            <w:vAlign w:val="center"/>
          </w:tcPr>
          <w:p w14:paraId="05B86D6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公共停车设施未按照标准配建停车诱导设施（进出车辆信息采集及号牌系统、与所在区域停车诱导系统实时对接）</w:t>
            </w:r>
          </w:p>
        </w:tc>
        <w:tc>
          <w:tcPr>
            <w:tcW w:w="2789" w:type="dxa"/>
            <w:gridSpan w:val="2"/>
            <w:shd w:val="clear" w:color="auto" w:fill="auto"/>
            <w:vAlign w:val="center"/>
          </w:tcPr>
          <w:p w14:paraId="62669E6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违反条款：第二十四条第二款。</w:t>
            </w:r>
          </w:p>
          <w:p w14:paraId="0C5D3D0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处罚条款：第二十四条第三款，责令限期改正；逾期未改正的，处1万元罚款。</w:t>
            </w:r>
          </w:p>
        </w:tc>
        <w:tc>
          <w:tcPr>
            <w:tcW w:w="851" w:type="dxa"/>
            <w:shd w:val="clear" w:color="auto" w:fill="auto"/>
            <w:vAlign w:val="center"/>
          </w:tcPr>
          <w:p w14:paraId="5A77EFF1">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7F4AB2F8">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47D8E774">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1B4B079E">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193524F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先行责令限期改正，当事人在规定期限内改正的，不予处罚；逾期未改正的，处1万元罚款。</w:t>
            </w:r>
          </w:p>
        </w:tc>
      </w:tr>
      <w:tr w14:paraId="7233A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91" w:hRule="atLeast"/>
          <w:jc w:val="center"/>
        </w:trPr>
        <w:tc>
          <w:tcPr>
            <w:tcW w:w="610" w:type="dxa"/>
            <w:shd w:val="clear" w:color="auto" w:fill="auto"/>
            <w:vAlign w:val="center"/>
          </w:tcPr>
          <w:p w14:paraId="43C3553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auto"/>
            <w:vAlign w:val="center"/>
          </w:tcPr>
          <w:p w14:paraId="5BEDFFF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擅自设置固定或者可移动障碍物</w:t>
            </w:r>
          </w:p>
        </w:tc>
        <w:tc>
          <w:tcPr>
            <w:tcW w:w="2789" w:type="dxa"/>
            <w:gridSpan w:val="2"/>
            <w:shd w:val="clear" w:color="auto" w:fill="auto"/>
            <w:vAlign w:val="center"/>
          </w:tcPr>
          <w:p w14:paraId="7F4BA1E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14:paraId="3067537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处罚条款：第二十六条第二款，责令停止违法行为，恢复原状，并处500元以上1000元以下罚款。</w:t>
            </w:r>
          </w:p>
        </w:tc>
        <w:tc>
          <w:tcPr>
            <w:tcW w:w="851" w:type="dxa"/>
            <w:shd w:val="clear" w:color="auto" w:fill="auto"/>
            <w:vAlign w:val="center"/>
          </w:tcPr>
          <w:p w14:paraId="3B23ADD7">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58079E6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9C2A7A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38F71D6A">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05EE35D4">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该条规定的障碍物包括地桩、地锁等固定式障碍物和废旧桌椅、自行车等可移动障碍物，和《办法》规定的“地桩、地锁等障碍物”有所区别。</w:t>
            </w:r>
          </w:p>
        </w:tc>
      </w:tr>
      <w:tr w14:paraId="1DF25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14" w:hRule="atLeast"/>
          <w:jc w:val="center"/>
        </w:trPr>
        <w:tc>
          <w:tcPr>
            <w:tcW w:w="610" w:type="dxa"/>
            <w:shd w:val="clear" w:color="auto" w:fill="auto"/>
            <w:vAlign w:val="center"/>
          </w:tcPr>
          <w:p w14:paraId="0068537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auto"/>
            <w:vAlign w:val="center"/>
          </w:tcPr>
          <w:p w14:paraId="4582F38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gridSpan w:val="2"/>
            <w:shd w:val="clear" w:color="auto" w:fill="auto"/>
            <w:vAlign w:val="center"/>
          </w:tcPr>
          <w:p w14:paraId="3C0A310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w:t>
            </w:r>
          </w:p>
          <w:p w14:paraId="251A31D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处罚条款：第三十二条第二款，责令限期改正，并处5000元以上1万元以下罚款。</w:t>
            </w:r>
          </w:p>
        </w:tc>
        <w:tc>
          <w:tcPr>
            <w:tcW w:w="851" w:type="dxa"/>
            <w:shd w:val="clear" w:color="auto" w:fill="auto"/>
            <w:vAlign w:val="center"/>
          </w:tcPr>
          <w:p w14:paraId="0862ADC2">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6CE2377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5271CC8">
            <w:pPr>
              <w:spacing w:line="232" w:lineRule="exact"/>
              <w:rPr>
                <w:rFonts w:cs="宋体" w:asciiTheme="minorEastAsia" w:hAnsiTheme="minorEastAsia" w:eastAsiaTheme="minorEastAsia"/>
                <w:color w:val="auto"/>
                <w:kern w:val="0"/>
                <w:sz w:val="15"/>
                <w:szCs w:val="15"/>
                <w:highlight w:val="none"/>
                <w:lang w:val="en-US" w:eastAsia="zh-CN" w:bidi="ar-SA"/>
              </w:rPr>
            </w:pPr>
            <w:r>
              <w:rPr>
                <w:rFonts w:hint="eastAsia" w:cs="宋体" w:asciiTheme="minorEastAsia" w:hAnsiTheme="minorEastAsia" w:eastAsiaTheme="minorEastAsia"/>
                <w:color w:val="auto"/>
                <w:kern w:val="0"/>
                <w:sz w:val="15"/>
                <w:szCs w:val="15"/>
                <w:highlight w:val="none"/>
              </w:rPr>
              <w:t>存在基准2.1.3规定情形的，系数按照相关规定确定</w:t>
            </w:r>
            <w:r>
              <w:rPr>
                <w:rFonts w:hint="eastAsia" w:cs="宋体" w:asciiTheme="minorEastAsia" w:hAnsiTheme="minorEastAsia" w:eastAsiaTheme="minorEastAsia"/>
                <w:color w:val="auto"/>
                <w:kern w:val="0"/>
                <w:sz w:val="15"/>
                <w:szCs w:val="15"/>
                <w:highlight w:val="none"/>
                <w:lang w:eastAsia="zh-CN"/>
              </w:rPr>
              <w:t>（基准2.1.3.5不适用）。</w:t>
            </w:r>
          </w:p>
        </w:tc>
        <w:tc>
          <w:tcPr>
            <w:tcW w:w="1875" w:type="dxa"/>
            <w:gridSpan w:val="2"/>
            <w:shd w:val="clear" w:color="auto" w:fill="auto"/>
            <w:vAlign w:val="center"/>
          </w:tcPr>
          <w:p w14:paraId="74CFA47B">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52AC654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1.仅限于中心城区范围内经营性停车设施；2.《条例》未涉及的停车设施经营单位应遵守的</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规定，依据《办法》第二十一条规定执行。</w:t>
            </w:r>
          </w:p>
        </w:tc>
      </w:tr>
      <w:tr w14:paraId="02C3B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98" w:hRule="atLeast"/>
          <w:jc w:val="center"/>
        </w:trPr>
        <w:tc>
          <w:tcPr>
            <w:tcW w:w="610" w:type="dxa"/>
            <w:shd w:val="clear" w:color="auto" w:fill="auto"/>
            <w:vAlign w:val="center"/>
          </w:tcPr>
          <w:p w14:paraId="32153DF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auto"/>
            <w:vAlign w:val="center"/>
          </w:tcPr>
          <w:p w14:paraId="55E77FE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违反规划将停车设施改作他用</w:t>
            </w:r>
          </w:p>
        </w:tc>
        <w:tc>
          <w:tcPr>
            <w:tcW w:w="2789" w:type="dxa"/>
            <w:gridSpan w:val="2"/>
            <w:shd w:val="clear" w:color="auto" w:fill="auto"/>
            <w:vAlign w:val="center"/>
          </w:tcPr>
          <w:p w14:paraId="534A244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违反条款：第三十三条第一款。</w:t>
            </w:r>
          </w:p>
          <w:p w14:paraId="77B2532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处罚条款：第三十三条第四款，责令限期改正、恢复原状，并处每个泊位1万元罚款。</w:t>
            </w:r>
          </w:p>
        </w:tc>
        <w:tc>
          <w:tcPr>
            <w:tcW w:w="851" w:type="dxa"/>
            <w:shd w:val="clear" w:color="auto" w:fill="auto"/>
            <w:vAlign w:val="center"/>
          </w:tcPr>
          <w:p w14:paraId="10C97F1B">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00BEC9F">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429993ED">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48B17D64">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5B55136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按照规定执行，处每个泊位1万元罚款。</w:t>
            </w:r>
          </w:p>
        </w:tc>
      </w:tr>
      <w:tr w14:paraId="6691F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86" w:hRule="atLeast"/>
          <w:jc w:val="center"/>
        </w:trPr>
        <w:tc>
          <w:tcPr>
            <w:tcW w:w="14203" w:type="dxa"/>
            <w:gridSpan w:val="13"/>
            <w:shd w:val="clear" w:color="auto" w:fill="auto"/>
            <w:vAlign w:val="center"/>
          </w:tcPr>
          <w:p w14:paraId="10B4838B">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4" w:name="_Toc110851479"/>
            <w:bookmarkStart w:id="135" w:name="_Toc2104735100"/>
            <w:bookmarkStart w:id="136" w:name="_Toc67594986"/>
            <w:r>
              <w:rPr>
                <w:rFonts w:hint="eastAsia" w:asciiTheme="minorEastAsia" w:hAnsiTheme="minorEastAsia" w:eastAsiaTheme="minorEastAsia"/>
                <w:color w:val="auto"/>
                <w:sz w:val="21"/>
                <w:szCs w:val="21"/>
                <w:highlight w:val="none"/>
              </w:rPr>
              <w:t>《北京市非机动车停车管理办法》《北京市</w:t>
            </w:r>
            <w:r>
              <w:rPr>
                <w:rFonts w:asciiTheme="minorEastAsia" w:hAnsiTheme="minorEastAsia" w:eastAsiaTheme="minorEastAsia"/>
                <w:color w:val="auto"/>
                <w:sz w:val="21"/>
                <w:szCs w:val="21"/>
                <w:highlight w:val="none"/>
              </w:rPr>
              <w:t>非机动车</w:t>
            </w:r>
            <w:r>
              <w:rPr>
                <w:rFonts w:hint="eastAsia" w:asciiTheme="minorEastAsia" w:hAnsiTheme="minorEastAsia" w:eastAsiaTheme="minorEastAsia"/>
                <w:color w:val="auto"/>
                <w:sz w:val="21"/>
                <w:szCs w:val="21"/>
                <w:highlight w:val="none"/>
              </w:rPr>
              <w:t>管理</w:t>
            </w:r>
            <w:r>
              <w:rPr>
                <w:rFonts w:asciiTheme="minorEastAsia" w:hAnsiTheme="minorEastAsia" w:eastAsiaTheme="minorEastAsia"/>
                <w:color w:val="auto"/>
                <w:sz w:val="21"/>
                <w:szCs w:val="21"/>
                <w:highlight w:val="none"/>
              </w:rPr>
              <w:t>条例</w:t>
            </w:r>
            <w:r>
              <w:rPr>
                <w:rFonts w:hint="eastAsia" w:asciiTheme="minorEastAsia" w:hAnsiTheme="minorEastAsia" w:eastAsiaTheme="minorEastAsia"/>
                <w:color w:val="auto"/>
                <w:sz w:val="21"/>
                <w:szCs w:val="21"/>
                <w:highlight w:val="none"/>
              </w:rPr>
              <w:t>》案由</w:t>
            </w:r>
            <w:r>
              <w:rPr>
                <w:rFonts w:hint="eastAsia" w:asciiTheme="minorEastAsia" w:hAnsiTheme="minorEastAsia" w:eastAsiaTheme="minorEastAsia"/>
                <w:color w:val="auto"/>
                <w:sz w:val="21"/>
                <w:szCs w:val="21"/>
                <w:highlight w:val="none"/>
                <w:lang w:val="en-US" w:eastAsia="zh-CN"/>
              </w:rPr>
              <w:t>6</w:t>
            </w:r>
            <w:r>
              <w:rPr>
                <w:rFonts w:hint="eastAsia" w:asciiTheme="minorEastAsia" w:hAnsiTheme="minorEastAsia" w:eastAsiaTheme="minorEastAsia"/>
                <w:color w:val="auto"/>
                <w:sz w:val="21"/>
                <w:szCs w:val="21"/>
                <w:highlight w:val="none"/>
              </w:rPr>
              <w:t>项</w:t>
            </w:r>
            <w:bookmarkEnd w:id="134"/>
            <w:bookmarkEnd w:id="135"/>
            <w:bookmarkEnd w:id="136"/>
          </w:p>
        </w:tc>
      </w:tr>
      <w:tr w14:paraId="58D25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17" w:hRule="atLeast"/>
          <w:jc w:val="center"/>
        </w:trPr>
        <w:tc>
          <w:tcPr>
            <w:tcW w:w="610" w:type="dxa"/>
            <w:tcBorders>
              <w:top w:val="single" w:color="000000" w:sz="4" w:space="0"/>
              <w:left w:val="single" w:color="000000" w:sz="4" w:space="0"/>
              <w:bottom w:val="single" w:color="000000" w:sz="4" w:space="0"/>
              <w:right w:val="single" w:color="000000" w:sz="4" w:space="0"/>
            </w:tcBorders>
            <w:vAlign w:val="center"/>
          </w:tcPr>
          <w:p w14:paraId="41C97420">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tcBorders>
              <w:top w:val="single" w:color="000000" w:sz="4" w:space="0"/>
              <w:left w:val="single" w:color="000000" w:sz="4" w:space="0"/>
              <w:bottom w:val="single" w:color="000000" w:sz="4" w:space="0"/>
              <w:right w:val="single" w:color="000000" w:sz="4" w:space="0"/>
            </w:tcBorders>
            <w:vAlign w:val="center"/>
          </w:tcPr>
          <w:p w14:paraId="2071A72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非机动车公共停车场未对公众开放</w:t>
            </w:r>
          </w:p>
        </w:tc>
        <w:tc>
          <w:tcPr>
            <w:tcW w:w="2789" w:type="dxa"/>
            <w:gridSpan w:val="2"/>
            <w:tcBorders>
              <w:top w:val="single" w:color="000000" w:sz="4" w:space="0"/>
              <w:left w:val="single" w:color="000000" w:sz="4" w:space="0"/>
              <w:bottom w:val="single" w:color="000000" w:sz="4" w:space="0"/>
              <w:right w:val="single" w:color="000000" w:sz="4" w:space="0"/>
            </w:tcBorders>
            <w:vAlign w:val="center"/>
          </w:tcPr>
          <w:p w14:paraId="1F4FB07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14:paraId="2A3569D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14:paraId="339C3801">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14:paraId="7EA5A22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tcBorders>
              <w:top w:val="single" w:color="000000" w:sz="4" w:space="0"/>
              <w:left w:val="single" w:color="000000" w:sz="4" w:space="0"/>
              <w:bottom w:val="single" w:color="000000" w:sz="4" w:space="0"/>
              <w:right w:val="single" w:color="000000" w:sz="4" w:space="0"/>
            </w:tcBorders>
            <w:vAlign w:val="center"/>
          </w:tcPr>
          <w:p w14:paraId="134D2487">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tcBorders>
              <w:top w:val="single" w:color="000000" w:sz="4" w:space="0"/>
              <w:left w:val="single" w:color="000000" w:sz="4" w:space="0"/>
              <w:bottom w:val="single" w:color="000000" w:sz="4" w:space="0"/>
              <w:right w:val="single" w:color="000000" w:sz="4" w:space="0"/>
            </w:tcBorders>
            <w:vAlign w:val="center"/>
          </w:tcPr>
          <w:p w14:paraId="4E6BD20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top w:val="single" w:color="000000" w:sz="4" w:space="0"/>
              <w:left w:val="single" w:color="000000" w:sz="4" w:space="0"/>
              <w:bottom w:val="single" w:color="000000" w:sz="4" w:space="0"/>
              <w:right w:val="single" w:color="000000" w:sz="4" w:space="0"/>
            </w:tcBorders>
            <w:vAlign w:val="center"/>
          </w:tcPr>
          <w:p w14:paraId="22DC736F">
            <w:pPr>
              <w:spacing w:line="232" w:lineRule="exact"/>
              <w:jc w:val="center"/>
              <w:rPr>
                <w:rFonts w:asciiTheme="minorEastAsia" w:hAnsiTheme="minorEastAsia" w:eastAsiaTheme="minorEastAsia"/>
                <w:color w:val="auto"/>
                <w:sz w:val="15"/>
                <w:szCs w:val="15"/>
                <w:highlight w:val="none"/>
              </w:rPr>
            </w:pPr>
          </w:p>
        </w:tc>
      </w:tr>
      <w:tr w14:paraId="1B14C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75" w:hRule="atLeast"/>
          <w:jc w:val="center"/>
        </w:trPr>
        <w:tc>
          <w:tcPr>
            <w:tcW w:w="610" w:type="dxa"/>
            <w:tcBorders>
              <w:top w:val="single" w:color="000000" w:sz="4" w:space="0"/>
              <w:left w:val="single" w:color="000000" w:sz="4" w:space="0"/>
              <w:bottom w:val="single" w:color="000000" w:sz="4" w:space="0"/>
              <w:right w:val="single" w:color="000000" w:sz="4" w:space="0"/>
            </w:tcBorders>
            <w:vAlign w:val="center"/>
          </w:tcPr>
          <w:p w14:paraId="397F0C6C">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w:t>
            </w:r>
          </w:p>
        </w:tc>
        <w:tc>
          <w:tcPr>
            <w:tcW w:w="1830" w:type="dxa"/>
            <w:gridSpan w:val="3"/>
            <w:tcBorders>
              <w:top w:val="single" w:color="000000" w:sz="4" w:space="0"/>
              <w:left w:val="single" w:color="000000" w:sz="4" w:space="0"/>
              <w:bottom w:val="single" w:color="000000" w:sz="4" w:space="0"/>
              <w:right w:val="single" w:color="000000" w:sz="4" w:space="0"/>
            </w:tcBorders>
            <w:vAlign w:val="center"/>
          </w:tcPr>
          <w:p w14:paraId="353B87B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擅自侵占、停止使用非机动车公共停车场或者将其挪作他用</w:t>
            </w:r>
          </w:p>
        </w:tc>
        <w:tc>
          <w:tcPr>
            <w:tcW w:w="2789" w:type="dxa"/>
            <w:gridSpan w:val="2"/>
            <w:tcBorders>
              <w:top w:val="single" w:color="000000" w:sz="4" w:space="0"/>
              <w:left w:val="single" w:color="000000" w:sz="4" w:space="0"/>
              <w:bottom w:val="single" w:color="000000" w:sz="4" w:space="0"/>
              <w:right w:val="single" w:color="000000" w:sz="4" w:space="0"/>
            </w:tcBorders>
            <w:vAlign w:val="center"/>
          </w:tcPr>
          <w:p w14:paraId="67649DA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14:paraId="7BB4206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14:paraId="5C473654">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14:paraId="097EDFC7">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tcBorders>
              <w:top w:val="single" w:color="000000" w:sz="4" w:space="0"/>
              <w:left w:val="single" w:color="000000" w:sz="4" w:space="0"/>
              <w:bottom w:val="single" w:color="000000" w:sz="4" w:space="0"/>
              <w:right w:val="single" w:color="000000" w:sz="4" w:space="0"/>
            </w:tcBorders>
            <w:vAlign w:val="center"/>
          </w:tcPr>
          <w:p w14:paraId="2D0BBBDE">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tcBorders>
              <w:top w:val="single" w:color="000000" w:sz="4" w:space="0"/>
              <w:left w:val="single" w:color="000000" w:sz="4" w:space="0"/>
              <w:bottom w:val="single" w:color="000000" w:sz="4" w:space="0"/>
              <w:right w:val="single" w:color="000000" w:sz="4" w:space="0"/>
            </w:tcBorders>
            <w:vAlign w:val="center"/>
          </w:tcPr>
          <w:p w14:paraId="01FF54D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top w:val="single" w:color="000000" w:sz="4" w:space="0"/>
              <w:left w:val="single" w:color="000000" w:sz="4" w:space="0"/>
              <w:bottom w:val="single" w:color="000000" w:sz="4" w:space="0"/>
              <w:right w:val="single" w:color="000000" w:sz="4" w:space="0"/>
            </w:tcBorders>
            <w:vAlign w:val="center"/>
          </w:tcPr>
          <w:p w14:paraId="7F4A2233">
            <w:pPr>
              <w:spacing w:line="232" w:lineRule="exact"/>
              <w:ind w:firstLine="150" w:firstLineChars="100"/>
              <w:jc w:val="center"/>
              <w:rPr>
                <w:rFonts w:asciiTheme="minorEastAsia" w:hAnsiTheme="minorEastAsia" w:eastAsiaTheme="minorEastAsia"/>
                <w:color w:val="auto"/>
                <w:sz w:val="15"/>
                <w:szCs w:val="15"/>
                <w:highlight w:val="none"/>
              </w:rPr>
            </w:pPr>
          </w:p>
        </w:tc>
      </w:tr>
      <w:tr w14:paraId="4E03B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49" w:hRule="atLeast"/>
          <w:jc w:val="center"/>
        </w:trPr>
        <w:tc>
          <w:tcPr>
            <w:tcW w:w="610" w:type="dxa"/>
            <w:vMerge w:val="restart"/>
            <w:tcBorders>
              <w:top w:val="single" w:color="000000" w:sz="4" w:space="0"/>
              <w:left w:val="single" w:color="000000" w:sz="4" w:space="0"/>
              <w:right w:val="single" w:color="000000" w:sz="4" w:space="0"/>
            </w:tcBorders>
            <w:vAlign w:val="center"/>
          </w:tcPr>
          <w:p w14:paraId="2D3B98C0">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3</w:t>
            </w:r>
          </w:p>
        </w:tc>
        <w:tc>
          <w:tcPr>
            <w:tcW w:w="1830" w:type="dxa"/>
            <w:gridSpan w:val="3"/>
            <w:vMerge w:val="restart"/>
            <w:tcBorders>
              <w:top w:val="single" w:color="000000" w:sz="4" w:space="0"/>
              <w:left w:val="single" w:color="000000" w:sz="4" w:space="0"/>
              <w:right w:val="single" w:color="000000" w:sz="4" w:space="0"/>
            </w:tcBorders>
            <w:shd w:val="clear" w:color="auto" w:fill="auto"/>
            <w:vAlign w:val="center"/>
          </w:tcPr>
          <w:p w14:paraId="77ACE18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非机动车公共停车场未按规范设置</w:t>
            </w:r>
          </w:p>
        </w:tc>
        <w:tc>
          <w:tcPr>
            <w:tcW w:w="2789" w:type="dxa"/>
            <w:gridSpan w:val="2"/>
            <w:shd w:val="clear" w:color="auto" w:fill="auto"/>
            <w:vAlign w:val="center"/>
          </w:tcPr>
          <w:p w14:paraId="23D1370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14:paraId="16E1BB8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14:paraId="1CF2DF7E">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14:paraId="20DD9CB8">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vMerge w:val="restart"/>
            <w:tcBorders>
              <w:top w:val="single" w:color="000000" w:sz="4" w:space="0"/>
              <w:left w:val="single" w:color="000000" w:sz="4" w:space="0"/>
              <w:right w:val="single" w:color="000000" w:sz="4" w:space="0"/>
            </w:tcBorders>
            <w:shd w:val="clear" w:color="auto" w:fill="auto"/>
            <w:vAlign w:val="center"/>
          </w:tcPr>
          <w:p w14:paraId="442C8F63">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14:paraId="4ACB523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14:paraId="461B2682">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适应于非经营性停车场。</w:t>
            </w:r>
          </w:p>
          <w:p w14:paraId="30C78455">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r>
      <w:tr w14:paraId="5225C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87" w:hRule="atLeast"/>
          <w:jc w:val="center"/>
        </w:trPr>
        <w:tc>
          <w:tcPr>
            <w:tcW w:w="610" w:type="dxa"/>
            <w:vMerge w:val="continue"/>
            <w:tcBorders>
              <w:left w:val="single" w:color="000000" w:sz="4" w:space="0"/>
              <w:right w:val="single" w:color="000000" w:sz="4" w:space="0"/>
            </w:tcBorders>
            <w:vAlign w:val="center"/>
          </w:tcPr>
          <w:p w14:paraId="1FDF256F">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830" w:type="dxa"/>
            <w:gridSpan w:val="3"/>
            <w:vMerge w:val="continue"/>
            <w:tcBorders>
              <w:left w:val="single" w:color="000000" w:sz="4" w:space="0"/>
              <w:right w:val="single" w:color="000000" w:sz="4" w:space="0"/>
            </w:tcBorders>
            <w:shd w:val="clear" w:color="auto" w:fill="auto"/>
            <w:vAlign w:val="center"/>
          </w:tcPr>
          <w:p w14:paraId="63182F9D">
            <w:pPr>
              <w:spacing w:line="232" w:lineRule="exact"/>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14:paraId="3FDA7C3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14:paraId="44497DC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14:paraId="02D20783">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14:paraId="3F67CE77">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vMerge w:val="continue"/>
            <w:tcBorders>
              <w:left w:val="single" w:color="000000" w:sz="4" w:space="0"/>
              <w:right w:val="single" w:color="000000" w:sz="4" w:space="0"/>
            </w:tcBorders>
            <w:shd w:val="clear" w:color="auto" w:fill="auto"/>
            <w:vAlign w:val="center"/>
          </w:tcPr>
          <w:p w14:paraId="536BED4E">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14:paraId="761E3FE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14:paraId="3B39444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14:paraId="4959D12F">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p w14:paraId="0268854C">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r>
      <w:tr w14:paraId="2F9CB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91" w:hRule="atLeast"/>
          <w:jc w:val="center"/>
        </w:trPr>
        <w:tc>
          <w:tcPr>
            <w:tcW w:w="610" w:type="dxa"/>
            <w:vMerge w:val="continue"/>
            <w:tcBorders>
              <w:left w:val="single" w:color="000000" w:sz="4" w:space="0"/>
              <w:bottom w:val="single" w:color="auto" w:sz="4" w:space="0"/>
              <w:right w:val="single" w:color="000000" w:sz="4" w:space="0"/>
            </w:tcBorders>
            <w:vAlign w:val="center"/>
          </w:tcPr>
          <w:p w14:paraId="498423F6">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830" w:type="dxa"/>
            <w:gridSpan w:val="3"/>
            <w:vMerge w:val="continue"/>
            <w:tcBorders>
              <w:left w:val="single" w:color="000000" w:sz="4" w:space="0"/>
              <w:bottom w:val="single" w:color="auto" w:sz="4" w:space="0"/>
              <w:right w:val="single" w:color="000000" w:sz="4" w:space="0"/>
            </w:tcBorders>
            <w:shd w:val="clear" w:color="auto" w:fill="auto"/>
            <w:vAlign w:val="center"/>
          </w:tcPr>
          <w:p w14:paraId="747FB368">
            <w:pPr>
              <w:spacing w:line="232" w:lineRule="exact"/>
              <w:rPr>
                <w:rFonts w:cs="Arial" w:asciiTheme="minorEastAsia" w:hAnsiTheme="minorEastAsia" w:eastAsiaTheme="minorEastAsia"/>
                <w:color w:val="auto"/>
                <w:kern w:val="0"/>
                <w:sz w:val="15"/>
                <w:szCs w:val="15"/>
                <w:highlight w:val="none"/>
              </w:rPr>
            </w:pPr>
          </w:p>
        </w:tc>
        <w:tc>
          <w:tcPr>
            <w:tcW w:w="2789" w:type="dxa"/>
            <w:gridSpan w:val="2"/>
            <w:shd w:val="clear" w:color="auto" w:fill="auto"/>
            <w:vAlign w:val="center"/>
          </w:tcPr>
          <w:p w14:paraId="44AB23B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违反条款：《北京市非机动车管理条例》第二十二条第二款；</w:t>
            </w:r>
          </w:p>
          <w:p w14:paraId="7BB676A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14:paraId="78BD7EB1">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2</w:t>
            </w:r>
            <w:r>
              <w:rPr>
                <w:rFonts w:hint="eastAsia" w:cs="Arial" w:asciiTheme="minorEastAsia" w:hAnsiTheme="minorEastAsia" w:eastAsiaTheme="minorEastAsia"/>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14:paraId="7D641E80">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vMerge w:val="continue"/>
            <w:tcBorders>
              <w:left w:val="single" w:color="000000" w:sz="4" w:space="0"/>
              <w:bottom w:val="single" w:color="auto" w:sz="4" w:space="0"/>
              <w:right w:val="single" w:color="000000" w:sz="4" w:space="0"/>
            </w:tcBorders>
            <w:shd w:val="clear" w:color="auto" w:fill="auto"/>
            <w:vAlign w:val="center"/>
          </w:tcPr>
          <w:p w14:paraId="5CCEB85E">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auto"/>
            <w:vAlign w:val="center"/>
          </w:tcPr>
          <w:p w14:paraId="0CEEDC1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14:paraId="39BC56C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14:paraId="588C65EF">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p w14:paraId="4ADEEDB4">
            <w:pPr>
              <w:spacing w:line="232" w:lineRule="exact"/>
              <w:rPr>
                <w:rFonts w:hint="eastAsia"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r>
      <w:tr w14:paraId="43DBA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65" w:hRule="atLeast"/>
          <w:jc w:val="center"/>
        </w:trPr>
        <w:tc>
          <w:tcPr>
            <w:tcW w:w="610" w:type="dxa"/>
            <w:vMerge w:val="restart"/>
            <w:shd w:val="clear" w:color="auto" w:fill="auto"/>
            <w:vAlign w:val="center"/>
          </w:tcPr>
          <w:p w14:paraId="0A58CBFD">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4</w:t>
            </w:r>
          </w:p>
        </w:tc>
        <w:tc>
          <w:tcPr>
            <w:tcW w:w="1830" w:type="dxa"/>
            <w:gridSpan w:val="3"/>
            <w:vMerge w:val="restart"/>
            <w:shd w:val="clear" w:color="auto" w:fill="auto"/>
            <w:vAlign w:val="center"/>
          </w:tcPr>
          <w:p w14:paraId="4F675941">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非机动车公共停车场未建立并落实各项管理和服务制度</w:t>
            </w:r>
          </w:p>
        </w:tc>
        <w:tc>
          <w:tcPr>
            <w:tcW w:w="2789" w:type="dxa"/>
            <w:gridSpan w:val="2"/>
            <w:shd w:val="clear" w:color="auto" w:fill="auto"/>
            <w:vAlign w:val="center"/>
          </w:tcPr>
          <w:p w14:paraId="2D8218C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违反条款：《北京市非机动车停车管理办法》第十一条第一款第（二）项；</w:t>
            </w:r>
          </w:p>
          <w:p w14:paraId="6B0B4AE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14:paraId="58F206AE">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14:paraId="6AEBD753">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shd w:val="clear" w:color="auto" w:fill="auto"/>
            <w:vAlign w:val="center"/>
          </w:tcPr>
          <w:p w14:paraId="7FE12BDE">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14:paraId="4C3D2DBB">
            <w:pPr>
              <w:keepNext w:val="0"/>
              <w:keepLines w:val="0"/>
              <w:pageBreakBefore w:val="0"/>
              <w:kinsoku/>
              <w:overflowPunct/>
              <w:topLinePunct w:val="0"/>
              <w:autoSpaceDE/>
              <w:autoSpaceDN/>
              <w:bidi w:val="0"/>
              <w:adjustRightInd/>
              <w:snapToGrid/>
              <w:spacing w:before="100" w:beforeAutospacing="1" w:after="100" w:afterAutospacing="1" w:line="240" w:lineRule="auto"/>
              <w:jc w:val="left"/>
              <w:rPr>
                <w:rFonts w:cs="Arial" w:asciiTheme="minorEastAsia" w:hAnsiTheme="minorEastAsia" w:eastAsiaTheme="minorEastAsia"/>
                <w:color w:val="auto"/>
                <w:kern w:val="0"/>
                <w:sz w:val="15"/>
                <w:szCs w:val="15"/>
                <w:highlight w:val="none"/>
              </w:rPr>
            </w:pPr>
            <w:r>
              <w:rPr>
                <w:rFonts w:hint="eastAsia" w:ascii="宋体" w:hAnsi="宋体" w:eastAsia="宋体"/>
                <w:strike w:val="0"/>
                <w:dstrike w:val="0"/>
                <w:color w:val="auto"/>
                <w:sz w:val="15"/>
                <w:szCs w:val="15"/>
                <w:highlight w:val="none"/>
                <w:u w:val="none"/>
              </w:rPr>
              <w:t>罚款数额＝</w:t>
            </w:r>
            <w:r>
              <w:rPr>
                <w:rFonts w:hint="eastAsia" w:ascii="宋体" w:hAnsi="宋体" w:eastAsia="宋体"/>
                <w:strike w:val="0"/>
                <w:dstrike w:val="0"/>
                <w:color w:val="auto"/>
                <w:sz w:val="15"/>
                <w:szCs w:val="15"/>
                <w:highlight w:val="none"/>
                <w:u w:val="none"/>
                <w:lang w:val="en-US" w:eastAsia="zh-CN"/>
              </w:rPr>
              <w:t>5</w:t>
            </w:r>
            <w:r>
              <w:rPr>
                <w:rFonts w:hint="eastAsia" w:ascii="宋体" w:hAnsi="宋体" w:eastAsia="宋体"/>
                <w:strike w:val="0"/>
                <w:dstrike w:val="0"/>
                <w:color w:val="auto"/>
                <w:sz w:val="15"/>
                <w:szCs w:val="15"/>
                <w:highlight w:val="none"/>
                <w:u w:val="none"/>
              </w:rPr>
              <w:t>00×（1+</w:t>
            </w:r>
            <w:r>
              <w:rPr>
                <w:rFonts w:hint="eastAsia" w:ascii="宋体" w:hAnsi="宋体" w:eastAsia="宋体"/>
                <w:strike w:val="0"/>
                <w:dstrike w:val="0"/>
                <w:color w:val="auto"/>
                <w:sz w:val="15"/>
                <w:szCs w:val="15"/>
                <w:highlight w:val="none"/>
                <w:u w:val="none"/>
                <w:lang w:eastAsia="zh-CN"/>
              </w:rPr>
              <w:t>情节</w:t>
            </w:r>
            <w:r>
              <w:rPr>
                <w:rFonts w:hint="eastAsia" w:ascii="宋体" w:hAnsi="宋体" w:eastAsia="宋体"/>
                <w:strike w:val="0"/>
                <w:dstrike w:val="0"/>
                <w:color w:val="auto"/>
                <w:sz w:val="15"/>
                <w:szCs w:val="15"/>
                <w:highlight w:val="none"/>
                <w:u w:val="none"/>
              </w:rPr>
              <w:t>系数）</w:t>
            </w:r>
          </w:p>
        </w:tc>
        <w:tc>
          <w:tcPr>
            <w:tcW w:w="1982" w:type="dxa"/>
            <w:gridSpan w:val="2"/>
            <w:shd w:val="clear" w:color="auto" w:fill="auto"/>
            <w:vAlign w:val="center"/>
          </w:tcPr>
          <w:p w14:paraId="512A711C">
            <w:pPr>
              <w:keepNext w:val="0"/>
              <w:keepLines w:val="0"/>
              <w:pageBreakBefore w:val="0"/>
              <w:kinsoku/>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u w:val="none"/>
                <w:lang w:val="en-US" w:eastAsia="zh-CN"/>
              </w:rPr>
              <w:t>2026年5月1日前</w:t>
            </w:r>
            <w:r>
              <w:rPr>
                <w:rFonts w:hint="eastAsia" w:ascii="宋体" w:hAnsi="宋体" w:eastAsia="宋体"/>
                <w:strike w:val="0"/>
                <w:dstrike w:val="0"/>
                <w:color w:val="auto"/>
                <w:sz w:val="15"/>
                <w:szCs w:val="15"/>
                <w:highlight w:val="none"/>
                <w:u w:val="none"/>
              </w:rPr>
              <w:t>按照《北京市非机动车管理条例》进行查处。</w:t>
            </w:r>
          </w:p>
        </w:tc>
      </w:tr>
      <w:tr w14:paraId="3DEBA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4" w:hRule="atLeast"/>
          <w:jc w:val="center"/>
        </w:trPr>
        <w:tc>
          <w:tcPr>
            <w:tcW w:w="610" w:type="dxa"/>
            <w:vMerge w:val="continue"/>
            <w:shd w:val="clear" w:color="auto" w:fill="auto"/>
            <w:vAlign w:val="center"/>
          </w:tcPr>
          <w:p w14:paraId="05D54E43">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65167376">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789" w:type="dxa"/>
            <w:gridSpan w:val="2"/>
            <w:shd w:val="clear" w:color="auto" w:fill="auto"/>
            <w:vAlign w:val="center"/>
          </w:tcPr>
          <w:p w14:paraId="255BC53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shd w:val="clear" w:color="auto" w:fill="auto"/>
            <w:vAlign w:val="center"/>
          </w:tcPr>
          <w:p w14:paraId="5D21160B">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shd w:val="clear" w:color="auto" w:fill="auto"/>
            <w:vAlign w:val="center"/>
          </w:tcPr>
          <w:p w14:paraId="7096ED99">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shd w:val="clear" w:color="auto" w:fill="auto"/>
            <w:vAlign w:val="center"/>
          </w:tcPr>
          <w:p w14:paraId="008D3F12">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14:paraId="006604DF">
            <w:pPr>
              <w:keepNext w:val="0"/>
              <w:keepLines w:val="0"/>
              <w:pageBreakBefore w:val="0"/>
              <w:kinsoku/>
              <w:overflowPunct/>
              <w:topLinePunct w:val="0"/>
              <w:autoSpaceDE/>
              <w:autoSpaceDN/>
              <w:bidi w:val="0"/>
              <w:adjustRightInd/>
              <w:snapToGrid/>
              <w:spacing w:before="100" w:beforeAutospacing="1" w:after="100" w:afterAutospacing="1" w:line="240" w:lineRule="auto"/>
              <w:jc w:val="left"/>
              <w:rPr>
                <w:rFonts w:cs="Arial" w:asciiTheme="minorEastAsia" w:hAnsiTheme="minorEastAsia" w:eastAsiaTheme="minorEastAsia"/>
                <w:color w:val="auto"/>
                <w:kern w:val="0"/>
                <w:sz w:val="15"/>
                <w:szCs w:val="15"/>
                <w:highlight w:val="none"/>
              </w:rPr>
            </w:pPr>
            <w:r>
              <w:rPr>
                <w:rFonts w:hint="eastAsia" w:ascii="宋体" w:hAnsi="宋体" w:eastAsia="宋体"/>
                <w:strike w:val="0"/>
                <w:dstrike w:val="0"/>
                <w:color w:val="auto"/>
                <w:sz w:val="15"/>
                <w:szCs w:val="15"/>
                <w:highlight w:val="none"/>
                <w:u w:val="none"/>
              </w:rPr>
              <w:t>罚款数额＝</w:t>
            </w:r>
            <w:r>
              <w:rPr>
                <w:rFonts w:hint="eastAsia" w:ascii="宋体" w:hAnsi="宋体" w:eastAsia="宋体"/>
                <w:strike w:val="0"/>
                <w:dstrike w:val="0"/>
                <w:color w:val="auto"/>
                <w:sz w:val="15"/>
                <w:szCs w:val="15"/>
                <w:highlight w:val="none"/>
                <w:u w:val="none"/>
                <w:lang w:val="en-US" w:eastAsia="zh-CN"/>
              </w:rPr>
              <w:t>10</w:t>
            </w:r>
            <w:r>
              <w:rPr>
                <w:rFonts w:hint="eastAsia" w:ascii="宋体" w:hAnsi="宋体" w:eastAsia="宋体"/>
                <w:strike w:val="0"/>
                <w:dstrike w:val="0"/>
                <w:color w:val="auto"/>
                <w:sz w:val="15"/>
                <w:szCs w:val="15"/>
                <w:highlight w:val="none"/>
                <w:u w:val="none"/>
              </w:rPr>
              <w:t>00×（1+</w:t>
            </w:r>
            <w:r>
              <w:rPr>
                <w:rFonts w:hint="eastAsia" w:ascii="宋体" w:hAnsi="宋体" w:eastAsia="宋体"/>
                <w:strike w:val="0"/>
                <w:dstrike w:val="0"/>
                <w:color w:val="auto"/>
                <w:sz w:val="15"/>
                <w:szCs w:val="15"/>
                <w:highlight w:val="none"/>
                <w:u w:val="none"/>
                <w:lang w:eastAsia="zh-CN"/>
              </w:rPr>
              <w:t>情节</w:t>
            </w:r>
            <w:r>
              <w:rPr>
                <w:rFonts w:hint="eastAsia" w:ascii="宋体" w:hAnsi="宋体" w:eastAsia="宋体"/>
                <w:strike w:val="0"/>
                <w:dstrike w:val="0"/>
                <w:color w:val="auto"/>
                <w:sz w:val="15"/>
                <w:szCs w:val="15"/>
                <w:highlight w:val="none"/>
                <w:u w:val="none"/>
              </w:rPr>
              <w:t>系数）</w:t>
            </w:r>
          </w:p>
        </w:tc>
        <w:tc>
          <w:tcPr>
            <w:tcW w:w="1982" w:type="dxa"/>
            <w:gridSpan w:val="2"/>
            <w:shd w:val="clear" w:color="auto" w:fill="auto"/>
            <w:vAlign w:val="center"/>
          </w:tcPr>
          <w:p w14:paraId="398B2397">
            <w:pPr>
              <w:keepNext w:val="0"/>
              <w:keepLines w:val="0"/>
              <w:pageBreakBefore w:val="0"/>
              <w:kinsoku/>
              <w:overflowPunct/>
              <w:topLinePunct w:val="0"/>
              <w:autoSpaceDE/>
              <w:autoSpaceDN/>
              <w:bidi w:val="0"/>
              <w:adjustRightInd/>
              <w:snapToGrid/>
              <w:spacing w:before="100" w:beforeAutospacing="1" w:after="100" w:afterAutospacing="1" w:line="240" w:lineRule="auto"/>
              <w:jc w:val="both"/>
              <w:rPr>
                <w:rFonts w:cs="Arial" w:asciiTheme="minorEastAsia" w:hAnsiTheme="minorEastAsia" w:eastAsiaTheme="minorEastAsia"/>
                <w:color w:val="auto"/>
                <w:kern w:val="0"/>
                <w:sz w:val="15"/>
                <w:szCs w:val="15"/>
                <w:highlight w:val="none"/>
              </w:rPr>
            </w:pPr>
            <w:r>
              <w:rPr>
                <w:rFonts w:hint="eastAsia" w:ascii="宋体" w:hAnsi="宋体" w:eastAsia="宋体"/>
                <w:strike w:val="0"/>
                <w:dstrike w:val="0"/>
                <w:color w:val="auto"/>
                <w:sz w:val="15"/>
                <w:szCs w:val="15"/>
                <w:highlight w:val="none"/>
                <w:u w:val="none"/>
                <w:lang w:val="en-US" w:eastAsia="zh-CN"/>
              </w:rPr>
              <w:t>2026年5月1日起废止</w:t>
            </w:r>
          </w:p>
        </w:tc>
      </w:tr>
      <w:tr w14:paraId="7B75B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02271C90">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830" w:type="dxa"/>
            <w:gridSpan w:val="3"/>
            <w:shd w:val="clear" w:color="auto" w:fill="auto"/>
            <w:vAlign w:val="center"/>
          </w:tcPr>
          <w:p w14:paraId="01048D9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非机动车公共停车场的经营、管理单位拒绝接受指导和监督检查</w:t>
            </w:r>
          </w:p>
        </w:tc>
        <w:tc>
          <w:tcPr>
            <w:tcW w:w="2789" w:type="dxa"/>
            <w:gridSpan w:val="2"/>
            <w:shd w:val="clear" w:color="auto" w:fill="auto"/>
            <w:vAlign w:val="center"/>
          </w:tcPr>
          <w:p w14:paraId="6DC2186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违反条款：《北京市非机动车停车管理办法》第十一条第一款第（三）项；</w:t>
            </w:r>
          </w:p>
          <w:p w14:paraId="3B8929C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14:paraId="676A5BC7">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17847C79">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7AF943DA">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14:paraId="15054D5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4F903142">
            <w:pPr>
              <w:spacing w:line="232" w:lineRule="exact"/>
              <w:jc w:val="center"/>
              <w:rPr>
                <w:rFonts w:asciiTheme="minorEastAsia" w:hAnsiTheme="minorEastAsia" w:eastAsiaTheme="minorEastAsia"/>
                <w:color w:val="auto"/>
                <w:sz w:val="15"/>
                <w:szCs w:val="15"/>
                <w:highlight w:val="none"/>
              </w:rPr>
            </w:pPr>
          </w:p>
        </w:tc>
      </w:tr>
      <w:tr w14:paraId="3CC85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81" w:hRule="atLeast"/>
          <w:jc w:val="center"/>
        </w:trPr>
        <w:tc>
          <w:tcPr>
            <w:tcW w:w="610" w:type="dxa"/>
            <w:vMerge w:val="restart"/>
            <w:shd w:val="clear" w:color="auto" w:fill="auto"/>
            <w:vAlign w:val="center"/>
          </w:tcPr>
          <w:p w14:paraId="20445469">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6</w:t>
            </w:r>
          </w:p>
        </w:tc>
        <w:tc>
          <w:tcPr>
            <w:tcW w:w="1830" w:type="dxa"/>
            <w:gridSpan w:val="3"/>
            <w:vMerge w:val="restart"/>
            <w:shd w:val="clear" w:color="auto" w:fill="auto"/>
            <w:vAlign w:val="center"/>
          </w:tcPr>
          <w:p w14:paraId="343899C5">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未保证非机动车公共停车场内的停车秩序（环境卫生、停车安全）</w:t>
            </w:r>
          </w:p>
        </w:tc>
        <w:tc>
          <w:tcPr>
            <w:tcW w:w="2789" w:type="dxa"/>
            <w:gridSpan w:val="2"/>
            <w:shd w:val="clear" w:color="auto" w:fill="auto"/>
            <w:vAlign w:val="center"/>
          </w:tcPr>
          <w:p w14:paraId="6DAA9351">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违反条款：《北京市非机动车停车管理办法》第十一条第一款第（五）项；</w:t>
            </w:r>
          </w:p>
          <w:p w14:paraId="62CE2B37">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14:paraId="375011CA">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14:paraId="364AE0B5">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shd w:val="clear" w:color="auto" w:fill="auto"/>
            <w:vAlign w:val="center"/>
          </w:tcPr>
          <w:p w14:paraId="12D2BE94">
            <w:pPr>
              <w:spacing w:line="19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14:paraId="331BB344">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007D9E64">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适用于查处“未保证良好的环境卫生”行为。</w:t>
            </w:r>
          </w:p>
        </w:tc>
      </w:tr>
      <w:tr w14:paraId="78795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09" w:hRule="atLeast"/>
          <w:jc w:val="center"/>
        </w:trPr>
        <w:tc>
          <w:tcPr>
            <w:tcW w:w="610" w:type="dxa"/>
            <w:vMerge w:val="continue"/>
            <w:shd w:val="clear" w:color="auto" w:fill="auto"/>
            <w:vAlign w:val="center"/>
          </w:tcPr>
          <w:p w14:paraId="31617BF4">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830" w:type="dxa"/>
            <w:gridSpan w:val="3"/>
            <w:vMerge w:val="continue"/>
            <w:shd w:val="clear" w:color="auto" w:fill="auto"/>
            <w:vAlign w:val="center"/>
          </w:tcPr>
          <w:p w14:paraId="08D0DC2F">
            <w:pPr>
              <w:spacing w:line="204" w:lineRule="exact"/>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14:paraId="07026620">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违反条款：《北京市非机动车管理条例》第二十三条第（二）项。</w:t>
            </w:r>
          </w:p>
          <w:p w14:paraId="38BBE5A4">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shd w:val="clear" w:color="auto" w:fill="auto"/>
            <w:vAlign w:val="center"/>
          </w:tcPr>
          <w:p w14:paraId="2E953806">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r>
              <w:rPr>
                <w:rFonts w:cs="Arial" w:asciiTheme="minorEastAsia" w:hAnsiTheme="minorEastAsia" w:eastAsiaTheme="minorEastAsia"/>
                <w:color w:val="auto"/>
                <w:kern w:val="0"/>
                <w:sz w:val="15"/>
                <w:szCs w:val="15"/>
                <w:highlight w:val="none"/>
              </w:rPr>
              <w:t>000</w:t>
            </w:r>
          </w:p>
        </w:tc>
        <w:tc>
          <w:tcPr>
            <w:tcW w:w="840" w:type="dxa"/>
            <w:shd w:val="clear" w:color="auto" w:fill="auto"/>
            <w:vAlign w:val="center"/>
          </w:tcPr>
          <w:p w14:paraId="4BDEE9C9">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3426" w:type="dxa"/>
            <w:shd w:val="clear" w:color="auto" w:fill="auto"/>
            <w:vAlign w:val="center"/>
          </w:tcPr>
          <w:p w14:paraId="7115F81C">
            <w:pPr>
              <w:spacing w:line="190"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14:paraId="176A5781">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0B9D2A6A">
            <w:pPr>
              <w:spacing w:line="19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适用于查处“未保障停车场内的停车秩序和停车安全”行为。</w:t>
            </w:r>
          </w:p>
          <w:p w14:paraId="34BAF797">
            <w:pPr>
              <w:spacing w:line="190" w:lineRule="exact"/>
              <w:rPr>
                <w:rFonts w:hint="eastAsia" w:asciiTheme="minorEastAsia" w:hAnsiTheme="minorEastAsia" w:eastAsiaTheme="minorEastAsia"/>
                <w:color w:val="auto"/>
                <w:sz w:val="15"/>
                <w:szCs w:val="15"/>
                <w:highlight w:val="none"/>
              </w:rPr>
            </w:pPr>
            <w:r>
              <w:rPr>
                <w:rFonts w:hint="eastAsia" w:ascii="宋体" w:hAnsi="宋体" w:eastAsia="宋体"/>
                <w:strike w:val="0"/>
                <w:dstrike w:val="0"/>
                <w:color w:val="auto"/>
                <w:sz w:val="15"/>
                <w:szCs w:val="15"/>
                <w:highlight w:val="none"/>
                <w:u w:val="none"/>
                <w:lang w:eastAsia="zh-CN"/>
              </w:rPr>
              <w:t>（</w:t>
            </w:r>
            <w:r>
              <w:rPr>
                <w:rFonts w:hint="eastAsia" w:ascii="宋体" w:hAnsi="宋体" w:eastAsia="宋体"/>
                <w:strike w:val="0"/>
                <w:dstrike w:val="0"/>
                <w:color w:val="auto"/>
                <w:sz w:val="15"/>
                <w:szCs w:val="15"/>
                <w:highlight w:val="none"/>
                <w:u w:val="none"/>
                <w:lang w:val="en-US" w:eastAsia="zh-CN"/>
              </w:rPr>
              <w:t>2026年5月1日起废止</w:t>
            </w:r>
            <w:r>
              <w:rPr>
                <w:rFonts w:hint="eastAsia" w:ascii="宋体" w:hAnsi="宋体" w:eastAsia="宋体"/>
                <w:strike w:val="0"/>
                <w:dstrike w:val="0"/>
                <w:color w:val="auto"/>
                <w:sz w:val="15"/>
                <w:szCs w:val="15"/>
                <w:highlight w:val="none"/>
                <w:u w:val="none"/>
                <w:lang w:eastAsia="zh-CN"/>
              </w:rPr>
              <w:t>）</w:t>
            </w:r>
          </w:p>
        </w:tc>
      </w:tr>
      <w:tr w14:paraId="094FE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55" w:hRule="atLeast"/>
          <w:jc w:val="center"/>
        </w:trPr>
        <w:tc>
          <w:tcPr>
            <w:tcW w:w="610" w:type="dxa"/>
            <w:shd w:val="clear" w:color="auto" w:fill="auto"/>
            <w:vAlign w:val="center"/>
          </w:tcPr>
          <w:p w14:paraId="59D70059">
            <w:pPr>
              <w:keepNext w:val="0"/>
              <w:keepLines w:val="0"/>
              <w:pageBreakBefore w:val="0"/>
              <w:kinsoku/>
              <w:overflowPunct/>
              <w:topLinePunct w:val="0"/>
              <w:autoSpaceDE/>
              <w:autoSpaceDN/>
              <w:bidi w:val="0"/>
              <w:adjustRightInd/>
              <w:snapToGrid/>
              <w:spacing w:line="240" w:lineRule="auto"/>
              <w:jc w:val="center"/>
              <w:rPr>
                <w:rFonts w:hint="eastAsia" w:cs="Arial" w:asciiTheme="minorEastAsia" w:hAnsiTheme="minorEastAsia" w:eastAsiaTheme="minorEastAsia"/>
                <w:b/>
                <w:color w:val="auto"/>
                <w:kern w:val="0"/>
                <w:sz w:val="15"/>
                <w:szCs w:val="15"/>
                <w:highlight w:val="none"/>
                <w:lang w:eastAsia="zh-CN"/>
              </w:rPr>
            </w:pPr>
            <w:bookmarkStart w:id="137" w:name="_Toc110851480"/>
            <w:bookmarkStart w:id="138" w:name="_Toc2072679585"/>
            <w:r>
              <w:rPr>
                <w:rFonts w:hint="eastAsia" w:ascii="宋体" w:hAnsi="宋体" w:eastAsia="宋体"/>
                <w:color w:val="auto"/>
                <w:sz w:val="15"/>
                <w:szCs w:val="15"/>
                <w:highlight w:val="none"/>
                <w:lang w:val="en-US" w:eastAsia="zh-CN"/>
              </w:rPr>
              <w:t>7</w:t>
            </w:r>
          </w:p>
        </w:tc>
        <w:tc>
          <w:tcPr>
            <w:tcW w:w="1830" w:type="dxa"/>
            <w:gridSpan w:val="3"/>
            <w:shd w:val="clear" w:color="auto" w:fill="auto"/>
            <w:vAlign w:val="center"/>
          </w:tcPr>
          <w:p w14:paraId="312236E4">
            <w:pPr>
              <w:keepNext w:val="0"/>
              <w:keepLines w:val="0"/>
              <w:pageBreakBefore w:val="0"/>
              <w:widowControl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eastAsia="zh-CN"/>
              </w:rPr>
              <w:t>非机动车在步行绿道、滨水步道通行</w:t>
            </w:r>
          </w:p>
        </w:tc>
        <w:tc>
          <w:tcPr>
            <w:tcW w:w="2789" w:type="dxa"/>
            <w:gridSpan w:val="2"/>
            <w:shd w:val="clear" w:color="auto" w:fill="auto"/>
            <w:vAlign w:val="center"/>
          </w:tcPr>
          <w:p w14:paraId="7C9A471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lang w:val="en-US" w:eastAsia="zh-CN"/>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《北京市非机动车管理条例》第二十七条第一款；</w:t>
            </w:r>
          </w:p>
          <w:p w14:paraId="15A8901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val="en-US" w:eastAsia="zh-CN"/>
              </w:rPr>
              <w:t>处罚条款：《北京市非机动车管理条例》第四</w:t>
            </w:r>
            <w:r>
              <w:rPr>
                <w:rFonts w:hint="eastAsia" w:ascii="宋体" w:hAnsi="宋体" w:eastAsia="宋体" w:cs="宋体"/>
                <w:color w:val="auto"/>
                <w:sz w:val="15"/>
                <w:szCs w:val="15"/>
                <w:highlight w:val="none"/>
                <w:lang w:eastAsia="zh-CN"/>
              </w:rPr>
              <w:t>十七</w:t>
            </w:r>
            <w:r>
              <w:rPr>
                <w:rFonts w:hint="eastAsia" w:ascii="宋体" w:hAnsi="宋体" w:eastAsia="宋体" w:cs="宋体"/>
                <w:color w:val="auto"/>
                <w:sz w:val="15"/>
                <w:szCs w:val="15"/>
                <w:highlight w:val="none"/>
              </w:rPr>
              <w:t xml:space="preserve">条 </w:t>
            </w:r>
            <w:r>
              <w:rPr>
                <w:rFonts w:hint="eastAsia" w:ascii="宋体" w:hAnsi="宋体" w:eastAsia="宋体" w:cs="宋体"/>
                <w:color w:val="auto"/>
                <w:sz w:val="15"/>
                <w:szCs w:val="15"/>
                <w:highlight w:val="none"/>
                <w:lang w:val="en-US" w:eastAsia="zh-CN"/>
              </w:rPr>
              <w:t xml:space="preserve"> 违反本条例第二十七条第一款有关步行绿道、滨水步道通行规定的，由园林绿化、城市管理综合行政执法部门或者街道办事处、乡镇人民政府按照职责分工责令改正，处警告或者五元以上五十元以下罚款。</w:t>
            </w:r>
          </w:p>
        </w:tc>
        <w:tc>
          <w:tcPr>
            <w:tcW w:w="851" w:type="dxa"/>
            <w:shd w:val="clear" w:color="auto" w:fill="auto"/>
            <w:vAlign w:val="center"/>
          </w:tcPr>
          <w:p w14:paraId="259D5A9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Arial" w:asciiTheme="minorEastAsia" w:hAnsiTheme="minorEastAsia" w:eastAsiaTheme="minorEastAsia"/>
                <w:color w:val="auto"/>
                <w:kern w:val="0"/>
                <w:sz w:val="15"/>
                <w:szCs w:val="15"/>
                <w:highlight w:val="none"/>
              </w:rPr>
            </w:pPr>
          </w:p>
        </w:tc>
        <w:tc>
          <w:tcPr>
            <w:tcW w:w="840" w:type="dxa"/>
            <w:shd w:val="clear" w:color="auto" w:fill="auto"/>
            <w:vAlign w:val="center"/>
          </w:tcPr>
          <w:p w14:paraId="708D116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Arial" w:asciiTheme="minorEastAsia" w:hAnsiTheme="minorEastAsia" w:eastAsiaTheme="minorEastAsia"/>
                <w:color w:val="auto"/>
                <w:kern w:val="0"/>
                <w:sz w:val="15"/>
                <w:szCs w:val="15"/>
                <w:highlight w:val="none"/>
              </w:rPr>
            </w:pPr>
          </w:p>
        </w:tc>
        <w:tc>
          <w:tcPr>
            <w:tcW w:w="3426" w:type="dxa"/>
            <w:shd w:val="clear" w:color="auto" w:fill="auto"/>
            <w:vAlign w:val="center"/>
          </w:tcPr>
          <w:p w14:paraId="4BFB8D4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hint="eastAsia" w:asciiTheme="minorEastAsia" w:hAnsiTheme="minorEastAsia" w:eastAsiaTheme="minorEastAsia"/>
                <w:strike w:val="0"/>
                <w:dstrike w:val="0"/>
                <w:color w:val="auto"/>
                <w:sz w:val="15"/>
                <w:szCs w:val="15"/>
                <w:highlight w:val="none"/>
              </w:rPr>
            </w:pPr>
          </w:p>
        </w:tc>
        <w:tc>
          <w:tcPr>
            <w:tcW w:w="1875" w:type="dxa"/>
            <w:gridSpan w:val="2"/>
            <w:shd w:val="clear" w:color="auto" w:fill="auto"/>
            <w:vAlign w:val="center"/>
          </w:tcPr>
          <w:p w14:paraId="54EBCDB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olor w:val="auto"/>
                <w:sz w:val="15"/>
                <w:szCs w:val="15"/>
                <w:highlight w:val="none"/>
              </w:rPr>
            </w:pPr>
          </w:p>
        </w:tc>
        <w:tc>
          <w:tcPr>
            <w:tcW w:w="1982" w:type="dxa"/>
            <w:gridSpan w:val="2"/>
            <w:shd w:val="clear" w:color="auto" w:fill="auto"/>
            <w:vAlign w:val="center"/>
          </w:tcPr>
          <w:p w14:paraId="1B1CCC2F">
            <w:pPr>
              <w:rPr>
                <w:rFonts w:hint="eastAsia" w:ascii="宋体" w:hAnsi="宋体" w:eastAsia="宋体" w:cs="宋体"/>
                <w:color w:val="auto"/>
                <w:kern w:val="2"/>
                <w:sz w:val="15"/>
                <w:szCs w:val="15"/>
                <w:highlight w:val="none"/>
                <w:lang w:val="en-US" w:eastAsia="zh-CN" w:bidi="ar-SA"/>
              </w:rPr>
            </w:pPr>
            <w:r>
              <w:rPr>
                <w:rFonts w:hint="eastAsia" w:ascii="宋体" w:hAnsi="宋体" w:eastAsia="宋体" w:cs="宋体"/>
                <w:color w:val="auto"/>
                <w:kern w:val="2"/>
                <w:sz w:val="15"/>
                <w:szCs w:val="15"/>
                <w:highlight w:val="none"/>
                <w:lang w:val="en-US" w:eastAsia="zh-CN" w:bidi="ar-SA"/>
              </w:rPr>
              <w:t>初次</w:t>
            </w:r>
            <w:r>
              <w:rPr>
                <w:rFonts w:hint="eastAsia" w:ascii="宋体" w:hAnsi="宋体" w:cs="宋体"/>
                <w:color w:val="auto"/>
                <w:kern w:val="2"/>
                <w:sz w:val="15"/>
                <w:szCs w:val="15"/>
                <w:highlight w:val="none"/>
                <w:lang w:val="en-US" w:eastAsia="zh-CN" w:bidi="ar-SA"/>
              </w:rPr>
              <w:t>违反</w:t>
            </w:r>
            <w:r>
              <w:rPr>
                <w:rFonts w:hint="eastAsia" w:ascii="宋体" w:hAnsi="宋体" w:eastAsia="宋体" w:cs="宋体"/>
                <w:color w:val="auto"/>
                <w:kern w:val="2"/>
                <w:sz w:val="15"/>
                <w:szCs w:val="15"/>
                <w:highlight w:val="none"/>
                <w:lang w:val="en-US" w:eastAsia="zh-CN" w:bidi="ar-SA"/>
              </w:rPr>
              <w:t>且拒不改正的，警告；</w:t>
            </w:r>
          </w:p>
          <w:p w14:paraId="5D788B3A">
            <w:pPr>
              <w:rPr>
                <w:rFonts w:hint="default" w:ascii="宋体" w:hAnsi="宋体" w:eastAsia="宋体" w:cs="宋体"/>
                <w:color w:val="auto"/>
                <w:kern w:val="2"/>
                <w:sz w:val="15"/>
                <w:szCs w:val="15"/>
                <w:highlight w:val="none"/>
                <w:lang w:val="en-US" w:eastAsia="zh-CN" w:bidi="ar-SA"/>
              </w:rPr>
            </w:pPr>
            <w:r>
              <w:rPr>
                <w:rFonts w:hint="eastAsia" w:ascii="宋体" w:hAnsi="宋体" w:eastAsia="宋体" w:cs="宋体"/>
                <w:color w:val="auto"/>
                <w:kern w:val="2"/>
                <w:sz w:val="15"/>
                <w:szCs w:val="15"/>
                <w:highlight w:val="none"/>
                <w:lang w:val="en-US" w:eastAsia="zh-CN" w:bidi="ar-SA"/>
              </w:rPr>
              <w:t>再次</w:t>
            </w:r>
            <w:r>
              <w:rPr>
                <w:rFonts w:hint="eastAsia" w:ascii="宋体" w:hAnsi="宋体" w:cs="宋体"/>
                <w:color w:val="auto"/>
                <w:kern w:val="2"/>
                <w:sz w:val="15"/>
                <w:szCs w:val="15"/>
                <w:highlight w:val="none"/>
                <w:lang w:val="en-US" w:eastAsia="zh-CN" w:bidi="ar-SA"/>
              </w:rPr>
              <w:t>违反</w:t>
            </w:r>
            <w:r>
              <w:rPr>
                <w:rFonts w:hint="eastAsia" w:ascii="宋体" w:hAnsi="宋体" w:eastAsia="宋体" w:cs="宋体"/>
                <w:color w:val="auto"/>
                <w:kern w:val="2"/>
                <w:sz w:val="15"/>
                <w:szCs w:val="15"/>
                <w:highlight w:val="none"/>
                <w:lang w:val="en-US" w:eastAsia="zh-CN" w:bidi="ar-SA"/>
              </w:rPr>
              <w:t>的，处以罚款。</w:t>
            </w:r>
          </w:p>
          <w:p w14:paraId="65B71042">
            <w:pPr>
              <w:pStyle w:val="9"/>
              <w:keepNext w:val="0"/>
              <w:keepLines w:val="0"/>
              <w:pageBreakBefore w:val="0"/>
              <w:kinsoku/>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kern w:val="2"/>
                <w:sz w:val="15"/>
                <w:szCs w:val="15"/>
                <w:highlight w:val="none"/>
                <w:lang w:val="en-US" w:eastAsia="zh-CN" w:bidi="ar-SA"/>
              </w:rPr>
              <w:t>（2026年5月1日开始执行）</w:t>
            </w:r>
          </w:p>
        </w:tc>
      </w:tr>
      <w:tr w14:paraId="17E90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55" w:hRule="atLeast"/>
          <w:jc w:val="center"/>
        </w:trPr>
        <w:tc>
          <w:tcPr>
            <w:tcW w:w="610" w:type="dxa"/>
            <w:shd w:val="clear" w:color="auto" w:fill="auto"/>
            <w:vAlign w:val="center"/>
          </w:tcPr>
          <w:p w14:paraId="13A30E2F">
            <w:pPr>
              <w:keepNext w:val="0"/>
              <w:keepLines w:val="0"/>
              <w:pageBreakBefore w:val="0"/>
              <w:kinsoku/>
              <w:overflowPunct/>
              <w:topLinePunct w:val="0"/>
              <w:autoSpaceDE/>
              <w:autoSpaceDN/>
              <w:bidi w:val="0"/>
              <w:adjustRightInd/>
              <w:snapToGrid/>
              <w:spacing w:line="240" w:lineRule="auto"/>
              <w:jc w:val="center"/>
              <w:rPr>
                <w:rFonts w:cs="Arial" w:asciiTheme="minorEastAsia" w:hAnsiTheme="minorEastAsia" w:eastAsiaTheme="minorEastAsia"/>
                <w:b/>
                <w:color w:val="auto"/>
                <w:kern w:val="0"/>
                <w:sz w:val="15"/>
                <w:szCs w:val="15"/>
                <w:highlight w:val="none"/>
              </w:rPr>
            </w:pPr>
            <w:r>
              <w:rPr>
                <w:rFonts w:hint="eastAsia" w:ascii="宋体" w:hAnsi="宋体" w:eastAsia="宋体"/>
                <w:color w:val="auto"/>
                <w:sz w:val="15"/>
                <w:szCs w:val="15"/>
                <w:highlight w:val="none"/>
                <w:lang w:val="en-US" w:eastAsia="zh-CN"/>
              </w:rPr>
              <w:t>8</w:t>
            </w:r>
          </w:p>
        </w:tc>
        <w:tc>
          <w:tcPr>
            <w:tcW w:w="1830" w:type="dxa"/>
            <w:gridSpan w:val="3"/>
            <w:shd w:val="clear" w:color="auto" w:fill="auto"/>
            <w:vAlign w:val="center"/>
          </w:tcPr>
          <w:p w14:paraId="1CEDF4FA">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eastAsia="zh-CN"/>
              </w:rPr>
              <w:t>侵占、擅自停止使用非机动车停车设施或者将停车设施挪作他用</w:t>
            </w:r>
          </w:p>
        </w:tc>
        <w:tc>
          <w:tcPr>
            <w:tcW w:w="2789" w:type="dxa"/>
            <w:gridSpan w:val="2"/>
            <w:shd w:val="clear" w:color="auto" w:fill="auto"/>
            <w:vAlign w:val="center"/>
          </w:tcPr>
          <w:p w14:paraId="22F662F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三十条</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六</w:t>
            </w:r>
            <w:r>
              <w:rPr>
                <w:rFonts w:hint="eastAsia" w:ascii="宋体" w:hAnsi="宋体" w:eastAsia="宋体" w:cs="宋体"/>
                <w:color w:val="auto"/>
                <w:sz w:val="15"/>
                <w:szCs w:val="15"/>
                <w:highlight w:val="none"/>
              </w:rPr>
              <w:t>款；</w:t>
            </w:r>
          </w:p>
          <w:p w14:paraId="2A519AB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四十八</w:t>
            </w:r>
            <w:r>
              <w:rPr>
                <w:rFonts w:hint="eastAsia" w:ascii="宋体" w:hAnsi="宋体" w:eastAsia="宋体" w:cs="宋体"/>
                <w:color w:val="auto"/>
                <w:sz w:val="15"/>
                <w:szCs w:val="15"/>
                <w:highlight w:val="none"/>
              </w:rPr>
              <w:t xml:space="preserve">条 </w:t>
            </w:r>
            <w:r>
              <w:rPr>
                <w:rFonts w:hint="eastAsia" w:ascii="宋体" w:hAnsi="宋体" w:eastAsia="宋体" w:cs="宋体"/>
                <w:color w:val="auto"/>
                <w:sz w:val="15"/>
                <w:szCs w:val="15"/>
                <w:highlight w:val="none"/>
                <w:lang w:val="en-US" w:eastAsia="zh-CN"/>
              </w:rPr>
              <w:t xml:space="preserve"> 违反本条例第三十条第六款规定，侵占、擅自停止使用非机动车停车设施或者将其挪作他用的，由城市管理综合行政执法部门责令改正，处五百元以上一千元以下罚款。</w:t>
            </w:r>
          </w:p>
        </w:tc>
        <w:tc>
          <w:tcPr>
            <w:tcW w:w="851" w:type="dxa"/>
            <w:shd w:val="clear" w:color="auto" w:fill="auto"/>
            <w:vAlign w:val="center"/>
          </w:tcPr>
          <w:p w14:paraId="23422CF5">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w:t>
            </w:r>
          </w:p>
        </w:tc>
        <w:tc>
          <w:tcPr>
            <w:tcW w:w="840" w:type="dxa"/>
            <w:shd w:val="clear" w:color="auto" w:fill="auto"/>
            <w:vAlign w:val="center"/>
          </w:tcPr>
          <w:p w14:paraId="7F994FA8">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b/>
                <w:bCs/>
                <w:color w:val="auto"/>
                <w:kern w:val="0"/>
                <w:sz w:val="15"/>
                <w:szCs w:val="15"/>
                <w:highlight w:val="none"/>
                <w:lang w:val="en-US" w:eastAsia="zh-CN"/>
              </w:rPr>
              <w:t>1</w:t>
            </w:r>
          </w:p>
        </w:tc>
        <w:tc>
          <w:tcPr>
            <w:tcW w:w="3426" w:type="dxa"/>
            <w:shd w:val="clear" w:color="auto" w:fill="auto"/>
            <w:vAlign w:val="center"/>
          </w:tcPr>
          <w:p w14:paraId="23D10F86">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color w:val="auto"/>
                <w:sz w:val="15"/>
                <w:szCs w:val="15"/>
                <w:highlight w:val="none"/>
                <w:lang w:val="en-US" w:eastAsia="zh-CN"/>
              </w:rPr>
            </w:pPr>
            <w:r>
              <w:rPr>
                <w:rFonts w:hint="default" w:ascii="宋体" w:hAnsi="宋体" w:eastAsia="宋体" w:cs="宋体"/>
                <w:color w:val="auto"/>
                <w:sz w:val="15"/>
                <w:szCs w:val="15"/>
                <w:highlight w:val="none"/>
                <w:lang w:val="en-US" w:eastAsia="zh-CN"/>
              </w:rPr>
              <w:t>存在基准2.1.3规定情形的，系数按照相关规定确定</w:t>
            </w:r>
            <w:r>
              <w:rPr>
                <w:rFonts w:hint="eastAsia" w:ascii="宋体" w:hAnsi="宋体" w:eastAsia="宋体" w:cs="宋体"/>
                <w:color w:val="auto"/>
                <w:sz w:val="15"/>
                <w:szCs w:val="15"/>
                <w:highlight w:val="none"/>
                <w:lang w:val="en-US" w:eastAsia="zh-CN"/>
              </w:rPr>
              <w:t>。</w:t>
            </w:r>
          </w:p>
          <w:p w14:paraId="67EF5BBA">
            <w:pPr>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strike w:val="0"/>
                <w:dstrike w:val="0"/>
                <w:color w:val="auto"/>
                <w:sz w:val="15"/>
                <w:szCs w:val="15"/>
                <w:highlight w:val="none"/>
              </w:rPr>
            </w:pPr>
          </w:p>
        </w:tc>
        <w:tc>
          <w:tcPr>
            <w:tcW w:w="1875" w:type="dxa"/>
            <w:gridSpan w:val="2"/>
            <w:shd w:val="clear" w:color="auto" w:fill="auto"/>
            <w:vAlign w:val="center"/>
          </w:tcPr>
          <w:p w14:paraId="76CFD279">
            <w:pPr>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rPr>
              <w:t>5</w:t>
            </w:r>
            <w:r>
              <w:rPr>
                <w:rFonts w:hint="eastAsia" w:ascii="宋体" w:hAnsi="宋体" w:eastAsia="宋体" w:cs="宋体"/>
                <w:color w:val="auto"/>
                <w:sz w:val="15"/>
                <w:szCs w:val="15"/>
                <w:highlight w:val="none"/>
              </w:rPr>
              <w:t>00×（1＋</w:t>
            </w:r>
            <w:r>
              <w:rPr>
                <w:rFonts w:hint="eastAsia" w:ascii="宋体" w:hAnsi="宋体" w:eastAsia="宋体" w:cs="宋体"/>
                <w:color w:val="auto"/>
                <w:sz w:val="15"/>
                <w:szCs w:val="15"/>
                <w:highlight w:val="none"/>
                <w:lang w:eastAsia="zh-CN"/>
              </w:rPr>
              <w:t>情节系数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14:paraId="60212521">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2026年5月1日开始执行</w:t>
            </w:r>
            <w:r>
              <w:rPr>
                <w:rFonts w:hint="eastAsia" w:ascii="宋体" w:hAnsi="宋体" w:eastAsia="宋体" w:cs="宋体"/>
                <w:color w:val="auto"/>
                <w:sz w:val="15"/>
                <w:szCs w:val="15"/>
                <w:highlight w:val="none"/>
                <w:lang w:eastAsia="zh-CN"/>
              </w:rPr>
              <w:t>）</w:t>
            </w:r>
          </w:p>
        </w:tc>
      </w:tr>
      <w:tr w14:paraId="2316C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55" w:hRule="atLeast"/>
          <w:jc w:val="center"/>
        </w:trPr>
        <w:tc>
          <w:tcPr>
            <w:tcW w:w="610" w:type="dxa"/>
            <w:shd w:val="clear" w:color="auto" w:fill="auto"/>
            <w:vAlign w:val="center"/>
          </w:tcPr>
          <w:p w14:paraId="0AA87DE3">
            <w:pPr>
              <w:keepNext w:val="0"/>
              <w:keepLines w:val="0"/>
              <w:pageBreakBefore w:val="0"/>
              <w:kinsoku/>
              <w:overflowPunct/>
              <w:topLinePunct w:val="0"/>
              <w:autoSpaceDE/>
              <w:autoSpaceDN/>
              <w:bidi w:val="0"/>
              <w:adjustRightInd/>
              <w:snapToGrid/>
              <w:spacing w:line="240" w:lineRule="auto"/>
              <w:jc w:val="center"/>
              <w:rPr>
                <w:rFonts w:cs="Arial" w:asciiTheme="minorEastAsia" w:hAnsiTheme="minorEastAsia" w:eastAsiaTheme="minorEastAsia"/>
                <w:b/>
                <w:color w:val="auto"/>
                <w:kern w:val="0"/>
                <w:sz w:val="15"/>
                <w:szCs w:val="15"/>
                <w:highlight w:val="none"/>
              </w:rPr>
            </w:pPr>
            <w:r>
              <w:rPr>
                <w:rFonts w:hint="eastAsia" w:ascii="宋体" w:hAnsi="宋体" w:eastAsia="宋体"/>
                <w:color w:val="auto"/>
                <w:sz w:val="15"/>
                <w:szCs w:val="15"/>
                <w:highlight w:val="none"/>
                <w:lang w:val="en-US" w:eastAsia="zh-CN"/>
              </w:rPr>
              <w:t>9</w:t>
            </w:r>
          </w:p>
        </w:tc>
        <w:tc>
          <w:tcPr>
            <w:tcW w:w="1830" w:type="dxa"/>
            <w:gridSpan w:val="3"/>
            <w:shd w:val="clear" w:color="auto" w:fill="auto"/>
            <w:vAlign w:val="center"/>
          </w:tcPr>
          <w:p w14:paraId="2CD54A0B">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lang w:eastAsia="zh-CN"/>
              </w:rPr>
              <w:t>未按要求设置标识</w:t>
            </w:r>
            <w:r>
              <w:rPr>
                <w:rFonts w:hint="eastAsia" w:ascii="宋体" w:hAnsi="宋体" w:cs="宋体"/>
                <w:color w:val="auto"/>
                <w:sz w:val="15"/>
                <w:szCs w:val="15"/>
                <w:highlight w:val="none"/>
                <w:lang w:eastAsia="zh-CN"/>
              </w:rPr>
              <w:t>、标线</w:t>
            </w:r>
            <w:r>
              <w:rPr>
                <w:rFonts w:hint="eastAsia" w:ascii="宋体" w:hAnsi="宋体" w:eastAsia="宋体" w:cs="宋体"/>
                <w:color w:val="auto"/>
                <w:sz w:val="15"/>
                <w:szCs w:val="15"/>
                <w:highlight w:val="none"/>
                <w:lang w:eastAsia="zh-CN"/>
              </w:rPr>
              <w:t>及设施</w:t>
            </w:r>
          </w:p>
        </w:tc>
        <w:tc>
          <w:tcPr>
            <w:tcW w:w="2789" w:type="dxa"/>
            <w:gridSpan w:val="2"/>
            <w:shd w:val="clear" w:color="auto" w:fill="auto"/>
            <w:vAlign w:val="center"/>
          </w:tcPr>
          <w:p w14:paraId="49A3628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15"/>
                <w:szCs w:val="15"/>
                <w:highlight w:val="none"/>
              </w:rPr>
            </w:pPr>
            <w:r>
              <w:rPr>
                <w:rFonts w:hint="eastAsia" w:ascii="宋体" w:hAnsi="宋体" w:eastAsia="宋体" w:cs="宋体"/>
                <w:color w:val="auto"/>
                <w:sz w:val="15"/>
                <w:szCs w:val="15"/>
                <w:highlight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三十二条</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一</w:t>
            </w:r>
            <w:r>
              <w:rPr>
                <w:rFonts w:hint="eastAsia" w:ascii="宋体" w:hAnsi="宋体" w:eastAsia="宋体" w:cs="宋体"/>
                <w:color w:val="auto"/>
                <w:sz w:val="15"/>
                <w:szCs w:val="15"/>
                <w:highlight w:val="none"/>
              </w:rPr>
              <w:t>款；</w:t>
            </w:r>
          </w:p>
          <w:p w14:paraId="673E6C3C">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color w:val="auto"/>
                <w:sz w:val="15"/>
                <w:szCs w:val="15"/>
                <w:highlight w:val="none"/>
              </w:rPr>
              <w:t>第</w:t>
            </w:r>
            <w:r>
              <w:rPr>
                <w:rFonts w:hint="eastAsia" w:ascii="宋体" w:hAnsi="宋体" w:eastAsia="宋体" w:cs="宋体"/>
                <w:color w:val="auto"/>
                <w:sz w:val="15"/>
                <w:szCs w:val="15"/>
                <w:highlight w:val="none"/>
                <w:lang w:eastAsia="zh-CN"/>
              </w:rPr>
              <w:t>四十九</w:t>
            </w:r>
            <w:r>
              <w:rPr>
                <w:rFonts w:hint="eastAsia" w:ascii="宋体" w:hAnsi="宋体" w:eastAsia="宋体" w:cs="宋体"/>
                <w:color w:val="auto"/>
                <w:sz w:val="15"/>
                <w:szCs w:val="15"/>
                <w:highlight w:val="none"/>
              </w:rPr>
              <w:t>条</w:t>
            </w:r>
            <w:r>
              <w:rPr>
                <w:rFonts w:hint="eastAsia" w:ascii="宋体" w:hAnsi="宋体" w:eastAsia="宋体" w:cs="宋体"/>
                <w:color w:val="auto"/>
                <w:sz w:val="15"/>
                <w:szCs w:val="15"/>
                <w:highlight w:val="none"/>
                <w:lang w:val="en-US" w:eastAsia="zh-CN"/>
              </w:rPr>
              <w:t xml:space="preserve"> 非机动车停车场产权单位或者管理、使用单位违反本条例第三十二条第一款、第二款规定的，由城市管理综合行政执法部门责令改正，处一千元以上五千元以下罚款。</w:t>
            </w:r>
          </w:p>
        </w:tc>
        <w:tc>
          <w:tcPr>
            <w:tcW w:w="851" w:type="dxa"/>
            <w:shd w:val="clear" w:color="auto" w:fill="auto"/>
            <w:vAlign w:val="center"/>
          </w:tcPr>
          <w:p w14:paraId="07898A58">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color w:val="auto"/>
                <w:sz w:val="15"/>
                <w:szCs w:val="15"/>
                <w:highlight w:val="none"/>
                <w:lang w:val="en-US" w:eastAsia="zh-CN"/>
              </w:rPr>
              <w:t>1000</w:t>
            </w:r>
          </w:p>
        </w:tc>
        <w:tc>
          <w:tcPr>
            <w:tcW w:w="840" w:type="dxa"/>
            <w:shd w:val="clear" w:color="auto" w:fill="auto"/>
            <w:vAlign w:val="center"/>
          </w:tcPr>
          <w:p w14:paraId="77C41C83">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b/>
                <w:bCs/>
                <w:color w:val="auto"/>
                <w:kern w:val="0"/>
                <w:sz w:val="15"/>
                <w:szCs w:val="15"/>
                <w:highlight w:val="none"/>
                <w:lang w:val="en-US" w:eastAsia="zh-CN"/>
              </w:rPr>
              <w:t>1</w:t>
            </w:r>
          </w:p>
        </w:tc>
        <w:tc>
          <w:tcPr>
            <w:tcW w:w="3426" w:type="dxa"/>
            <w:shd w:val="clear" w:color="auto" w:fill="auto"/>
            <w:vAlign w:val="center"/>
          </w:tcPr>
          <w:p w14:paraId="005B91C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rPr>
                <w:rFonts w:hint="eastAsia" w:asciiTheme="minorEastAsia" w:hAnsiTheme="minorEastAsia" w:eastAsiaTheme="minorEastAsia"/>
                <w:strike w:val="0"/>
                <w:dstrike w:val="0"/>
                <w:color w:val="auto"/>
                <w:sz w:val="15"/>
                <w:szCs w:val="15"/>
                <w:highlight w:val="none"/>
              </w:rPr>
            </w:pPr>
            <w:r>
              <w:rPr>
                <w:rFonts w:hint="default" w:ascii="宋体" w:hAnsi="宋体" w:eastAsia="宋体" w:cs="宋体"/>
                <w:color w:val="auto"/>
                <w:sz w:val="15"/>
                <w:szCs w:val="15"/>
                <w:highlight w:val="none"/>
                <w:lang w:val="en-US" w:eastAsia="zh-CN"/>
              </w:rPr>
              <w:t>存在基准2.1.3规定情形的，系数按照相关规定确定</w:t>
            </w:r>
            <w:r>
              <w:rPr>
                <w:rFonts w:hint="eastAsia" w:ascii="宋体" w:hAnsi="宋体" w:eastAsia="宋体" w:cs="宋体"/>
                <w:color w:val="auto"/>
                <w:sz w:val="15"/>
                <w:szCs w:val="15"/>
                <w:highlight w:val="none"/>
                <w:lang w:val="en-US" w:eastAsia="zh-CN"/>
              </w:rPr>
              <w:t>。</w:t>
            </w:r>
          </w:p>
        </w:tc>
        <w:tc>
          <w:tcPr>
            <w:tcW w:w="1875" w:type="dxa"/>
            <w:gridSpan w:val="2"/>
            <w:shd w:val="clear" w:color="auto" w:fill="auto"/>
            <w:vAlign w:val="center"/>
          </w:tcPr>
          <w:p w14:paraId="01B80BE9">
            <w:pPr>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color w:val="auto"/>
                <w:sz w:val="15"/>
                <w:szCs w:val="15"/>
                <w:highlight w:val="none"/>
              </w:rPr>
            </w:pPr>
            <w:r>
              <w:rPr>
                <w:rFonts w:hint="eastAsia" w:ascii="宋体" w:hAnsi="宋体" w:eastAsia="宋体" w:cs="宋体"/>
                <w:color w:val="auto"/>
                <w:sz w:val="15"/>
                <w:szCs w:val="15"/>
                <w:highlight w:val="none"/>
              </w:rPr>
              <w:t>罚款数额＝</w:t>
            </w:r>
            <w:r>
              <w:rPr>
                <w:rFonts w:hint="eastAsia" w:ascii="宋体" w:hAnsi="宋体" w:eastAsia="宋体" w:cs="宋体"/>
                <w:color w:val="auto"/>
                <w:sz w:val="15"/>
                <w:szCs w:val="15"/>
                <w:highlight w:val="none"/>
                <w:lang w:val="en-US" w:eastAsia="zh-CN"/>
              </w:rPr>
              <w:t>10</w:t>
            </w:r>
            <w:r>
              <w:rPr>
                <w:rFonts w:hint="eastAsia" w:ascii="宋体" w:hAnsi="宋体" w:eastAsia="宋体" w:cs="宋体"/>
                <w:color w:val="auto"/>
                <w:sz w:val="15"/>
                <w:szCs w:val="15"/>
                <w:highlight w:val="none"/>
              </w:rPr>
              <w:t>00×（1＋</w:t>
            </w:r>
            <w:r>
              <w:rPr>
                <w:rFonts w:hint="eastAsia" w:ascii="宋体" w:hAnsi="宋体" w:eastAsia="宋体" w:cs="宋体"/>
                <w:color w:val="auto"/>
                <w:sz w:val="15"/>
                <w:szCs w:val="15"/>
                <w:highlight w:val="none"/>
                <w:lang w:eastAsia="zh-CN"/>
              </w:rPr>
              <w:t>情节系数</w:t>
            </w:r>
            <w:r>
              <w:rPr>
                <w:rFonts w:hint="eastAsia" w:ascii="宋体" w:hAnsi="宋体" w:eastAsia="宋体" w:cs="宋体"/>
                <w:color w:val="auto"/>
                <w:sz w:val="15"/>
                <w:szCs w:val="15"/>
                <w:highlight w:val="none"/>
              </w:rPr>
              <w:t>）</w:t>
            </w:r>
          </w:p>
        </w:tc>
        <w:tc>
          <w:tcPr>
            <w:tcW w:w="1982" w:type="dxa"/>
            <w:gridSpan w:val="2"/>
            <w:shd w:val="clear" w:color="auto" w:fill="auto"/>
            <w:vAlign w:val="center"/>
          </w:tcPr>
          <w:p w14:paraId="2E5E1DC3">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color w:val="auto"/>
                <w:sz w:val="15"/>
                <w:szCs w:val="15"/>
                <w:highlight w:val="none"/>
                <w:lang w:eastAsia="zh-CN"/>
              </w:rPr>
              <w:t>（</w:t>
            </w:r>
            <w:r>
              <w:rPr>
                <w:rFonts w:hint="eastAsia" w:ascii="宋体" w:hAnsi="宋体" w:eastAsia="宋体" w:cs="宋体"/>
                <w:color w:val="auto"/>
                <w:sz w:val="15"/>
                <w:szCs w:val="15"/>
                <w:highlight w:val="none"/>
                <w:lang w:val="en-US" w:eastAsia="zh-CN"/>
              </w:rPr>
              <w:t>2026年5月1日开始执行</w:t>
            </w:r>
            <w:r>
              <w:rPr>
                <w:rFonts w:hint="eastAsia" w:ascii="宋体" w:hAnsi="宋体" w:eastAsia="宋体" w:cs="宋体"/>
                <w:color w:val="auto"/>
                <w:sz w:val="15"/>
                <w:szCs w:val="15"/>
                <w:highlight w:val="none"/>
                <w:lang w:eastAsia="zh-CN"/>
              </w:rPr>
              <w:t>）</w:t>
            </w:r>
          </w:p>
        </w:tc>
      </w:tr>
      <w:tr w14:paraId="36C36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55" w:hRule="atLeast"/>
          <w:jc w:val="center"/>
        </w:trPr>
        <w:tc>
          <w:tcPr>
            <w:tcW w:w="610" w:type="dxa"/>
            <w:shd w:val="clear" w:color="auto" w:fill="auto"/>
            <w:vAlign w:val="center"/>
          </w:tcPr>
          <w:p w14:paraId="783E1605">
            <w:pPr>
              <w:keepNext w:val="0"/>
              <w:keepLines w:val="0"/>
              <w:pageBreakBefore w:val="0"/>
              <w:kinsoku/>
              <w:overflowPunct/>
              <w:topLinePunct w:val="0"/>
              <w:autoSpaceDE/>
              <w:autoSpaceDN/>
              <w:bidi w:val="0"/>
              <w:adjustRightInd/>
              <w:snapToGrid/>
              <w:spacing w:line="240" w:lineRule="auto"/>
              <w:jc w:val="center"/>
              <w:rPr>
                <w:rFonts w:hint="default" w:cs="Arial" w:asciiTheme="minorEastAsia" w:hAnsiTheme="minorEastAsia" w:eastAsiaTheme="minorEastAsia"/>
                <w:b/>
                <w:color w:val="auto"/>
                <w:kern w:val="0"/>
                <w:sz w:val="15"/>
                <w:szCs w:val="15"/>
                <w:highlight w:val="none"/>
                <w:lang w:val="en-US"/>
              </w:rPr>
            </w:pPr>
            <w:r>
              <w:rPr>
                <w:rFonts w:hint="eastAsia" w:ascii="宋体" w:hAnsi="宋体" w:eastAsia="宋体"/>
                <w:strike w:val="0"/>
                <w:dstrike w:val="0"/>
                <w:color w:val="auto"/>
                <w:sz w:val="15"/>
                <w:szCs w:val="15"/>
                <w:highlight w:val="none"/>
                <w:u w:val="none"/>
                <w:lang w:val="en-US" w:eastAsia="zh-CN"/>
              </w:rPr>
              <w:t>10</w:t>
            </w:r>
          </w:p>
        </w:tc>
        <w:tc>
          <w:tcPr>
            <w:tcW w:w="1830" w:type="dxa"/>
            <w:gridSpan w:val="3"/>
            <w:shd w:val="clear" w:color="auto" w:fill="auto"/>
            <w:vAlign w:val="center"/>
          </w:tcPr>
          <w:p w14:paraId="411DFD20">
            <w:pPr>
              <w:keepNext w:val="0"/>
              <w:keepLines w:val="0"/>
              <w:pageBreakBefore w:val="0"/>
              <w:kinsoku/>
              <w:wordWrap/>
              <w:overflowPunct/>
              <w:topLinePunct w:val="0"/>
              <w:autoSpaceDE/>
              <w:autoSpaceDN/>
              <w:bidi w:val="0"/>
              <w:adjustRightInd/>
              <w:snapToGrid/>
              <w:spacing w:line="240" w:lineRule="auto"/>
              <w:rPr>
                <w:rFonts w:asciiTheme="minorEastAsia" w:hAnsiTheme="minorEastAsia" w:eastAsiaTheme="minorEastAsia"/>
                <w:color w:val="auto"/>
                <w:sz w:val="15"/>
                <w:szCs w:val="15"/>
                <w:highlight w:val="none"/>
              </w:rPr>
            </w:pPr>
            <w:r>
              <w:rPr>
                <w:rFonts w:hint="eastAsia" w:ascii="宋体" w:hAnsi="宋体" w:eastAsia="宋体" w:cs="宋体"/>
                <w:strike w:val="0"/>
                <w:dstrike w:val="0"/>
                <w:color w:val="auto"/>
                <w:sz w:val="15"/>
                <w:szCs w:val="15"/>
                <w:highlight w:val="none"/>
                <w:u w:val="none"/>
                <w:lang w:eastAsia="zh-CN"/>
              </w:rPr>
              <w:t>未按要求设置收费价格公示牌或未安排专人负责服务和管理</w:t>
            </w:r>
          </w:p>
        </w:tc>
        <w:tc>
          <w:tcPr>
            <w:tcW w:w="2789" w:type="dxa"/>
            <w:gridSpan w:val="2"/>
            <w:shd w:val="clear" w:color="auto" w:fill="auto"/>
            <w:vAlign w:val="center"/>
          </w:tcPr>
          <w:p w14:paraId="1B956D1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trike w:val="0"/>
                <w:dstrike w:val="0"/>
                <w:color w:val="auto"/>
                <w:sz w:val="15"/>
                <w:szCs w:val="15"/>
                <w:highlight w:val="none"/>
                <w:u w:val="none"/>
              </w:rPr>
            </w:pPr>
            <w:r>
              <w:rPr>
                <w:rFonts w:hint="eastAsia" w:ascii="宋体" w:hAnsi="宋体" w:eastAsia="宋体" w:cs="宋体"/>
                <w:strike w:val="0"/>
                <w:dstrike w:val="0"/>
                <w:color w:val="auto"/>
                <w:sz w:val="15"/>
                <w:szCs w:val="15"/>
                <w:highlight w:val="none"/>
                <w:u w:val="none"/>
              </w:rPr>
              <w:t>违反条款：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三十二条</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二</w:t>
            </w:r>
            <w:r>
              <w:rPr>
                <w:rFonts w:hint="eastAsia" w:ascii="宋体" w:hAnsi="宋体" w:eastAsia="宋体" w:cs="宋体"/>
                <w:strike w:val="0"/>
                <w:dstrike w:val="0"/>
                <w:color w:val="auto"/>
                <w:sz w:val="15"/>
                <w:szCs w:val="15"/>
                <w:highlight w:val="none"/>
                <w:u w:val="none"/>
              </w:rPr>
              <w:t>款；</w:t>
            </w:r>
          </w:p>
          <w:p w14:paraId="4F9FE2F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olor w:val="auto"/>
                <w:sz w:val="15"/>
                <w:szCs w:val="15"/>
                <w:highlight w:val="none"/>
              </w:rPr>
            </w:pPr>
            <w:r>
              <w:rPr>
                <w:rFonts w:hint="eastAsia" w:ascii="宋体" w:hAnsi="宋体" w:eastAsia="宋体" w:cs="宋体"/>
                <w:strike w:val="0"/>
                <w:dstrike w:val="0"/>
                <w:color w:val="auto"/>
                <w:sz w:val="15"/>
                <w:szCs w:val="15"/>
                <w:highlight w:val="none"/>
                <w:u w:val="none"/>
              </w:rPr>
              <w:t>处罚条款：</w:t>
            </w:r>
            <w:r>
              <w:rPr>
                <w:rFonts w:hint="eastAsia" w:ascii="宋体" w:hAnsi="宋体" w:eastAsia="宋体" w:cs="宋体"/>
                <w:color w:val="auto"/>
                <w:sz w:val="15"/>
                <w:szCs w:val="15"/>
                <w:highlight w:val="none"/>
                <w:lang w:val="en-US" w:eastAsia="zh-CN"/>
              </w:rPr>
              <w:t>《北京市非机动车管理条例》</w:t>
            </w:r>
            <w:r>
              <w:rPr>
                <w:rFonts w:hint="eastAsia" w:ascii="宋体" w:hAnsi="宋体" w:eastAsia="宋体" w:cs="宋体"/>
                <w:strike w:val="0"/>
                <w:dstrike w:val="0"/>
                <w:color w:val="auto"/>
                <w:sz w:val="15"/>
                <w:szCs w:val="15"/>
                <w:highlight w:val="none"/>
                <w:u w:val="none"/>
              </w:rPr>
              <w:t>第</w:t>
            </w:r>
            <w:r>
              <w:rPr>
                <w:rFonts w:hint="eastAsia" w:ascii="宋体" w:hAnsi="宋体" w:eastAsia="宋体" w:cs="宋体"/>
                <w:strike w:val="0"/>
                <w:dstrike w:val="0"/>
                <w:color w:val="auto"/>
                <w:sz w:val="15"/>
                <w:szCs w:val="15"/>
                <w:highlight w:val="none"/>
                <w:u w:val="none"/>
                <w:lang w:eastAsia="zh-CN"/>
              </w:rPr>
              <w:t>四十九</w:t>
            </w:r>
            <w:r>
              <w:rPr>
                <w:rFonts w:hint="eastAsia" w:ascii="宋体" w:hAnsi="宋体" w:eastAsia="宋体" w:cs="宋体"/>
                <w:strike w:val="0"/>
                <w:dstrike w:val="0"/>
                <w:color w:val="auto"/>
                <w:sz w:val="15"/>
                <w:szCs w:val="15"/>
                <w:highlight w:val="none"/>
                <w:u w:val="none"/>
              </w:rPr>
              <w:t>条</w:t>
            </w:r>
            <w:r>
              <w:rPr>
                <w:rFonts w:hint="eastAsia" w:ascii="宋体" w:hAnsi="宋体" w:eastAsia="宋体" w:cs="宋体"/>
                <w:strike w:val="0"/>
                <w:dstrike w:val="0"/>
                <w:color w:val="auto"/>
                <w:sz w:val="15"/>
                <w:szCs w:val="15"/>
                <w:highlight w:val="none"/>
                <w:u w:val="none"/>
                <w:lang w:val="en-US" w:eastAsia="zh-CN"/>
              </w:rPr>
              <w:t xml:space="preserve"> 非机动车停车场产权单位或者管理、使用单位违反本条例第三十二条第一款、第二款规定的，由城市管理综合行政执法部门责令改正，处一千元以上五千元以下罚款。</w:t>
            </w:r>
          </w:p>
        </w:tc>
        <w:tc>
          <w:tcPr>
            <w:tcW w:w="851" w:type="dxa"/>
            <w:shd w:val="clear" w:color="auto" w:fill="auto"/>
            <w:vAlign w:val="center"/>
          </w:tcPr>
          <w:p w14:paraId="4D7A2AFE">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strike w:val="0"/>
                <w:dstrike w:val="0"/>
                <w:color w:val="auto"/>
                <w:sz w:val="15"/>
                <w:szCs w:val="15"/>
                <w:highlight w:val="none"/>
                <w:u w:val="none"/>
                <w:lang w:val="en-US" w:eastAsia="zh-CN"/>
              </w:rPr>
              <w:t>1000</w:t>
            </w:r>
          </w:p>
        </w:tc>
        <w:tc>
          <w:tcPr>
            <w:tcW w:w="840" w:type="dxa"/>
            <w:shd w:val="clear" w:color="auto" w:fill="auto"/>
            <w:vAlign w:val="center"/>
          </w:tcPr>
          <w:p w14:paraId="7D41B574">
            <w:pPr>
              <w:keepNext w:val="0"/>
              <w:keepLines w:val="0"/>
              <w:pageBreakBefore w:val="0"/>
              <w:kinsoku/>
              <w:wordWrap/>
              <w:overflowPunct/>
              <w:topLinePunct w:val="0"/>
              <w:autoSpaceDE/>
              <w:autoSpaceDN/>
              <w:bidi w:val="0"/>
              <w:adjustRightInd/>
              <w:snapToGrid/>
              <w:spacing w:line="240" w:lineRule="auto"/>
              <w:jc w:val="center"/>
              <w:rPr>
                <w:rFonts w:hint="eastAsia" w:cs="Arial" w:asciiTheme="minorEastAsia" w:hAnsiTheme="minorEastAsia" w:eastAsiaTheme="minorEastAsia"/>
                <w:color w:val="auto"/>
                <w:kern w:val="0"/>
                <w:sz w:val="15"/>
                <w:szCs w:val="15"/>
                <w:highlight w:val="none"/>
              </w:rPr>
            </w:pPr>
            <w:r>
              <w:rPr>
                <w:rFonts w:hint="eastAsia" w:ascii="宋体" w:hAnsi="宋体" w:eastAsia="宋体" w:cs="宋体"/>
                <w:b/>
                <w:bCs/>
                <w:strike w:val="0"/>
                <w:dstrike w:val="0"/>
                <w:color w:val="auto"/>
                <w:kern w:val="0"/>
                <w:sz w:val="15"/>
                <w:szCs w:val="15"/>
                <w:highlight w:val="none"/>
                <w:u w:val="none"/>
                <w:lang w:val="en-US" w:eastAsia="zh-CN"/>
              </w:rPr>
              <w:t>1</w:t>
            </w:r>
          </w:p>
        </w:tc>
        <w:tc>
          <w:tcPr>
            <w:tcW w:w="3426" w:type="dxa"/>
            <w:shd w:val="clear" w:color="auto" w:fill="auto"/>
            <w:vAlign w:val="center"/>
          </w:tcPr>
          <w:p w14:paraId="6291A2D4">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eastAsia" w:ascii="宋体" w:hAnsi="宋体" w:eastAsia="宋体" w:cs="宋体"/>
                <w:strike w:val="0"/>
                <w:dstrike w:val="0"/>
                <w:color w:val="auto"/>
                <w:sz w:val="15"/>
                <w:szCs w:val="15"/>
                <w:highlight w:val="none"/>
                <w:u w:val="none"/>
                <w:lang w:val="en-US" w:eastAsia="zh-CN"/>
              </w:rPr>
            </w:pPr>
            <w:r>
              <w:rPr>
                <w:rFonts w:hint="default" w:ascii="宋体" w:hAnsi="宋体" w:eastAsia="宋体" w:cs="宋体"/>
                <w:strike w:val="0"/>
                <w:dstrike w:val="0"/>
                <w:color w:val="auto"/>
                <w:sz w:val="15"/>
                <w:szCs w:val="15"/>
                <w:highlight w:val="none"/>
                <w:u w:val="none"/>
                <w:lang w:val="en-US" w:eastAsia="zh-CN"/>
              </w:rPr>
              <w:t>存在基准2.1.3规定情形的，系数按照相关规定确定</w:t>
            </w:r>
            <w:r>
              <w:rPr>
                <w:rFonts w:hint="eastAsia" w:ascii="宋体" w:hAnsi="宋体" w:eastAsia="宋体" w:cs="宋体"/>
                <w:strike w:val="0"/>
                <w:dstrike w:val="0"/>
                <w:color w:val="auto"/>
                <w:sz w:val="15"/>
                <w:szCs w:val="15"/>
                <w:highlight w:val="none"/>
                <w:u w:val="none"/>
                <w:lang w:val="en-US" w:eastAsia="zh-CN"/>
              </w:rPr>
              <w:t>。</w:t>
            </w:r>
          </w:p>
          <w:p w14:paraId="37FC8AF2">
            <w:pPr>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strike w:val="0"/>
                <w:dstrike w:val="0"/>
                <w:color w:val="auto"/>
                <w:sz w:val="15"/>
                <w:szCs w:val="15"/>
                <w:highlight w:val="none"/>
              </w:rPr>
            </w:pPr>
          </w:p>
        </w:tc>
        <w:tc>
          <w:tcPr>
            <w:tcW w:w="1875" w:type="dxa"/>
            <w:gridSpan w:val="2"/>
            <w:shd w:val="clear" w:color="auto" w:fill="auto"/>
            <w:vAlign w:val="center"/>
          </w:tcPr>
          <w:p w14:paraId="74B6CC53">
            <w:pPr>
              <w:keepNext w:val="0"/>
              <w:keepLines w:val="0"/>
              <w:pageBreakBefore w:val="0"/>
              <w:kinsoku/>
              <w:wordWrap/>
              <w:overflowPunct/>
              <w:topLinePunct w:val="0"/>
              <w:autoSpaceDE/>
              <w:autoSpaceDN/>
              <w:bidi w:val="0"/>
              <w:adjustRightInd/>
              <w:snapToGrid/>
              <w:spacing w:line="240" w:lineRule="auto"/>
              <w:rPr>
                <w:rFonts w:hint="eastAsia" w:asciiTheme="minorEastAsia" w:hAnsiTheme="minorEastAsia" w:eastAsiaTheme="minorEastAsia"/>
                <w:color w:val="auto"/>
                <w:sz w:val="15"/>
                <w:szCs w:val="15"/>
                <w:highlight w:val="none"/>
              </w:rPr>
            </w:pPr>
            <w:r>
              <w:rPr>
                <w:rFonts w:hint="eastAsia" w:ascii="宋体" w:hAnsi="宋体" w:eastAsia="宋体" w:cs="宋体"/>
                <w:strike w:val="0"/>
                <w:dstrike w:val="0"/>
                <w:color w:val="auto"/>
                <w:sz w:val="15"/>
                <w:szCs w:val="15"/>
                <w:highlight w:val="none"/>
                <w:u w:val="none"/>
              </w:rPr>
              <w:t>罚款数额＝</w:t>
            </w:r>
            <w:r>
              <w:rPr>
                <w:rFonts w:hint="eastAsia" w:ascii="宋体" w:hAnsi="宋体" w:eastAsia="宋体" w:cs="宋体"/>
                <w:strike w:val="0"/>
                <w:dstrike w:val="0"/>
                <w:color w:val="auto"/>
                <w:sz w:val="15"/>
                <w:szCs w:val="15"/>
                <w:highlight w:val="none"/>
                <w:u w:val="none"/>
                <w:lang w:val="en-US" w:eastAsia="zh-CN"/>
              </w:rPr>
              <w:t>10</w:t>
            </w:r>
            <w:r>
              <w:rPr>
                <w:rFonts w:hint="eastAsia" w:ascii="宋体" w:hAnsi="宋体" w:eastAsia="宋体" w:cs="宋体"/>
                <w:strike w:val="0"/>
                <w:dstrike w:val="0"/>
                <w:color w:val="auto"/>
                <w:sz w:val="15"/>
                <w:szCs w:val="15"/>
                <w:highlight w:val="none"/>
                <w:u w:val="none"/>
              </w:rPr>
              <w:t>00×（1＋</w:t>
            </w:r>
            <w:r>
              <w:rPr>
                <w:rFonts w:hint="eastAsia" w:ascii="宋体" w:hAnsi="宋体" w:eastAsia="宋体" w:cs="宋体"/>
                <w:strike w:val="0"/>
                <w:dstrike w:val="0"/>
                <w:color w:val="auto"/>
                <w:sz w:val="15"/>
                <w:szCs w:val="15"/>
                <w:highlight w:val="none"/>
                <w:u w:val="none"/>
                <w:lang w:eastAsia="zh-CN"/>
              </w:rPr>
              <w:t>情节系数</w:t>
            </w:r>
            <w:r>
              <w:rPr>
                <w:rFonts w:hint="eastAsia" w:ascii="宋体" w:hAnsi="宋体" w:eastAsia="宋体" w:cs="宋体"/>
                <w:strike w:val="0"/>
                <w:dstrike w:val="0"/>
                <w:color w:val="auto"/>
                <w:sz w:val="15"/>
                <w:szCs w:val="15"/>
                <w:highlight w:val="none"/>
                <w:u w:val="none"/>
              </w:rPr>
              <w:t>）</w:t>
            </w:r>
          </w:p>
        </w:tc>
        <w:tc>
          <w:tcPr>
            <w:tcW w:w="1982" w:type="dxa"/>
            <w:gridSpan w:val="2"/>
            <w:shd w:val="clear" w:color="auto" w:fill="auto"/>
            <w:vAlign w:val="center"/>
          </w:tcPr>
          <w:p w14:paraId="3C584D82">
            <w:pPr>
              <w:keepNext w:val="0"/>
              <w:keepLines w:val="0"/>
              <w:pageBreakBefore w:val="0"/>
              <w:kinsoku/>
              <w:wordWrap/>
              <w:overflowPunct/>
              <w:topLinePunct w:val="0"/>
              <w:autoSpaceDE/>
              <w:autoSpaceDN/>
              <w:bidi w:val="0"/>
              <w:adjustRightInd/>
              <w:snapToGrid/>
              <w:spacing w:line="240" w:lineRule="auto"/>
              <w:rPr>
                <w:rFonts w:hint="eastAsia" w:ascii="宋体" w:hAnsi="宋体" w:eastAsia="宋体"/>
                <w:strike w:val="0"/>
                <w:dstrike w:val="0"/>
                <w:color w:val="auto"/>
                <w:sz w:val="15"/>
                <w:szCs w:val="15"/>
                <w:highlight w:val="none"/>
                <w:u w:val="none"/>
                <w:lang w:eastAsia="zh-CN"/>
              </w:rPr>
            </w:pPr>
            <w:r>
              <w:rPr>
                <w:rFonts w:hint="eastAsia" w:ascii="宋体" w:hAnsi="宋体" w:eastAsia="宋体" w:cs="宋体"/>
                <w:strike w:val="0"/>
                <w:dstrike w:val="0"/>
                <w:color w:val="auto"/>
                <w:sz w:val="15"/>
                <w:szCs w:val="15"/>
                <w:highlight w:val="none"/>
                <w:u w:val="none"/>
                <w:lang w:eastAsia="zh-CN"/>
              </w:rPr>
              <w:t>（</w:t>
            </w:r>
            <w:r>
              <w:rPr>
                <w:rFonts w:hint="eastAsia" w:ascii="宋体" w:hAnsi="宋体" w:eastAsia="宋体" w:cs="宋体"/>
                <w:strike w:val="0"/>
                <w:dstrike w:val="0"/>
                <w:color w:val="auto"/>
                <w:sz w:val="15"/>
                <w:szCs w:val="15"/>
                <w:highlight w:val="none"/>
                <w:u w:val="none"/>
                <w:lang w:val="en-US" w:eastAsia="zh-CN"/>
              </w:rPr>
              <w:t>2026年5月1日开始执行</w:t>
            </w:r>
            <w:r>
              <w:rPr>
                <w:rFonts w:hint="eastAsia" w:ascii="宋体" w:hAnsi="宋体" w:eastAsia="宋体" w:cs="宋体"/>
                <w:strike w:val="0"/>
                <w:dstrike w:val="0"/>
                <w:color w:val="auto"/>
                <w:sz w:val="15"/>
                <w:szCs w:val="15"/>
                <w:highlight w:val="none"/>
                <w:u w:val="none"/>
                <w:lang w:eastAsia="zh-CN"/>
              </w:rPr>
              <w:t>）</w:t>
            </w:r>
          </w:p>
        </w:tc>
      </w:tr>
      <w:tr w14:paraId="4FDBC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73" w:hRule="atLeast"/>
          <w:jc w:val="center"/>
        </w:trPr>
        <w:tc>
          <w:tcPr>
            <w:tcW w:w="14203" w:type="dxa"/>
            <w:gridSpan w:val="13"/>
            <w:shd w:val="clear" w:color="auto" w:fill="auto"/>
            <w:vAlign w:val="center"/>
          </w:tcPr>
          <w:p w14:paraId="6FECAD3C">
            <w:pPr>
              <w:pStyle w:val="2"/>
              <w:keepNext w:val="0"/>
              <w:keepLines w:val="0"/>
              <w:rPr>
                <w:rFonts w:ascii="黑体" w:hAnsi="黑体" w:eastAsia="黑体"/>
                <w:b w:val="0"/>
                <w:color w:val="auto"/>
                <w:sz w:val="24"/>
                <w:szCs w:val="24"/>
                <w:highlight w:val="none"/>
              </w:rPr>
            </w:pPr>
            <w:bookmarkStart w:id="139" w:name="_Toc847818987"/>
            <w:r>
              <w:rPr>
                <w:rFonts w:hint="eastAsia" w:ascii="黑体" w:hAnsi="黑体" w:eastAsia="黑体"/>
                <w:b w:val="0"/>
                <w:color w:val="auto"/>
                <w:sz w:val="28"/>
                <w:szCs w:val="28"/>
                <w:highlight w:val="none"/>
              </w:rPr>
              <w:t>交通运输管理方面</w:t>
            </w:r>
            <w:bookmarkEnd w:id="137"/>
            <w:bookmarkEnd w:id="138"/>
            <w:bookmarkEnd w:id="139"/>
          </w:p>
        </w:tc>
      </w:tr>
      <w:tr w14:paraId="54377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7" w:hRule="atLeast"/>
          <w:jc w:val="center"/>
        </w:trPr>
        <w:tc>
          <w:tcPr>
            <w:tcW w:w="14203" w:type="dxa"/>
            <w:gridSpan w:val="13"/>
            <w:shd w:val="clear" w:color="auto" w:fill="auto"/>
            <w:vAlign w:val="center"/>
          </w:tcPr>
          <w:p w14:paraId="0DD8C573">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trike w:val="0"/>
                <w:color w:val="auto"/>
                <w:sz w:val="15"/>
                <w:szCs w:val="15"/>
                <w:highlight w:val="none"/>
              </w:rPr>
            </w:pPr>
            <w:bookmarkStart w:id="140" w:name="_Toc471827892"/>
            <w:bookmarkStart w:id="141" w:name="_Toc110851481"/>
            <w:bookmarkStart w:id="142" w:name="_Toc1833599949"/>
            <w:r>
              <w:rPr>
                <w:rFonts w:hint="eastAsia" w:asciiTheme="minorEastAsia" w:hAnsiTheme="minorEastAsia" w:eastAsiaTheme="minorEastAsia"/>
                <w:b/>
                <w:bCs/>
                <w:strike w:val="0"/>
                <w:dstrike w:val="0"/>
                <w:color w:val="auto"/>
                <w:sz w:val="21"/>
                <w:szCs w:val="21"/>
                <w:highlight w:val="none"/>
              </w:rPr>
              <w:t>《巡游出租汽车经营服务管理规定》案由1项</w:t>
            </w:r>
            <w:bookmarkEnd w:id="140"/>
            <w:bookmarkEnd w:id="141"/>
            <w:bookmarkEnd w:id="142"/>
          </w:p>
        </w:tc>
      </w:tr>
      <w:tr w14:paraId="3D14B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43" w:hRule="atLeast"/>
          <w:jc w:val="center"/>
        </w:trPr>
        <w:tc>
          <w:tcPr>
            <w:tcW w:w="610" w:type="dxa"/>
            <w:shd w:val="clear" w:color="auto" w:fill="auto"/>
            <w:vAlign w:val="center"/>
          </w:tcPr>
          <w:p w14:paraId="5DA7D740">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830" w:type="dxa"/>
            <w:gridSpan w:val="3"/>
            <w:shd w:val="clear" w:color="auto" w:fill="auto"/>
            <w:vAlign w:val="center"/>
          </w:tcPr>
          <w:p w14:paraId="11907B8B">
            <w:pPr>
              <w:spacing w:line="204"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无证经营出租汽车</w:t>
            </w:r>
          </w:p>
        </w:tc>
        <w:tc>
          <w:tcPr>
            <w:tcW w:w="2789" w:type="dxa"/>
            <w:gridSpan w:val="2"/>
            <w:shd w:val="clear" w:color="auto" w:fill="auto"/>
            <w:vAlign w:val="center"/>
          </w:tcPr>
          <w:p w14:paraId="59DD3194">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违反条款：第八条；</w:t>
            </w:r>
          </w:p>
          <w:p w14:paraId="4850B9EE">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shd w:val="clear" w:color="auto" w:fill="auto"/>
            <w:vAlign w:val="center"/>
          </w:tcPr>
          <w:p w14:paraId="54793F06">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5000</w:t>
            </w:r>
          </w:p>
        </w:tc>
        <w:tc>
          <w:tcPr>
            <w:tcW w:w="840" w:type="dxa"/>
            <w:shd w:val="clear" w:color="auto" w:fill="auto"/>
            <w:vAlign w:val="center"/>
          </w:tcPr>
          <w:p w14:paraId="7435FC26">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3426" w:type="dxa"/>
            <w:shd w:val="clear" w:color="auto" w:fill="auto"/>
            <w:vAlign w:val="center"/>
          </w:tcPr>
          <w:p w14:paraId="2B81909B">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Theme="minorEastAsia" w:hAnsiTheme="minorEastAsia" w:eastAsiaTheme="minorEastAsia"/>
                <w:strike w:val="0"/>
                <w:dstrike w:val="0"/>
                <w:color w:val="auto"/>
                <w:sz w:val="15"/>
                <w:szCs w:val="15"/>
                <w:highlight w:val="none"/>
              </w:rPr>
              <w:t>造成秩序混乱或者较大社会影响的，系数1-3</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14:paraId="59E1AD46">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strike w:val="0"/>
                <w:dstrike w:val="0"/>
                <w:color w:val="auto"/>
                <w:sz w:val="15"/>
                <w:szCs w:val="15"/>
                <w:highlight w:val="none"/>
              </w:rPr>
            </w:pPr>
            <w:r>
              <w:rPr>
                <w:rFonts w:hint="eastAsia" w:cs="宋体" w:asciiTheme="minorEastAsia" w:hAnsiTheme="minorEastAsia" w:eastAsiaTheme="minorEastAsia"/>
                <w:strike w:val="0"/>
                <w:dstrike w:val="0"/>
                <w:color w:val="auto"/>
                <w:sz w:val="15"/>
                <w:szCs w:val="15"/>
                <w:highlight w:val="none"/>
              </w:rPr>
              <w:t>罚款数额＝5000×</w:t>
            </w:r>
            <w:r>
              <w:rPr>
                <w:rFonts w:hint="eastAsia" w:cs="宋体" w:asciiTheme="minorEastAsia" w:hAnsiTheme="minorEastAsia" w:eastAsiaTheme="minorEastAsia"/>
                <w:bCs/>
                <w:strike w:val="0"/>
                <w:dstrike w:val="0"/>
                <w:color w:val="auto"/>
                <w:sz w:val="15"/>
                <w:szCs w:val="15"/>
                <w:highlight w:val="none"/>
              </w:rPr>
              <w:t>（1＋</w:t>
            </w:r>
            <w:r>
              <w:rPr>
                <w:rFonts w:hint="eastAsia" w:cs="宋体" w:asciiTheme="minorEastAsia" w:hAnsiTheme="minorEastAsia" w:eastAsiaTheme="minorEastAsia"/>
                <w:bCs/>
                <w:strike w:val="0"/>
                <w:dstrike w:val="0"/>
                <w:color w:val="auto"/>
                <w:sz w:val="15"/>
                <w:szCs w:val="15"/>
                <w:highlight w:val="none"/>
                <w:lang w:eastAsia="zh-CN"/>
              </w:rPr>
              <w:t>情节系数</w:t>
            </w:r>
            <w:r>
              <w:rPr>
                <w:rFonts w:hint="eastAsia" w:cs="宋体" w:asciiTheme="minorEastAsia" w:hAnsiTheme="minorEastAsia" w:eastAsiaTheme="minorEastAsia"/>
                <w:bCs/>
                <w:strike w:val="0"/>
                <w:dstrike w:val="0"/>
                <w:color w:val="auto"/>
                <w:sz w:val="15"/>
                <w:szCs w:val="15"/>
                <w:highlight w:val="none"/>
              </w:rPr>
              <w:t>）</w:t>
            </w:r>
          </w:p>
        </w:tc>
        <w:tc>
          <w:tcPr>
            <w:tcW w:w="1982" w:type="dxa"/>
            <w:gridSpan w:val="2"/>
            <w:shd w:val="clear" w:color="auto" w:fill="auto"/>
            <w:vAlign w:val="center"/>
          </w:tcPr>
          <w:p w14:paraId="4092E8B3">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r>
      <w:tr w14:paraId="4916E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23" w:hRule="atLeast"/>
          <w:jc w:val="center"/>
        </w:trPr>
        <w:tc>
          <w:tcPr>
            <w:tcW w:w="14203" w:type="dxa"/>
            <w:gridSpan w:val="13"/>
            <w:shd w:val="clear" w:color="auto" w:fill="auto"/>
            <w:vAlign w:val="center"/>
          </w:tcPr>
          <w:p w14:paraId="12D0FB72">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43" w:name="_Toc110851482"/>
            <w:bookmarkStart w:id="144" w:name="_Toc827579787"/>
            <w:bookmarkStart w:id="145" w:name="_Toc121789162"/>
            <w:r>
              <w:rPr>
                <w:rFonts w:hint="eastAsia" w:asciiTheme="minorEastAsia" w:hAnsiTheme="minorEastAsia" w:eastAsiaTheme="minorEastAsia"/>
                <w:color w:val="auto"/>
                <w:sz w:val="21"/>
                <w:szCs w:val="21"/>
                <w:highlight w:val="none"/>
              </w:rPr>
              <w:t>《北京市查处非法客运若干规定》案由2项</w:t>
            </w:r>
            <w:bookmarkEnd w:id="143"/>
            <w:bookmarkEnd w:id="144"/>
            <w:bookmarkEnd w:id="145"/>
          </w:p>
        </w:tc>
      </w:tr>
      <w:tr w14:paraId="2C91E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92" w:hRule="atLeast"/>
          <w:jc w:val="center"/>
        </w:trPr>
        <w:tc>
          <w:tcPr>
            <w:tcW w:w="610" w:type="dxa"/>
            <w:vMerge w:val="restart"/>
            <w:shd w:val="clear" w:color="auto" w:fill="auto"/>
            <w:vAlign w:val="center"/>
          </w:tcPr>
          <w:p w14:paraId="7A00B35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vMerge w:val="restart"/>
            <w:shd w:val="clear" w:color="auto" w:fill="auto"/>
            <w:vAlign w:val="center"/>
          </w:tcPr>
          <w:p w14:paraId="2AF967A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未经许可擅自（或组织）从事巡游出租汽车客运经营</w:t>
            </w:r>
          </w:p>
        </w:tc>
        <w:tc>
          <w:tcPr>
            <w:tcW w:w="2789" w:type="dxa"/>
            <w:gridSpan w:val="2"/>
            <w:vMerge w:val="restart"/>
            <w:shd w:val="clear" w:color="auto" w:fill="auto"/>
            <w:vAlign w:val="center"/>
          </w:tcPr>
          <w:p w14:paraId="18F3F68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违反条款：第四条；</w:t>
            </w:r>
          </w:p>
          <w:p w14:paraId="1201944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shd w:val="clear" w:color="auto" w:fill="auto"/>
            <w:vAlign w:val="center"/>
          </w:tcPr>
          <w:p w14:paraId="345A39A7">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没有违法所得或者违法所得不足2万元的，基数为10000</w:t>
            </w:r>
          </w:p>
        </w:tc>
        <w:tc>
          <w:tcPr>
            <w:tcW w:w="840" w:type="dxa"/>
            <w:shd w:val="clear" w:color="auto" w:fill="auto"/>
            <w:vAlign w:val="center"/>
          </w:tcPr>
          <w:p w14:paraId="5DD990C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239B788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造成秩序混乱或者较大社会影响的，系数2-4；</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对组织行为，</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14:paraId="35EA1CD9">
            <w:pPr>
              <w:spacing w:line="232" w:lineRule="exact"/>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10000×（1＋</w:t>
            </w:r>
            <w:r>
              <w:rPr>
                <w:rFonts w:hint="eastAsia" w:cs="宋体" w:asciiTheme="minorEastAsia" w:hAnsiTheme="minorEastAsia" w:eastAsiaTheme="minorEastAsia"/>
                <w:bCs/>
                <w:color w:val="auto"/>
                <w:kern w:val="0"/>
                <w:sz w:val="15"/>
                <w:szCs w:val="15"/>
                <w:highlight w:val="none"/>
                <w:lang w:eastAsia="zh-CN"/>
              </w:rPr>
              <w:t>情节系数</w:t>
            </w:r>
            <w:r>
              <w:rPr>
                <w:rFonts w:hint="eastAsia" w:cs="宋体" w:asciiTheme="minorEastAsia" w:hAnsiTheme="minorEastAsia" w:eastAsiaTheme="minorEastAsia"/>
                <w:bCs/>
                <w:color w:val="auto"/>
                <w:kern w:val="0"/>
                <w:sz w:val="15"/>
                <w:szCs w:val="15"/>
                <w:highlight w:val="none"/>
              </w:rPr>
              <w:t>）</w:t>
            </w:r>
          </w:p>
        </w:tc>
        <w:tc>
          <w:tcPr>
            <w:tcW w:w="1982" w:type="dxa"/>
            <w:gridSpan w:val="2"/>
            <w:vMerge w:val="restart"/>
            <w:shd w:val="clear" w:color="auto" w:fill="auto"/>
            <w:vAlign w:val="center"/>
          </w:tcPr>
          <w:p w14:paraId="53A2DD8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p w14:paraId="6032213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r>
      <w:tr w14:paraId="54B2D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22" w:hRule="atLeast"/>
          <w:jc w:val="center"/>
        </w:trPr>
        <w:tc>
          <w:tcPr>
            <w:tcW w:w="610" w:type="dxa"/>
            <w:vMerge w:val="continue"/>
            <w:shd w:val="clear" w:color="auto" w:fill="auto"/>
            <w:vAlign w:val="center"/>
          </w:tcPr>
          <w:p w14:paraId="3165B730">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0066D625">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7B33042B">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48F7BD4B">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违法所得2万元以上的，基数为违法所得。</w:t>
            </w:r>
          </w:p>
        </w:tc>
        <w:tc>
          <w:tcPr>
            <w:tcW w:w="840" w:type="dxa"/>
            <w:shd w:val="clear" w:color="auto" w:fill="auto"/>
            <w:vAlign w:val="center"/>
          </w:tcPr>
          <w:p w14:paraId="544B399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298A590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造成秩序混乱或者较大社会影响的，系数2-4；</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对组织行为，</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2-4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14:paraId="474CA52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违法所得×2×（1＋</w:t>
            </w:r>
            <w:r>
              <w:rPr>
                <w:rFonts w:hint="eastAsia" w:cs="宋体" w:asciiTheme="minorEastAsia" w:hAnsiTheme="minorEastAsia" w:eastAsiaTheme="minorEastAsia"/>
                <w:bCs/>
                <w:color w:val="auto"/>
                <w:kern w:val="0"/>
                <w:sz w:val="15"/>
                <w:szCs w:val="15"/>
                <w:highlight w:val="none"/>
                <w:lang w:eastAsia="zh-CN"/>
              </w:rPr>
              <w:t>情节系数</w:t>
            </w:r>
            <w:r>
              <w:rPr>
                <w:rFonts w:hint="eastAsia" w:cs="宋体" w:asciiTheme="minorEastAsia" w:hAnsiTheme="minorEastAsia" w:eastAsiaTheme="minorEastAsia"/>
                <w:bCs/>
                <w:color w:val="auto"/>
                <w:kern w:val="0"/>
                <w:sz w:val="15"/>
                <w:szCs w:val="15"/>
                <w:highlight w:val="none"/>
              </w:rPr>
              <w:t>）</w:t>
            </w:r>
          </w:p>
        </w:tc>
        <w:tc>
          <w:tcPr>
            <w:tcW w:w="1982" w:type="dxa"/>
            <w:gridSpan w:val="2"/>
            <w:vMerge w:val="continue"/>
            <w:shd w:val="clear" w:color="auto" w:fill="auto"/>
            <w:vAlign w:val="center"/>
          </w:tcPr>
          <w:p w14:paraId="2A354DD8">
            <w:pPr>
              <w:spacing w:line="232" w:lineRule="exact"/>
              <w:rPr>
                <w:rFonts w:cs="宋体" w:asciiTheme="minorEastAsia" w:hAnsiTheme="minorEastAsia" w:eastAsiaTheme="minorEastAsia"/>
                <w:color w:val="auto"/>
                <w:kern w:val="0"/>
                <w:sz w:val="15"/>
                <w:szCs w:val="15"/>
                <w:highlight w:val="none"/>
              </w:rPr>
            </w:pPr>
          </w:p>
        </w:tc>
      </w:tr>
      <w:tr w14:paraId="447AF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69" w:hRule="atLeast"/>
          <w:jc w:val="center"/>
        </w:trPr>
        <w:tc>
          <w:tcPr>
            <w:tcW w:w="610" w:type="dxa"/>
            <w:shd w:val="clear" w:color="auto" w:fill="auto"/>
            <w:vAlign w:val="center"/>
          </w:tcPr>
          <w:p w14:paraId="0D3E933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shd w:val="clear" w:color="auto" w:fill="auto"/>
            <w:vAlign w:val="center"/>
          </w:tcPr>
          <w:p w14:paraId="4426033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利用摩托车、三轮车、残疾人机动轮椅车等车辆从事客运经营</w:t>
            </w:r>
          </w:p>
        </w:tc>
        <w:tc>
          <w:tcPr>
            <w:tcW w:w="2789" w:type="dxa"/>
            <w:gridSpan w:val="2"/>
            <w:shd w:val="clear" w:color="auto" w:fill="auto"/>
            <w:vAlign w:val="center"/>
          </w:tcPr>
          <w:p w14:paraId="5F88CF4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违反条款：第八条第一款。 </w:t>
            </w:r>
          </w:p>
          <w:p w14:paraId="29E3AD0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处罚条款：第八条第二款，没收车辆，没收违法所得，并可处500元以上2000元以下罚款。</w:t>
            </w:r>
          </w:p>
          <w:p w14:paraId="2AA5531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851" w:type="dxa"/>
            <w:shd w:val="clear" w:color="auto" w:fill="auto"/>
            <w:vAlign w:val="center"/>
          </w:tcPr>
          <w:p w14:paraId="206895BF">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14:paraId="24743BA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5D62A569">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造成秩序混乱或者较大社会影响的，系数1-3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14:paraId="6D069EFE">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w:t>
            </w:r>
            <w:r>
              <w:rPr>
                <w:rFonts w:hint="eastAsia" w:cs="宋体" w:asciiTheme="minorEastAsia" w:hAnsiTheme="minorEastAsia" w:eastAsiaTheme="minorEastAsia"/>
                <w:bCs/>
                <w:color w:val="auto"/>
                <w:sz w:val="15"/>
                <w:szCs w:val="15"/>
                <w:highlight w:val="none"/>
              </w:rPr>
              <w:t>（1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bCs/>
                <w:color w:val="auto"/>
                <w:sz w:val="15"/>
                <w:szCs w:val="15"/>
                <w:highlight w:val="none"/>
              </w:rPr>
              <w:t>）</w:t>
            </w:r>
          </w:p>
        </w:tc>
        <w:tc>
          <w:tcPr>
            <w:tcW w:w="1982" w:type="dxa"/>
            <w:gridSpan w:val="2"/>
            <w:shd w:val="clear" w:color="auto" w:fill="auto"/>
            <w:vAlign w:val="center"/>
          </w:tcPr>
          <w:p w14:paraId="23870EDA">
            <w:pPr>
              <w:spacing w:line="232" w:lineRule="exact"/>
              <w:jc w:val="left"/>
              <w:rPr>
                <w:rFonts w:asciiTheme="minorEastAsia" w:hAnsiTheme="minorEastAsia" w:eastAsiaTheme="minorEastAsia"/>
                <w:color w:val="auto"/>
                <w:sz w:val="15"/>
                <w:szCs w:val="15"/>
                <w:highlight w:val="none"/>
              </w:rPr>
            </w:pPr>
          </w:p>
          <w:p w14:paraId="0B2EEC1A">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14:paraId="18B10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74" w:hRule="atLeast"/>
          <w:jc w:val="center"/>
        </w:trPr>
        <w:tc>
          <w:tcPr>
            <w:tcW w:w="14203" w:type="dxa"/>
            <w:gridSpan w:val="13"/>
            <w:shd w:val="clear" w:color="auto" w:fill="auto"/>
            <w:vAlign w:val="center"/>
          </w:tcPr>
          <w:p w14:paraId="35CCD7F4">
            <w:pPr>
              <w:pStyle w:val="2"/>
              <w:keepNext w:val="0"/>
              <w:keepLines w:val="0"/>
              <w:rPr>
                <w:rFonts w:ascii="黑体" w:hAnsi="黑体" w:eastAsia="黑体"/>
                <w:b w:val="0"/>
                <w:color w:val="auto"/>
                <w:sz w:val="24"/>
                <w:szCs w:val="24"/>
                <w:highlight w:val="none"/>
              </w:rPr>
            </w:pPr>
            <w:bookmarkStart w:id="146" w:name="_Toc360901343"/>
            <w:bookmarkStart w:id="147" w:name="_Toc110851483"/>
            <w:bookmarkStart w:id="148" w:name="_Toc2083661009"/>
            <w:r>
              <w:rPr>
                <w:rFonts w:hint="eastAsia" w:ascii="黑体" w:hAnsi="黑体" w:eastAsia="黑体"/>
                <w:b w:val="0"/>
                <w:color w:val="auto"/>
                <w:sz w:val="28"/>
                <w:szCs w:val="28"/>
                <w:highlight w:val="none"/>
              </w:rPr>
              <w:t>市场监督管理（流动无照经营）方面</w:t>
            </w:r>
            <w:bookmarkEnd w:id="146"/>
            <w:bookmarkEnd w:id="147"/>
            <w:bookmarkEnd w:id="148"/>
          </w:p>
        </w:tc>
      </w:tr>
      <w:tr w14:paraId="7FE82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76" w:hRule="atLeast"/>
          <w:jc w:val="center"/>
        </w:trPr>
        <w:tc>
          <w:tcPr>
            <w:tcW w:w="14203" w:type="dxa"/>
            <w:gridSpan w:val="13"/>
            <w:shd w:val="clear" w:color="auto" w:fill="auto"/>
            <w:vAlign w:val="center"/>
          </w:tcPr>
          <w:p w14:paraId="41FD887A">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49" w:name="_Toc110851484"/>
            <w:bookmarkStart w:id="150" w:name="_Toc704954681"/>
            <w:bookmarkStart w:id="151" w:name="_Toc157292895"/>
            <w:r>
              <w:rPr>
                <w:rFonts w:hint="eastAsia" w:asciiTheme="minorEastAsia" w:hAnsiTheme="minorEastAsia" w:eastAsiaTheme="minorEastAsia"/>
                <w:color w:val="auto"/>
                <w:sz w:val="21"/>
                <w:szCs w:val="21"/>
                <w:highlight w:val="none"/>
              </w:rPr>
              <w:t>《无证</w:t>
            </w:r>
            <w:r>
              <w:rPr>
                <w:rFonts w:asciiTheme="minorEastAsia" w:hAnsiTheme="minorEastAsia" w:eastAsiaTheme="minorEastAsia"/>
                <w:color w:val="auto"/>
                <w:sz w:val="21"/>
                <w:szCs w:val="21"/>
                <w:highlight w:val="none"/>
              </w:rPr>
              <w:t>无照经营查处办法</w:t>
            </w:r>
            <w:r>
              <w:rPr>
                <w:rFonts w:hint="eastAsia" w:asciiTheme="minorEastAsia" w:hAnsiTheme="minorEastAsia" w:eastAsiaTheme="minorEastAsia"/>
                <w:color w:val="auto"/>
                <w:sz w:val="21"/>
                <w:szCs w:val="21"/>
                <w:highlight w:val="none"/>
              </w:rPr>
              <w:t>》案由3项</w:t>
            </w:r>
            <w:bookmarkEnd w:id="149"/>
            <w:bookmarkEnd w:id="150"/>
            <w:bookmarkEnd w:id="151"/>
          </w:p>
        </w:tc>
      </w:tr>
      <w:tr w14:paraId="44D63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452" w:hRule="atLeast"/>
          <w:jc w:val="center"/>
        </w:trPr>
        <w:tc>
          <w:tcPr>
            <w:tcW w:w="610" w:type="dxa"/>
            <w:shd w:val="clear" w:color="auto" w:fill="auto"/>
            <w:vAlign w:val="center"/>
          </w:tcPr>
          <w:p w14:paraId="7CDC923A">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1830" w:type="dxa"/>
            <w:gridSpan w:val="3"/>
            <w:shd w:val="clear" w:color="auto" w:fill="auto"/>
            <w:vAlign w:val="center"/>
          </w:tcPr>
          <w:p w14:paraId="4C8BB930">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w:t>
            </w:r>
          </w:p>
        </w:tc>
        <w:tc>
          <w:tcPr>
            <w:tcW w:w="2789" w:type="dxa"/>
            <w:gridSpan w:val="2"/>
            <w:shd w:val="clear" w:color="auto" w:fill="auto"/>
            <w:vAlign w:val="center"/>
          </w:tcPr>
          <w:p w14:paraId="55A740BA">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违反条款：第二条；</w:t>
            </w:r>
          </w:p>
          <w:p w14:paraId="75C40ACF">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14:paraId="120F848E">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100</w:t>
            </w:r>
          </w:p>
        </w:tc>
        <w:tc>
          <w:tcPr>
            <w:tcW w:w="840" w:type="dxa"/>
            <w:shd w:val="clear" w:color="auto" w:fill="auto"/>
            <w:vAlign w:val="center"/>
          </w:tcPr>
          <w:p w14:paraId="65DD3310">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06D0A6F9">
            <w:pPr>
              <w:spacing w:line="232" w:lineRule="exact"/>
              <w:contextualSpacing/>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14:paraId="64C27E5E">
            <w:pPr>
              <w:spacing w:line="232" w:lineRule="exact"/>
              <w:contextualSpacing/>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罚款数额＝100×（1＋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3E8A1B37">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1.适用于一般无照经营情形；2.占用无障碍设施或者机动车道；占用过街桥、地下过街通道；使用畜力车、农用运输车及</w:t>
            </w:r>
            <w:r>
              <w:rPr>
                <w:rFonts w:hint="eastAsia" w:cs="宋体" w:asciiTheme="minorEastAsia" w:hAnsiTheme="minorEastAsia" w:eastAsiaTheme="minorEastAsia"/>
                <w:bCs/>
                <w:color w:val="auto"/>
                <w:kern w:val="0"/>
                <w:sz w:val="15"/>
                <w:szCs w:val="15"/>
                <w:highlight w:val="none"/>
                <w:lang w:eastAsia="zh-CN"/>
              </w:rPr>
              <w:t>其他</w:t>
            </w:r>
            <w:r>
              <w:rPr>
                <w:rFonts w:hint="eastAsia" w:cs="宋体" w:asciiTheme="minorEastAsia" w:hAnsiTheme="minorEastAsia" w:eastAsiaTheme="minorEastAsia"/>
                <w:bCs/>
                <w:color w:val="auto"/>
                <w:kern w:val="0"/>
                <w:sz w:val="15"/>
                <w:szCs w:val="15"/>
                <w:highlight w:val="none"/>
              </w:rPr>
              <w:t>机动车、电动车为经营工具；经营违禁品；占用非机动车道或者</w:t>
            </w:r>
            <w:r>
              <w:rPr>
                <w:rFonts w:hint="eastAsia" w:cs="宋体" w:asciiTheme="minorEastAsia" w:hAnsiTheme="minorEastAsia" w:eastAsiaTheme="minorEastAsia"/>
                <w:bCs/>
                <w:color w:val="auto"/>
                <w:kern w:val="0"/>
                <w:sz w:val="15"/>
                <w:szCs w:val="15"/>
                <w:highlight w:val="none"/>
                <w:lang w:eastAsia="zh-CN"/>
              </w:rPr>
              <w:t>其他</w:t>
            </w:r>
            <w:r>
              <w:rPr>
                <w:rFonts w:hint="eastAsia" w:cs="宋体" w:asciiTheme="minorEastAsia" w:hAnsiTheme="minorEastAsia" w:eastAsiaTheme="minorEastAsia"/>
                <w:bCs/>
                <w:color w:val="auto"/>
                <w:kern w:val="0"/>
                <w:sz w:val="15"/>
                <w:szCs w:val="15"/>
                <w:highlight w:val="none"/>
              </w:rPr>
              <w:t>公共场所面积较大；或者造成通行秩序、市容秩序混乱等无照经营情形，原则按照“摆摊设点”案由查处；需要给予500元以下较轻罚款的，说明理由，报案审会决定按照“无照经营”案由查处。</w:t>
            </w:r>
          </w:p>
        </w:tc>
      </w:tr>
      <w:tr w14:paraId="4BFB8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72" w:hRule="atLeast"/>
          <w:jc w:val="center"/>
        </w:trPr>
        <w:tc>
          <w:tcPr>
            <w:tcW w:w="610" w:type="dxa"/>
            <w:shd w:val="clear" w:color="auto" w:fill="auto"/>
            <w:vAlign w:val="center"/>
          </w:tcPr>
          <w:p w14:paraId="6990895A">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2</w:t>
            </w:r>
          </w:p>
        </w:tc>
        <w:tc>
          <w:tcPr>
            <w:tcW w:w="1830" w:type="dxa"/>
            <w:gridSpan w:val="3"/>
            <w:shd w:val="clear" w:color="auto" w:fill="auto"/>
            <w:vAlign w:val="center"/>
          </w:tcPr>
          <w:p w14:paraId="3FC21E4C">
            <w:pPr>
              <w:spacing w:line="232" w:lineRule="exact"/>
              <w:contextualSpacing/>
              <w:rPr>
                <w:rFonts w:cs="宋体" w:asciiTheme="minorEastAsia" w:hAnsiTheme="minorEastAsia" w:eastAsiaTheme="minorEastAsia"/>
                <w:bCs/>
                <w:color w:val="auto"/>
                <w:kern w:val="0"/>
                <w:sz w:val="15"/>
                <w:szCs w:val="15"/>
                <w:highlight w:val="none"/>
              </w:rPr>
            </w:pPr>
            <w:r>
              <w:rPr>
                <w:rFonts w:cs="宋体" w:asciiTheme="minorEastAsia" w:hAnsiTheme="minorEastAsia" w:eastAsiaTheme="minorEastAsia"/>
                <w:bCs/>
                <w:color w:val="auto"/>
                <w:kern w:val="0"/>
                <w:sz w:val="15"/>
                <w:szCs w:val="15"/>
                <w:highlight w:val="none"/>
              </w:rPr>
              <w:t>为无照经营者提供</w:t>
            </w:r>
            <w:r>
              <w:rPr>
                <w:rFonts w:hint="eastAsia" w:cs="宋体" w:asciiTheme="minorEastAsia" w:hAnsiTheme="minorEastAsia" w:eastAsiaTheme="minorEastAsia"/>
                <w:bCs/>
                <w:color w:val="auto"/>
                <w:kern w:val="0"/>
                <w:sz w:val="15"/>
                <w:szCs w:val="15"/>
                <w:highlight w:val="none"/>
              </w:rPr>
              <w:t>场所或者条件</w:t>
            </w:r>
          </w:p>
        </w:tc>
        <w:tc>
          <w:tcPr>
            <w:tcW w:w="2789" w:type="dxa"/>
            <w:gridSpan w:val="2"/>
            <w:shd w:val="clear" w:color="auto" w:fill="auto"/>
            <w:vAlign w:val="center"/>
          </w:tcPr>
          <w:p w14:paraId="67B7D336">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违反条款：第十四条；</w:t>
            </w:r>
          </w:p>
          <w:p w14:paraId="63BF267F">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处罚条款：第十四条，责令停止违法行为，没收违法所得，并处</w:t>
            </w:r>
            <w:r>
              <w:rPr>
                <w:rFonts w:cs="宋体" w:asciiTheme="minorEastAsia" w:hAnsiTheme="minorEastAsia" w:eastAsiaTheme="minorEastAsia"/>
                <w:bCs/>
                <w:color w:val="auto"/>
                <w:kern w:val="0"/>
                <w:sz w:val="15"/>
                <w:szCs w:val="15"/>
                <w:highlight w:val="none"/>
              </w:rPr>
              <w:t>5000</w:t>
            </w:r>
            <w:r>
              <w:rPr>
                <w:rFonts w:hint="eastAsia" w:cs="宋体" w:asciiTheme="minorEastAsia" w:hAnsiTheme="minorEastAsia" w:eastAsiaTheme="minorEastAsia"/>
                <w:bCs/>
                <w:color w:val="auto"/>
                <w:kern w:val="0"/>
                <w:sz w:val="15"/>
                <w:szCs w:val="15"/>
                <w:highlight w:val="none"/>
              </w:rPr>
              <w:t>元以下的罚款。</w:t>
            </w:r>
          </w:p>
        </w:tc>
        <w:tc>
          <w:tcPr>
            <w:tcW w:w="851" w:type="dxa"/>
            <w:shd w:val="clear" w:color="auto" w:fill="auto"/>
            <w:vAlign w:val="center"/>
          </w:tcPr>
          <w:p w14:paraId="14CDA663">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500</w:t>
            </w:r>
          </w:p>
        </w:tc>
        <w:tc>
          <w:tcPr>
            <w:tcW w:w="840" w:type="dxa"/>
            <w:shd w:val="clear" w:color="auto" w:fill="auto"/>
            <w:vAlign w:val="center"/>
          </w:tcPr>
          <w:p w14:paraId="571846B7">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auto"/>
            <w:vAlign w:val="center"/>
          </w:tcPr>
          <w:p w14:paraId="0AE80229">
            <w:pPr>
              <w:spacing w:line="232" w:lineRule="exact"/>
              <w:contextualSpacing/>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严重</w:t>
            </w:r>
            <w:r>
              <w:rPr>
                <w:rFonts w:hint="eastAsia" w:asciiTheme="minorEastAsia" w:hAnsiTheme="minorEastAsia" w:eastAsiaTheme="minorEastAsia"/>
                <w:color w:val="auto"/>
                <w:sz w:val="15"/>
                <w:szCs w:val="15"/>
                <w:highlight w:val="none"/>
              </w:rPr>
              <w:t>影响的，系数</w:t>
            </w:r>
            <w:r>
              <w:rPr>
                <w:rFonts w:hint="eastAsia" w:asciiTheme="minorEastAsia" w:hAnsiTheme="minorEastAsia" w:eastAsiaTheme="minorEastAsia"/>
                <w:color w:val="auto"/>
                <w:sz w:val="15"/>
                <w:szCs w:val="15"/>
                <w:highlight w:val="none"/>
                <w:lang w:val="en-US" w:eastAsia="zh-CN"/>
              </w:rPr>
              <w:t>5-9</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2.</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14:paraId="2B589FCF">
            <w:pPr>
              <w:spacing w:line="232" w:lineRule="exact"/>
              <w:contextualSpacing/>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auto"/>
            <w:vAlign w:val="center"/>
          </w:tcPr>
          <w:p w14:paraId="22ECC9D5">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w:t>
            </w:r>
            <w:r>
              <w:rPr>
                <w:rFonts w:hint="eastAsia" w:asciiTheme="minorEastAsia" w:hAnsiTheme="minorEastAsia" w:eastAsiaTheme="minorEastAsia"/>
                <w:strike w:val="0"/>
                <w:color w:val="auto"/>
                <w:sz w:val="15"/>
                <w:szCs w:val="15"/>
                <w:highlight w:val="none"/>
                <w:lang w:eastAsia="zh-CN"/>
              </w:rPr>
              <w:t>其他</w:t>
            </w:r>
            <w:r>
              <w:rPr>
                <w:rFonts w:hint="eastAsia" w:asciiTheme="minorEastAsia" w:hAnsiTheme="minorEastAsia" w:eastAsiaTheme="minorEastAsia"/>
                <w:strike w:val="0"/>
                <w:color w:val="auto"/>
                <w:sz w:val="15"/>
                <w:szCs w:val="15"/>
                <w:highlight w:val="none"/>
              </w:rPr>
              <w:t>处罚额度的，报案审会决定。</w:t>
            </w:r>
          </w:p>
          <w:p w14:paraId="1994F476">
            <w:pPr>
              <w:spacing w:line="232" w:lineRule="exact"/>
              <w:contextualSpacing/>
              <w:rPr>
                <w:rFonts w:cs="宋体" w:asciiTheme="minorEastAsia" w:hAnsiTheme="minorEastAsia" w:eastAsiaTheme="minorEastAsia"/>
                <w:bCs/>
                <w:color w:val="auto"/>
                <w:kern w:val="0"/>
                <w:sz w:val="15"/>
                <w:szCs w:val="15"/>
                <w:highlight w:val="none"/>
              </w:rPr>
            </w:pPr>
          </w:p>
        </w:tc>
      </w:tr>
      <w:tr w14:paraId="7F8BD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04" w:hRule="atLeast"/>
          <w:jc w:val="center"/>
        </w:trPr>
        <w:tc>
          <w:tcPr>
            <w:tcW w:w="610" w:type="dxa"/>
            <w:shd w:val="clear" w:color="auto" w:fill="auto"/>
            <w:vAlign w:val="center"/>
          </w:tcPr>
          <w:p w14:paraId="406D5627">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cs="宋体" w:asciiTheme="minorEastAsia" w:hAnsiTheme="minorEastAsia" w:eastAsiaTheme="minorEastAsia"/>
                <w:bCs/>
                <w:strike w:val="0"/>
                <w:dstrike w:val="0"/>
                <w:color w:val="auto"/>
                <w:kern w:val="0"/>
                <w:sz w:val="15"/>
                <w:szCs w:val="15"/>
                <w:highlight w:val="none"/>
              </w:rPr>
              <w:t>3</w:t>
            </w:r>
          </w:p>
        </w:tc>
        <w:tc>
          <w:tcPr>
            <w:tcW w:w="1830" w:type="dxa"/>
            <w:gridSpan w:val="3"/>
            <w:shd w:val="clear" w:color="auto" w:fill="auto"/>
            <w:vAlign w:val="center"/>
          </w:tcPr>
          <w:p w14:paraId="3923000C">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无照经营（人力三轮车等业务）</w:t>
            </w:r>
          </w:p>
        </w:tc>
        <w:tc>
          <w:tcPr>
            <w:tcW w:w="2789" w:type="dxa"/>
            <w:gridSpan w:val="2"/>
            <w:shd w:val="clear" w:color="auto" w:fill="auto"/>
            <w:vAlign w:val="center"/>
          </w:tcPr>
          <w:p w14:paraId="058C6B07">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违反条款：第二条；</w:t>
            </w:r>
          </w:p>
          <w:p w14:paraId="273FEF60">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14:paraId="583EAD98">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500</w:t>
            </w:r>
          </w:p>
        </w:tc>
        <w:tc>
          <w:tcPr>
            <w:tcW w:w="840" w:type="dxa"/>
            <w:shd w:val="clear" w:color="auto" w:fill="auto"/>
            <w:vAlign w:val="center"/>
          </w:tcPr>
          <w:p w14:paraId="342D4DE1">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1</w:t>
            </w:r>
          </w:p>
        </w:tc>
        <w:tc>
          <w:tcPr>
            <w:tcW w:w="3426" w:type="dxa"/>
            <w:shd w:val="clear" w:color="auto" w:fill="auto"/>
            <w:vAlign w:val="center"/>
          </w:tcPr>
          <w:p w14:paraId="47CF6E81">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Theme="minorEastAsia" w:hAnsiTheme="minorEastAsia" w:eastAsiaTheme="minorEastAsia"/>
                <w:strike w:val="0"/>
                <w:dstrike w:val="0"/>
                <w:color w:val="auto"/>
                <w:sz w:val="15"/>
                <w:szCs w:val="15"/>
                <w:highlight w:val="none"/>
              </w:rPr>
              <w:t>造成秩序混乱或者较大社会影响的，系数1-3</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2.</w:t>
            </w:r>
            <w:r>
              <w:rPr>
                <w:rFonts w:hint="eastAsia" w:asciiTheme="minorEastAsia" w:hAnsiTheme="minorEastAsia" w:eastAsiaTheme="minorEastAsia"/>
                <w:strike w:val="0"/>
                <w:dstrike w:val="0"/>
                <w:color w:val="auto"/>
                <w:sz w:val="15"/>
                <w:szCs w:val="15"/>
                <w:highlight w:val="none"/>
              </w:rPr>
              <w:t>存在基准2.1.3规定情形的，系数按照相关规定确定。</w:t>
            </w:r>
          </w:p>
        </w:tc>
        <w:tc>
          <w:tcPr>
            <w:tcW w:w="1875" w:type="dxa"/>
            <w:gridSpan w:val="2"/>
            <w:shd w:val="clear" w:color="auto" w:fill="auto"/>
            <w:vAlign w:val="center"/>
          </w:tcPr>
          <w:p w14:paraId="0FE40F55">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罚款数额＝500×</w:t>
            </w:r>
            <w:r>
              <w:rPr>
                <w:rFonts w:hint="eastAsia" w:cs="宋体" w:asciiTheme="minorEastAsia" w:hAnsiTheme="minorEastAsia" w:eastAsiaTheme="minorEastAsia"/>
                <w:bCs/>
                <w:strike w:val="0"/>
                <w:dstrike w:val="0"/>
                <w:color w:val="auto"/>
                <w:sz w:val="15"/>
                <w:szCs w:val="15"/>
                <w:highlight w:val="none"/>
              </w:rPr>
              <w:t>（1</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strike w:val="0"/>
                <w:dstrike w:val="0"/>
                <w:color w:val="auto"/>
                <w:sz w:val="15"/>
                <w:szCs w:val="15"/>
                <w:highlight w:val="none"/>
                <w:lang w:eastAsia="zh-CN"/>
              </w:rPr>
              <w:t>情节系数</w:t>
            </w:r>
            <w:r>
              <w:rPr>
                <w:rFonts w:hint="eastAsia" w:cs="宋体" w:asciiTheme="minorEastAsia" w:hAnsiTheme="minorEastAsia" w:eastAsiaTheme="minorEastAsia"/>
                <w:bCs/>
                <w:strike w:val="0"/>
                <w:dstrike w:val="0"/>
                <w:color w:val="auto"/>
                <w:sz w:val="15"/>
                <w:szCs w:val="15"/>
                <w:highlight w:val="none"/>
              </w:rPr>
              <w:t>）</w:t>
            </w:r>
          </w:p>
        </w:tc>
        <w:tc>
          <w:tcPr>
            <w:tcW w:w="1982" w:type="dxa"/>
            <w:gridSpan w:val="2"/>
            <w:shd w:val="clear" w:color="auto" w:fill="auto"/>
            <w:vAlign w:val="center"/>
          </w:tcPr>
          <w:p w14:paraId="5753D8F9">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w:t>
            </w:r>
            <w:r>
              <w:rPr>
                <w:rFonts w:hint="eastAsia" w:asciiTheme="minorEastAsia" w:hAnsiTheme="minorEastAsia" w:eastAsiaTheme="minorEastAsia"/>
                <w:strike w:val="0"/>
                <w:color w:val="auto"/>
                <w:sz w:val="15"/>
                <w:szCs w:val="15"/>
                <w:highlight w:val="none"/>
                <w:lang w:eastAsia="zh-CN"/>
              </w:rPr>
              <w:t>其他</w:t>
            </w:r>
            <w:r>
              <w:rPr>
                <w:rFonts w:hint="eastAsia" w:asciiTheme="minorEastAsia" w:hAnsiTheme="minorEastAsia" w:eastAsiaTheme="minorEastAsia"/>
                <w:strike w:val="0"/>
                <w:color w:val="auto"/>
                <w:sz w:val="15"/>
                <w:szCs w:val="15"/>
                <w:highlight w:val="none"/>
              </w:rPr>
              <w:t>处罚额度的，报案审会决定。</w:t>
            </w:r>
          </w:p>
          <w:p w14:paraId="2E44A85B">
            <w:pPr>
              <w:spacing w:line="232" w:lineRule="exact"/>
              <w:contextualSpacing/>
              <w:rPr>
                <w:rFonts w:hint="eastAsia" w:asciiTheme="minorEastAsia" w:hAnsiTheme="minorEastAsia" w:eastAsiaTheme="minorEastAsia"/>
                <w:strike w:val="0"/>
                <w:dstrike w:val="0"/>
                <w:color w:val="auto"/>
                <w:sz w:val="15"/>
                <w:szCs w:val="15"/>
                <w:highlight w:val="none"/>
              </w:rPr>
            </w:pPr>
          </w:p>
        </w:tc>
      </w:tr>
      <w:tr w14:paraId="15DCD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82" w:hRule="atLeast"/>
          <w:jc w:val="center"/>
        </w:trPr>
        <w:tc>
          <w:tcPr>
            <w:tcW w:w="14203" w:type="dxa"/>
            <w:gridSpan w:val="13"/>
            <w:shd w:val="clear" w:color="auto" w:fill="auto"/>
            <w:vAlign w:val="center"/>
          </w:tcPr>
          <w:p w14:paraId="0DA22411">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52" w:name="_Toc1160691890"/>
            <w:bookmarkStart w:id="153" w:name="_Toc110851485"/>
            <w:bookmarkStart w:id="154" w:name="_Toc1077073067"/>
            <w:r>
              <w:rPr>
                <w:rFonts w:hint="eastAsia" w:ascii="黑体" w:hAnsi="黑体" w:eastAsia="黑体"/>
                <w:b w:val="0"/>
                <w:color w:val="auto"/>
                <w:sz w:val="28"/>
                <w:szCs w:val="28"/>
                <w:highlight w:val="none"/>
              </w:rPr>
              <w:t>城</w:t>
            </w:r>
            <w:r>
              <w:rPr>
                <w:rFonts w:hint="eastAsia" w:ascii="黑体" w:hAnsi="黑体" w:eastAsia="黑体"/>
                <w:b w:val="0"/>
                <w:color w:val="auto"/>
                <w:sz w:val="28"/>
                <w:szCs w:val="28"/>
                <w:highlight w:val="none"/>
                <w:lang w:eastAsia="zh-CN"/>
              </w:rPr>
              <w:t>乡</w:t>
            </w:r>
            <w:r>
              <w:rPr>
                <w:rFonts w:hint="eastAsia" w:ascii="黑体" w:hAnsi="黑体" w:eastAsia="黑体"/>
                <w:b w:val="0"/>
                <w:color w:val="auto"/>
                <w:sz w:val="28"/>
                <w:szCs w:val="28"/>
                <w:highlight w:val="none"/>
              </w:rPr>
              <w:t>规划管理方面</w:t>
            </w:r>
            <w:bookmarkEnd w:id="152"/>
            <w:bookmarkEnd w:id="153"/>
            <w:bookmarkEnd w:id="154"/>
          </w:p>
        </w:tc>
      </w:tr>
      <w:tr w14:paraId="0D21C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14203" w:type="dxa"/>
            <w:gridSpan w:val="13"/>
            <w:shd w:val="clear" w:color="auto" w:fill="auto"/>
            <w:vAlign w:val="center"/>
          </w:tcPr>
          <w:p w14:paraId="2201D58C">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Theme="minorEastAsia" w:hAnsiTheme="minorEastAsia" w:eastAsiaTheme="minorEastAsia"/>
                <w:color w:val="auto"/>
                <w:sz w:val="15"/>
                <w:szCs w:val="15"/>
                <w:highlight w:val="none"/>
              </w:rPr>
            </w:pPr>
            <w:bookmarkStart w:id="155" w:name="_Toc110851486"/>
            <w:bookmarkStart w:id="156" w:name="_Toc869441363"/>
            <w:bookmarkStart w:id="157" w:name="_Toc187041735"/>
            <w:r>
              <w:rPr>
                <w:rFonts w:hint="eastAsia" w:asciiTheme="minorEastAsia" w:hAnsiTheme="minorEastAsia" w:eastAsiaTheme="minorEastAsia"/>
                <w:color w:val="auto"/>
                <w:sz w:val="21"/>
                <w:szCs w:val="21"/>
                <w:highlight w:val="none"/>
              </w:rPr>
              <w:t>《中华人民共和国城乡规划法》《北京市城乡规划条例》</w:t>
            </w: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案由2项</w:t>
            </w:r>
            <w:bookmarkEnd w:id="155"/>
            <w:bookmarkEnd w:id="156"/>
            <w:bookmarkEnd w:id="157"/>
          </w:p>
        </w:tc>
      </w:tr>
      <w:tr w14:paraId="0BE06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98" w:hRule="atLeast"/>
          <w:jc w:val="center"/>
        </w:trPr>
        <w:tc>
          <w:tcPr>
            <w:tcW w:w="610" w:type="dxa"/>
            <w:vMerge w:val="restart"/>
            <w:shd w:val="clear" w:color="auto" w:fill="auto"/>
            <w:vAlign w:val="center"/>
          </w:tcPr>
          <w:p w14:paraId="6A0BF3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vMerge w:val="restart"/>
            <w:shd w:val="clear" w:color="auto" w:fill="auto"/>
            <w:vAlign w:val="center"/>
          </w:tcPr>
          <w:p w14:paraId="58CD3492">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9781" w:type="dxa"/>
            <w:gridSpan w:val="7"/>
            <w:shd w:val="clear" w:color="auto" w:fill="auto"/>
          </w:tcPr>
          <w:p w14:paraId="642AD38B">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新生违法建设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1982" w:type="dxa"/>
            <w:gridSpan w:val="2"/>
            <w:shd w:val="clear" w:color="auto" w:fill="auto"/>
            <w:vAlign w:val="center"/>
          </w:tcPr>
          <w:p w14:paraId="6CEEEAA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r>
              <w:rPr>
                <w:rFonts w:hint="eastAsia" w:cs="宋体" w:asciiTheme="minorEastAsia" w:hAnsiTheme="minorEastAsia" w:eastAsiaTheme="minorEastAsia"/>
                <w:color w:val="auto"/>
                <w:kern w:val="0"/>
                <w:sz w:val="15"/>
                <w:szCs w:val="15"/>
                <w:highlight w:val="none"/>
              </w:rPr>
              <w:br w:type="textWrapping"/>
            </w:r>
          </w:p>
        </w:tc>
      </w:tr>
      <w:tr w14:paraId="26FD6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644" w:hRule="atLeast"/>
          <w:jc w:val="center"/>
        </w:trPr>
        <w:tc>
          <w:tcPr>
            <w:tcW w:w="610" w:type="dxa"/>
            <w:vMerge w:val="continue"/>
            <w:tcBorders>
              <w:bottom w:val="single" w:color="auto" w:sz="4" w:space="0"/>
            </w:tcBorders>
            <w:shd w:val="clear" w:color="auto" w:fill="auto"/>
            <w:vAlign w:val="center"/>
          </w:tcPr>
          <w:p w14:paraId="733C4716">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tcBorders>
              <w:bottom w:val="single" w:color="auto" w:sz="4" w:space="0"/>
            </w:tcBorders>
            <w:shd w:val="clear" w:color="auto" w:fill="auto"/>
            <w:vAlign w:val="center"/>
          </w:tcPr>
          <w:p w14:paraId="782CB249">
            <w:pPr>
              <w:spacing w:line="232" w:lineRule="exact"/>
              <w:jc w:val="left"/>
              <w:rPr>
                <w:rFonts w:cs="宋体" w:asciiTheme="minorEastAsia" w:hAnsiTheme="minorEastAsia" w:eastAsiaTheme="minorEastAsia"/>
                <w:color w:val="auto"/>
                <w:kern w:val="0"/>
                <w:sz w:val="15"/>
                <w:szCs w:val="15"/>
                <w:highlight w:val="none"/>
              </w:rPr>
            </w:pPr>
          </w:p>
        </w:tc>
        <w:tc>
          <w:tcPr>
            <w:tcW w:w="9781" w:type="dxa"/>
            <w:gridSpan w:val="7"/>
            <w:tcBorders>
              <w:bottom w:val="single" w:color="auto" w:sz="4" w:space="0"/>
            </w:tcBorders>
            <w:shd w:val="clear" w:color="auto" w:fill="auto"/>
          </w:tcPr>
          <w:p w14:paraId="773C06D4">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已建成违法建设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拆除条款：（限期拆除）</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14:paraId="6347FA83">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（强制拆除）</w:t>
            </w:r>
            <w:r>
              <w:rPr>
                <w:rFonts w:hint="eastAsia" w:cs="宋体" w:asciiTheme="minorEastAsia" w:hAnsiTheme="minorEastAsia" w:eastAsiaTheme="minorEastAsia"/>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14:paraId="2BDE299C">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b/>
                <w:color w:val="auto"/>
                <w:kern w:val="0"/>
                <w:sz w:val="15"/>
                <w:szCs w:val="15"/>
                <w:highlight w:val="none"/>
              </w:rPr>
              <w:t>（无主公告）</w:t>
            </w:r>
            <w:r>
              <w:rPr>
                <w:rFonts w:hint="eastAsia" w:cs="宋体" w:asciiTheme="minorEastAsia" w:hAnsiTheme="minorEastAsia" w:eastAsiaTheme="minorEastAsia"/>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1982" w:type="dxa"/>
            <w:gridSpan w:val="2"/>
            <w:tcBorders>
              <w:bottom w:val="single" w:color="auto" w:sz="4" w:space="0"/>
            </w:tcBorders>
            <w:shd w:val="clear" w:color="auto" w:fill="auto"/>
            <w:vAlign w:val="center"/>
          </w:tcPr>
          <w:p w14:paraId="3C906A26">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r>
      <w:tr w14:paraId="78AA4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454" w:hRule="atLeast"/>
          <w:jc w:val="center"/>
        </w:trPr>
        <w:tc>
          <w:tcPr>
            <w:tcW w:w="610" w:type="dxa"/>
            <w:shd w:val="clear" w:color="auto" w:fill="auto"/>
            <w:vAlign w:val="center"/>
          </w:tcPr>
          <w:p w14:paraId="7F1F0C43">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shd w:val="clear" w:color="auto" w:fill="auto"/>
            <w:vAlign w:val="center"/>
          </w:tcPr>
          <w:p w14:paraId="363FFC89">
            <w:pPr>
              <w:spacing w:line="232" w:lineRule="exact"/>
              <w:jc w:val="left"/>
              <w:rPr>
                <w:rFonts w:cs="宋体" w:asciiTheme="minorEastAsia" w:hAnsiTheme="minorEastAsia" w:eastAsiaTheme="minorEastAsia"/>
                <w:color w:val="auto"/>
                <w:kern w:val="0"/>
                <w:sz w:val="15"/>
                <w:szCs w:val="15"/>
                <w:highlight w:val="none"/>
              </w:rPr>
            </w:pPr>
          </w:p>
        </w:tc>
        <w:tc>
          <w:tcPr>
            <w:tcW w:w="9781" w:type="dxa"/>
            <w:gridSpan w:val="7"/>
            <w:shd w:val="clear" w:color="auto" w:fill="auto"/>
          </w:tcPr>
          <w:p w14:paraId="32359E64">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城镇临时建设工程未取得临时建设工程规划许可证违法建设</w:t>
            </w:r>
            <w:r>
              <w:rPr>
                <w:rFonts w:cs="宋体" w:asciiTheme="minorEastAsia" w:hAnsiTheme="minorEastAsia" w:eastAsiaTheme="minorEastAsia"/>
                <w:b/>
                <w:bCs/>
                <w:color w:val="auto"/>
                <w:kern w:val="0"/>
                <w:sz w:val="15"/>
                <w:szCs w:val="15"/>
                <w:highlight w:val="none"/>
              </w:rPr>
              <w:t>]</w:t>
            </w:r>
          </w:p>
          <w:p w14:paraId="21003EDF">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p>
          <w:p w14:paraId="1E68577F">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14:paraId="04385187">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14:paraId="63C7E1BD">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p>
          <w:p w14:paraId="3BDBC398">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color w:val="auto"/>
                <w:kern w:val="0"/>
                <w:sz w:val="15"/>
                <w:szCs w:val="15"/>
                <w:highlight w:val="none"/>
                <w:lang w:val="en"/>
              </w:rPr>
            </w:pP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《北京市城乡规划条例》第七十六条。</w:t>
            </w:r>
          </w:p>
        </w:tc>
        <w:tc>
          <w:tcPr>
            <w:tcW w:w="1982" w:type="dxa"/>
            <w:gridSpan w:val="2"/>
            <w:shd w:val="clear" w:color="auto" w:fill="auto"/>
            <w:vAlign w:val="center"/>
          </w:tcPr>
          <w:p w14:paraId="200C613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r>
      <w:tr w14:paraId="2E180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29" w:hRule="atLeast"/>
          <w:jc w:val="center"/>
        </w:trPr>
        <w:tc>
          <w:tcPr>
            <w:tcW w:w="610" w:type="dxa"/>
            <w:shd w:val="clear" w:color="auto" w:fill="auto"/>
            <w:vAlign w:val="center"/>
          </w:tcPr>
          <w:p w14:paraId="56ACF2D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1E12CD8B">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未按照规定在施工现场对外公示建设工程规划许可证（含临时）及附件、附图</w:t>
            </w:r>
          </w:p>
        </w:tc>
        <w:tc>
          <w:tcPr>
            <w:tcW w:w="2789" w:type="dxa"/>
            <w:gridSpan w:val="2"/>
            <w:shd w:val="clear" w:color="auto" w:fill="auto"/>
            <w:vAlign w:val="center"/>
          </w:tcPr>
          <w:p w14:paraId="6624ADD8">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《北京市城乡规划条例》第六十四条；</w:t>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《北京市城乡规划条例》第八十五条，责令限期改正，可以并处</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元以上</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万元以下罚款。</w:t>
            </w:r>
          </w:p>
        </w:tc>
        <w:tc>
          <w:tcPr>
            <w:tcW w:w="851" w:type="dxa"/>
            <w:shd w:val="clear" w:color="auto" w:fill="auto"/>
            <w:vAlign w:val="center"/>
          </w:tcPr>
          <w:p w14:paraId="29AC3B36">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4ECF416E">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EEB3CF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73FB8F5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951838E">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该项案由执法区域范畴与查处违法建设分工区域范畴相同</w:t>
            </w:r>
            <w:r>
              <w:rPr>
                <w:rFonts w:hint="eastAsia" w:cs="宋体" w:asciiTheme="minorEastAsia" w:hAnsiTheme="minorEastAsia" w:eastAsiaTheme="minorEastAsia"/>
                <w:strike w:val="0"/>
                <w:dstrike w:val="0"/>
                <w:color w:val="auto"/>
                <w:kern w:val="0"/>
                <w:sz w:val="15"/>
                <w:szCs w:val="15"/>
                <w:highlight w:val="none"/>
                <w:lang w:eastAsia="zh-CN"/>
              </w:rPr>
              <w:t>。</w:t>
            </w:r>
          </w:p>
        </w:tc>
      </w:tr>
      <w:tr w14:paraId="47F65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2" w:hRule="atLeast"/>
          <w:jc w:val="center"/>
        </w:trPr>
        <w:tc>
          <w:tcPr>
            <w:tcW w:w="14203" w:type="dxa"/>
            <w:gridSpan w:val="13"/>
            <w:shd w:val="clear" w:color="auto" w:fill="auto"/>
            <w:vAlign w:val="center"/>
          </w:tcPr>
          <w:p w14:paraId="7962C5FD">
            <w:pPr>
              <w:pStyle w:val="2"/>
              <w:keepNext w:val="0"/>
              <w:keepLines w:val="0"/>
              <w:rPr>
                <w:rFonts w:ascii="黑体" w:hAnsi="黑体" w:eastAsia="黑体"/>
                <w:b w:val="0"/>
                <w:color w:val="auto"/>
                <w:sz w:val="24"/>
                <w:szCs w:val="24"/>
                <w:highlight w:val="none"/>
              </w:rPr>
            </w:pPr>
            <w:bookmarkStart w:id="158" w:name="_Toc110851487"/>
            <w:bookmarkStart w:id="159" w:name="_Toc1164959189"/>
            <w:bookmarkStart w:id="160" w:name="_Toc250975437"/>
            <w:r>
              <w:rPr>
                <w:rFonts w:hint="eastAsia" w:ascii="黑体" w:hAnsi="黑体" w:eastAsia="黑体"/>
                <w:b w:val="0"/>
                <w:color w:val="auto"/>
                <w:sz w:val="28"/>
                <w:szCs w:val="28"/>
                <w:highlight w:val="none"/>
              </w:rPr>
              <w:t>旅游管理（黑导游）方面</w:t>
            </w:r>
            <w:bookmarkEnd w:id="158"/>
            <w:bookmarkEnd w:id="159"/>
            <w:bookmarkEnd w:id="160"/>
          </w:p>
        </w:tc>
      </w:tr>
      <w:tr w14:paraId="6AC79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55" w:hRule="atLeast"/>
          <w:jc w:val="center"/>
        </w:trPr>
        <w:tc>
          <w:tcPr>
            <w:tcW w:w="14203" w:type="dxa"/>
            <w:gridSpan w:val="13"/>
            <w:shd w:val="clear" w:color="auto" w:fill="auto"/>
            <w:vAlign w:val="center"/>
          </w:tcPr>
          <w:p w14:paraId="1CBA75A2">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1" w:name="_Toc363033362"/>
            <w:bookmarkStart w:id="162" w:name="_Toc110851488"/>
            <w:bookmarkStart w:id="163" w:name="_Toc1658285541"/>
            <w:r>
              <w:rPr>
                <w:rFonts w:hint="eastAsia" w:asciiTheme="minorEastAsia" w:hAnsiTheme="minorEastAsia" w:eastAsiaTheme="minorEastAsia"/>
                <w:color w:val="auto"/>
                <w:sz w:val="21"/>
                <w:szCs w:val="21"/>
                <w:highlight w:val="none"/>
              </w:rPr>
              <w:t>《中华人民共和国旅游法》案由1项</w:t>
            </w:r>
            <w:bookmarkEnd w:id="161"/>
            <w:bookmarkEnd w:id="162"/>
            <w:bookmarkEnd w:id="163"/>
          </w:p>
        </w:tc>
      </w:tr>
      <w:tr w14:paraId="1C371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61" w:hRule="atLeast"/>
          <w:jc w:val="center"/>
        </w:trPr>
        <w:tc>
          <w:tcPr>
            <w:tcW w:w="610" w:type="dxa"/>
            <w:shd w:val="clear" w:color="auto" w:fill="auto"/>
            <w:vAlign w:val="center"/>
          </w:tcPr>
          <w:p w14:paraId="77FDD76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6A0FC3E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无导游证进行导游活动</w:t>
            </w:r>
          </w:p>
        </w:tc>
        <w:tc>
          <w:tcPr>
            <w:tcW w:w="2789" w:type="dxa"/>
            <w:gridSpan w:val="2"/>
            <w:shd w:val="clear" w:color="auto" w:fill="auto"/>
            <w:vAlign w:val="center"/>
          </w:tcPr>
          <w:p w14:paraId="16C2982D">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违反、处罚条款：第一百零二条第一款，责令改正，没收违法所得，并处1千元以上1万元以下罚款，予以公告。</w:t>
            </w:r>
          </w:p>
        </w:tc>
        <w:tc>
          <w:tcPr>
            <w:tcW w:w="851" w:type="dxa"/>
            <w:shd w:val="clear" w:color="auto" w:fill="auto"/>
            <w:vAlign w:val="center"/>
          </w:tcPr>
          <w:p w14:paraId="531599A4">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31074593">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DFD10C3">
            <w:pPr>
              <w:spacing w:line="22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造成社会不良影响的，系数</w:t>
            </w:r>
            <w:r>
              <w:rPr>
                <w:rFonts w:hint="eastAsia" w:cs="宋体" w:asciiTheme="minorEastAsia" w:hAnsiTheme="minorEastAsia" w:eastAsiaTheme="minorEastAsia"/>
                <w:color w:val="auto"/>
                <w:kern w:val="0"/>
                <w:sz w:val="15"/>
                <w:szCs w:val="15"/>
                <w:highlight w:val="none"/>
                <w:lang w:val="en-US" w:eastAsia="zh-CN"/>
              </w:rPr>
              <w:t>1-3；2.存在基准2.1.3规定情形的，系数按照相关规定确定（基准2.1.3.5不适用）。</w:t>
            </w:r>
          </w:p>
        </w:tc>
        <w:tc>
          <w:tcPr>
            <w:tcW w:w="1875" w:type="dxa"/>
            <w:gridSpan w:val="2"/>
            <w:shd w:val="clear" w:color="auto" w:fill="auto"/>
            <w:vAlign w:val="center"/>
          </w:tcPr>
          <w:p w14:paraId="7FDDD451">
            <w:pPr>
              <w:spacing w:line="220"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4B1D5DDD">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14:paraId="63E62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85" w:hRule="atLeast"/>
          <w:jc w:val="center"/>
        </w:trPr>
        <w:tc>
          <w:tcPr>
            <w:tcW w:w="14203" w:type="dxa"/>
            <w:gridSpan w:val="13"/>
            <w:shd w:val="clear" w:color="auto" w:fill="auto"/>
            <w:vAlign w:val="center"/>
          </w:tcPr>
          <w:p w14:paraId="38A96CBA">
            <w:pPr>
              <w:pStyle w:val="2"/>
              <w:keepNext w:val="0"/>
              <w:keepLines w:val="0"/>
              <w:rPr>
                <w:rFonts w:ascii="黑体" w:hAnsi="黑体" w:eastAsia="黑体"/>
                <w:b w:val="0"/>
                <w:color w:val="auto"/>
                <w:sz w:val="36"/>
                <w:szCs w:val="36"/>
                <w:highlight w:val="none"/>
              </w:rPr>
            </w:pPr>
            <w:bookmarkStart w:id="164" w:name="_Toc8089072"/>
            <w:bookmarkStart w:id="165" w:name="_Toc1256147958"/>
            <w:bookmarkStart w:id="166" w:name="_Toc110851489"/>
            <w:r>
              <w:rPr>
                <w:rFonts w:hint="eastAsia" w:ascii="黑体" w:hAnsi="黑体" w:eastAsia="黑体"/>
                <w:b w:val="0"/>
                <w:color w:val="auto"/>
                <w:sz w:val="28"/>
                <w:szCs w:val="28"/>
                <w:highlight w:val="none"/>
              </w:rPr>
              <w:t>食品安全管理方面</w:t>
            </w:r>
            <w:bookmarkEnd w:id="164"/>
            <w:bookmarkEnd w:id="165"/>
            <w:bookmarkEnd w:id="166"/>
          </w:p>
        </w:tc>
      </w:tr>
      <w:tr w14:paraId="069D0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467" w:hRule="atLeast"/>
          <w:jc w:val="center"/>
        </w:trPr>
        <w:tc>
          <w:tcPr>
            <w:tcW w:w="14203" w:type="dxa"/>
            <w:gridSpan w:val="13"/>
            <w:shd w:val="clear" w:color="auto" w:fill="auto"/>
            <w:vAlign w:val="center"/>
          </w:tcPr>
          <w:p w14:paraId="3670EB07">
            <w:pPr>
              <w:pStyle w:val="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7" w:name="_Toc1760515769"/>
            <w:bookmarkStart w:id="168" w:name="_Toc948913247"/>
            <w:bookmarkStart w:id="169" w:name="_Toc110851490"/>
            <w:r>
              <w:rPr>
                <w:rFonts w:hint="eastAsia" w:asciiTheme="minorEastAsia" w:hAnsiTheme="minorEastAsia" w:eastAsiaTheme="minorEastAsia"/>
                <w:color w:val="auto"/>
                <w:sz w:val="21"/>
                <w:szCs w:val="21"/>
                <w:highlight w:val="none"/>
              </w:rPr>
              <w:t>《北京市小规模食品生产经营管理规定》案由23项</w:t>
            </w:r>
            <w:bookmarkEnd w:id="167"/>
            <w:bookmarkEnd w:id="168"/>
            <w:bookmarkEnd w:id="169"/>
          </w:p>
        </w:tc>
      </w:tr>
      <w:tr w14:paraId="7F509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2C8EE32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830" w:type="dxa"/>
            <w:gridSpan w:val="3"/>
            <w:shd w:val="clear" w:color="auto" w:fill="auto"/>
            <w:vAlign w:val="center"/>
          </w:tcPr>
          <w:p w14:paraId="20CEE98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食品摊贩以欺骗、贿赂等不正当手段取得备案</w:t>
            </w:r>
          </w:p>
        </w:tc>
        <w:tc>
          <w:tcPr>
            <w:tcW w:w="2789" w:type="dxa"/>
            <w:gridSpan w:val="2"/>
            <w:shd w:val="clear" w:color="auto" w:fill="auto"/>
            <w:vAlign w:val="center"/>
          </w:tcPr>
          <w:p w14:paraId="2364F31B">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14:paraId="228329E1">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处罚条款：第二十三条，对食品摊贩处2000元以上5000元以下罚款。</w:t>
            </w:r>
          </w:p>
        </w:tc>
        <w:tc>
          <w:tcPr>
            <w:tcW w:w="851" w:type="dxa"/>
            <w:shd w:val="clear" w:color="auto" w:fill="auto"/>
            <w:vAlign w:val="center"/>
          </w:tcPr>
          <w:p w14:paraId="6369F757">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14:paraId="4EF2010D">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79C74DD0">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13B31654">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331CB41A">
            <w:pPr>
              <w:spacing w:line="232" w:lineRule="exact"/>
              <w:rPr>
                <w:rFonts w:cs="宋体" w:asciiTheme="minorEastAsia" w:hAnsiTheme="minorEastAsia" w:eastAsiaTheme="minorEastAsia"/>
                <w:color w:val="auto"/>
                <w:kern w:val="0"/>
                <w:sz w:val="15"/>
                <w:szCs w:val="15"/>
                <w:highlight w:val="none"/>
              </w:rPr>
            </w:pPr>
          </w:p>
        </w:tc>
      </w:tr>
      <w:tr w14:paraId="1B445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06" w:hRule="atLeast"/>
          <w:jc w:val="center"/>
        </w:trPr>
        <w:tc>
          <w:tcPr>
            <w:tcW w:w="610" w:type="dxa"/>
            <w:shd w:val="clear" w:color="auto" w:fill="auto"/>
            <w:vAlign w:val="center"/>
          </w:tcPr>
          <w:p w14:paraId="149717E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auto"/>
            <w:vAlign w:val="center"/>
          </w:tcPr>
          <w:p w14:paraId="10FB3D5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食品摊贩超出备案载明的经营区域、经营时段从事食品生产经营活动</w:t>
            </w:r>
          </w:p>
        </w:tc>
        <w:tc>
          <w:tcPr>
            <w:tcW w:w="2789" w:type="dxa"/>
            <w:gridSpan w:val="2"/>
            <w:shd w:val="clear" w:color="auto" w:fill="auto"/>
            <w:vAlign w:val="center"/>
          </w:tcPr>
          <w:p w14:paraId="7BE32CCE">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违反条款：第八条第二款和《北京市市容环境卫生条例》第三十五条第一款；</w:t>
            </w:r>
          </w:p>
          <w:p w14:paraId="09787982">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shd w:val="clear" w:color="auto" w:fill="auto"/>
            <w:vAlign w:val="center"/>
          </w:tcPr>
          <w:p w14:paraId="06F18C11">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E0E1C73">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DF01D17">
            <w:pPr>
              <w:spacing w:line="22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1.超出</w:t>
            </w:r>
            <w:r>
              <w:rPr>
                <w:rFonts w:cs="宋体" w:asciiTheme="minorEastAsia" w:hAnsiTheme="minorEastAsia" w:eastAsiaTheme="minorEastAsia"/>
                <w:color w:val="auto"/>
                <w:kern w:val="0"/>
                <w:sz w:val="15"/>
                <w:szCs w:val="15"/>
                <w:highlight w:val="none"/>
              </w:rPr>
              <w:t>备案载明的经营区域或经营时段的，</w:t>
            </w:r>
            <w:r>
              <w:rPr>
                <w:rFonts w:hint="eastAsia" w:cs="宋体" w:asciiTheme="minorEastAsia" w:hAnsiTheme="minorEastAsia" w:eastAsiaTheme="minorEastAsia"/>
                <w:color w:val="auto"/>
                <w:kern w:val="0"/>
                <w:sz w:val="15"/>
                <w:szCs w:val="15"/>
                <w:highlight w:val="none"/>
                <w:lang w:eastAsia="zh-CN"/>
              </w:rPr>
              <w:t>系数</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；2.同时</w:t>
            </w:r>
            <w:r>
              <w:rPr>
                <w:rFonts w:cs="宋体" w:asciiTheme="minorEastAsia" w:hAnsiTheme="minorEastAsia" w:eastAsiaTheme="minorEastAsia"/>
                <w:color w:val="auto"/>
                <w:kern w:val="0"/>
                <w:sz w:val="15"/>
                <w:szCs w:val="15"/>
                <w:highlight w:val="none"/>
              </w:rPr>
              <w:t>超出</w:t>
            </w:r>
            <w:r>
              <w:rPr>
                <w:rFonts w:hint="eastAsia" w:cs="宋体" w:asciiTheme="minorEastAsia" w:hAnsiTheme="minorEastAsia" w:eastAsiaTheme="minorEastAsia"/>
                <w:color w:val="auto"/>
                <w:kern w:val="0"/>
                <w:sz w:val="15"/>
                <w:szCs w:val="15"/>
                <w:highlight w:val="none"/>
              </w:rPr>
              <w:t>备</w:t>
            </w:r>
            <w:r>
              <w:rPr>
                <w:rFonts w:cs="宋体" w:asciiTheme="minorEastAsia" w:hAnsiTheme="minorEastAsia" w:eastAsiaTheme="minorEastAsia"/>
                <w:color w:val="auto"/>
                <w:kern w:val="0"/>
                <w:sz w:val="15"/>
                <w:szCs w:val="15"/>
                <w:highlight w:val="none"/>
              </w:rPr>
              <w:t>案载明的经营区域</w:t>
            </w:r>
            <w:r>
              <w:rPr>
                <w:rFonts w:hint="eastAsia" w:cs="宋体" w:asciiTheme="minorEastAsia" w:hAnsiTheme="minorEastAsia" w:eastAsiaTheme="minorEastAsia"/>
                <w:color w:val="auto"/>
                <w:kern w:val="0"/>
                <w:sz w:val="15"/>
                <w:szCs w:val="15"/>
                <w:highlight w:val="none"/>
              </w:rPr>
              <w:t>和</w:t>
            </w:r>
            <w:r>
              <w:rPr>
                <w:rFonts w:cs="宋体" w:asciiTheme="minorEastAsia" w:hAnsiTheme="minorEastAsia" w:eastAsiaTheme="minorEastAsia"/>
                <w:color w:val="auto"/>
                <w:kern w:val="0"/>
                <w:sz w:val="15"/>
                <w:szCs w:val="15"/>
                <w:highlight w:val="none"/>
              </w:rPr>
              <w:t>经营时段的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1D0D8AC0">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A6AE534">
            <w:pPr>
              <w:spacing w:line="232" w:lineRule="exact"/>
              <w:rPr>
                <w:rFonts w:cs="宋体" w:asciiTheme="minorEastAsia" w:hAnsiTheme="minorEastAsia" w:eastAsiaTheme="minorEastAsia"/>
                <w:color w:val="auto"/>
                <w:kern w:val="0"/>
                <w:sz w:val="15"/>
                <w:szCs w:val="15"/>
                <w:highlight w:val="none"/>
              </w:rPr>
            </w:pPr>
          </w:p>
        </w:tc>
      </w:tr>
      <w:tr w14:paraId="39B22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14:paraId="5CA05F3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vMerge w:val="restart"/>
            <w:shd w:val="clear" w:color="auto" w:fill="auto"/>
            <w:vAlign w:val="center"/>
          </w:tcPr>
          <w:p w14:paraId="1425BFB4">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食品摊贩用非食品原料生产制作食品（在食品中添加食品添加剂以外的化学物质和</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可能危害人体健康的物质、用回收食品作为原料生产加工食品）</w:t>
            </w:r>
          </w:p>
        </w:tc>
        <w:tc>
          <w:tcPr>
            <w:tcW w:w="2789" w:type="dxa"/>
            <w:gridSpan w:val="2"/>
            <w:vMerge w:val="restart"/>
            <w:shd w:val="clear" w:color="auto" w:fill="auto"/>
            <w:vAlign w:val="center"/>
          </w:tcPr>
          <w:p w14:paraId="456E48E4">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违反条款：第十三条第一项；</w:t>
            </w:r>
          </w:p>
          <w:p w14:paraId="476F74C6">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14:paraId="4BBD2E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6303DDC5">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741E7351">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A2A679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1982" w:type="dxa"/>
            <w:gridSpan w:val="2"/>
            <w:shd w:val="clear" w:color="auto" w:fill="auto"/>
            <w:vAlign w:val="center"/>
          </w:tcPr>
          <w:p w14:paraId="21DA4BCC">
            <w:pPr>
              <w:spacing w:line="232" w:lineRule="exact"/>
              <w:rPr>
                <w:rFonts w:cs="宋体" w:asciiTheme="minorEastAsia" w:hAnsiTheme="minorEastAsia" w:eastAsiaTheme="minorEastAsia"/>
                <w:color w:val="auto"/>
                <w:kern w:val="0"/>
                <w:sz w:val="15"/>
                <w:szCs w:val="15"/>
                <w:highlight w:val="none"/>
              </w:rPr>
            </w:pPr>
          </w:p>
        </w:tc>
      </w:tr>
      <w:tr w14:paraId="63126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14:paraId="1C3864A3">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16240A04">
            <w:pPr>
              <w:spacing w:line="204"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2328E1F2">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01B7B62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14:paraId="138BFEF1">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2DC80E4">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造成食品安全事故的，系数15。</w:t>
            </w:r>
          </w:p>
          <w:p w14:paraId="3D29F5C0">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14:paraId="59D9E5D9">
            <w:pPr>
              <w:spacing w:line="232" w:lineRule="exact"/>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罚款数额＝货值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val="en-US" w:eastAsia="zh-CN"/>
              </w:rPr>
              <w:t>+情节系数）</w:t>
            </w:r>
          </w:p>
        </w:tc>
        <w:tc>
          <w:tcPr>
            <w:tcW w:w="1982" w:type="dxa"/>
            <w:gridSpan w:val="2"/>
            <w:shd w:val="clear" w:color="auto" w:fill="auto"/>
            <w:vAlign w:val="center"/>
          </w:tcPr>
          <w:p w14:paraId="4AF55D4C">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14:paraId="226ED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14:paraId="5F5D9E7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vMerge w:val="restart"/>
            <w:shd w:val="clear" w:color="auto" w:fill="auto"/>
            <w:vAlign w:val="center"/>
          </w:tcPr>
          <w:p w14:paraId="5D0AEBA1">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食品摊贩经营病死、毒死或者死因不明的禽、畜、兽、水产动物肉类或者生产经营其制品</w:t>
            </w:r>
          </w:p>
        </w:tc>
        <w:tc>
          <w:tcPr>
            <w:tcW w:w="2789" w:type="dxa"/>
            <w:gridSpan w:val="2"/>
            <w:vMerge w:val="restart"/>
            <w:shd w:val="clear" w:color="auto" w:fill="auto"/>
            <w:vAlign w:val="center"/>
          </w:tcPr>
          <w:p w14:paraId="3D6CC7E2">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违反条款：第十三条第二项；</w:t>
            </w:r>
          </w:p>
          <w:p w14:paraId="40607FAC">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14:paraId="225C4F1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121B00FC">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EC254EF">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6C20247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1982" w:type="dxa"/>
            <w:gridSpan w:val="2"/>
            <w:shd w:val="clear" w:color="auto" w:fill="auto"/>
            <w:vAlign w:val="center"/>
          </w:tcPr>
          <w:p w14:paraId="7C475288">
            <w:pPr>
              <w:spacing w:line="232" w:lineRule="exact"/>
              <w:rPr>
                <w:rFonts w:cs="宋体" w:asciiTheme="minorEastAsia" w:hAnsiTheme="minorEastAsia" w:eastAsiaTheme="minorEastAsia"/>
                <w:color w:val="auto"/>
                <w:kern w:val="0"/>
                <w:sz w:val="15"/>
                <w:szCs w:val="15"/>
                <w:highlight w:val="none"/>
              </w:rPr>
            </w:pPr>
          </w:p>
        </w:tc>
      </w:tr>
      <w:tr w14:paraId="74385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continue"/>
            <w:shd w:val="clear" w:color="auto" w:fill="auto"/>
            <w:vAlign w:val="center"/>
          </w:tcPr>
          <w:p w14:paraId="3F86452F">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4CF74693">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5B61FB9F">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32CF826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14:paraId="70726193">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7CFD06A7">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造成食品安全事故的，系数15。</w:t>
            </w:r>
          </w:p>
          <w:p w14:paraId="5A20A87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14:paraId="747F0AB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val="en-US" w:eastAsia="zh-CN"/>
              </w:rPr>
              <w:t>+情节系数）</w:t>
            </w:r>
          </w:p>
        </w:tc>
        <w:tc>
          <w:tcPr>
            <w:tcW w:w="1982" w:type="dxa"/>
            <w:gridSpan w:val="2"/>
            <w:shd w:val="clear" w:color="auto" w:fill="auto"/>
            <w:vAlign w:val="center"/>
          </w:tcPr>
          <w:p w14:paraId="4F4EB634">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14:paraId="5A51B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14:paraId="19BAD3B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vMerge w:val="restart"/>
            <w:shd w:val="clear" w:color="auto" w:fill="auto"/>
            <w:vAlign w:val="center"/>
          </w:tcPr>
          <w:p w14:paraId="61AB589E">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食品摊贩经营未按规定进行检疫或者检疫不合格的肉类（未经检验或者检验不合格的肉类制品）</w:t>
            </w:r>
          </w:p>
        </w:tc>
        <w:tc>
          <w:tcPr>
            <w:tcW w:w="2789" w:type="dxa"/>
            <w:gridSpan w:val="2"/>
            <w:vMerge w:val="restart"/>
            <w:shd w:val="clear" w:color="auto" w:fill="auto"/>
            <w:vAlign w:val="center"/>
          </w:tcPr>
          <w:p w14:paraId="33DAAEFA">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违反条款：第十三条第三项；</w:t>
            </w:r>
          </w:p>
          <w:p w14:paraId="64A06597">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14:paraId="6059FF5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58EEDBE0">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A71D77B">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84047A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1982" w:type="dxa"/>
            <w:gridSpan w:val="2"/>
            <w:shd w:val="clear" w:color="auto" w:fill="auto"/>
            <w:vAlign w:val="center"/>
          </w:tcPr>
          <w:p w14:paraId="2FC96EBE">
            <w:pPr>
              <w:spacing w:line="232" w:lineRule="exact"/>
              <w:rPr>
                <w:rFonts w:cs="宋体" w:asciiTheme="minorEastAsia" w:hAnsiTheme="minorEastAsia" w:eastAsiaTheme="minorEastAsia"/>
                <w:color w:val="auto"/>
                <w:kern w:val="0"/>
                <w:sz w:val="15"/>
                <w:szCs w:val="15"/>
                <w:highlight w:val="none"/>
              </w:rPr>
            </w:pPr>
          </w:p>
        </w:tc>
      </w:tr>
      <w:tr w14:paraId="4A595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24" w:hRule="atLeast"/>
          <w:jc w:val="center"/>
        </w:trPr>
        <w:tc>
          <w:tcPr>
            <w:tcW w:w="610" w:type="dxa"/>
            <w:vMerge w:val="continue"/>
            <w:shd w:val="clear" w:color="auto" w:fill="auto"/>
            <w:vAlign w:val="center"/>
          </w:tcPr>
          <w:p w14:paraId="31C31C65">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4056D500">
            <w:pPr>
              <w:spacing w:line="204"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13EB71A0">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3EACD3D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14:paraId="743151F5">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8F7FF4C">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造成食品安全事故的，系数15。</w:t>
            </w:r>
          </w:p>
          <w:p w14:paraId="44B1698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14:paraId="529E1A8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val="en-US" w:eastAsia="zh-CN"/>
              </w:rPr>
              <w:t>+情节系数）</w:t>
            </w:r>
          </w:p>
        </w:tc>
        <w:tc>
          <w:tcPr>
            <w:tcW w:w="1982" w:type="dxa"/>
            <w:gridSpan w:val="2"/>
            <w:shd w:val="clear" w:color="auto" w:fill="auto"/>
            <w:vAlign w:val="center"/>
          </w:tcPr>
          <w:p w14:paraId="63FBEA32">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14:paraId="21D8D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14:paraId="2EF7D53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vMerge w:val="restart"/>
            <w:shd w:val="clear" w:color="auto" w:fill="auto"/>
            <w:vAlign w:val="center"/>
          </w:tcPr>
          <w:p w14:paraId="2878F0A9">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食品摊贩生产经营国家为防病等特殊需要明令禁止生产经营的食品；</w:t>
            </w:r>
          </w:p>
        </w:tc>
        <w:tc>
          <w:tcPr>
            <w:tcW w:w="2789" w:type="dxa"/>
            <w:gridSpan w:val="2"/>
            <w:vMerge w:val="restart"/>
            <w:shd w:val="clear" w:color="auto" w:fill="auto"/>
            <w:vAlign w:val="center"/>
          </w:tcPr>
          <w:p w14:paraId="14DED877">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违反条款：第十三条第四项；</w:t>
            </w:r>
          </w:p>
          <w:p w14:paraId="3ABE50B1">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14:paraId="0716168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2011B9C3">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684EEE3E">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50ACF11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1982" w:type="dxa"/>
            <w:gridSpan w:val="2"/>
            <w:shd w:val="clear" w:color="auto" w:fill="auto"/>
            <w:vAlign w:val="center"/>
          </w:tcPr>
          <w:p w14:paraId="4588648C">
            <w:pPr>
              <w:spacing w:line="232" w:lineRule="exact"/>
              <w:rPr>
                <w:rFonts w:cs="宋体" w:asciiTheme="minorEastAsia" w:hAnsiTheme="minorEastAsia" w:eastAsiaTheme="minorEastAsia"/>
                <w:color w:val="auto"/>
                <w:kern w:val="0"/>
                <w:sz w:val="15"/>
                <w:szCs w:val="15"/>
                <w:highlight w:val="none"/>
              </w:rPr>
            </w:pPr>
          </w:p>
        </w:tc>
      </w:tr>
      <w:tr w14:paraId="4AF6D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33" w:hRule="atLeast"/>
          <w:jc w:val="center"/>
        </w:trPr>
        <w:tc>
          <w:tcPr>
            <w:tcW w:w="610" w:type="dxa"/>
            <w:vMerge w:val="continue"/>
            <w:shd w:val="clear" w:color="auto" w:fill="auto"/>
            <w:vAlign w:val="center"/>
          </w:tcPr>
          <w:p w14:paraId="379F2AAF">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6306CB24">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3528504D">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307D632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14:paraId="47B4AB91">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4548BF33">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造成食品安全事故的，系数15。</w:t>
            </w:r>
          </w:p>
          <w:p w14:paraId="718FAA6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14:paraId="7C3DFE4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val="en-US" w:eastAsia="zh-CN"/>
              </w:rPr>
              <w:t>+情节系数）</w:t>
            </w:r>
          </w:p>
        </w:tc>
        <w:tc>
          <w:tcPr>
            <w:tcW w:w="1982" w:type="dxa"/>
            <w:gridSpan w:val="2"/>
            <w:shd w:val="clear" w:color="auto" w:fill="auto"/>
            <w:vAlign w:val="center"/>
          </w:tcPr>
          <w:p w14:paraId="1F7B9E52">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14:paraId="31629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vMerge w:val="restart"/>
            <w:shd w:val="clear" w:color="auto" w:fill="auto"/>
            <w:vAlign w:val="center"/>
          </w:tcPr>
          <w:p w14:paraId="78900AC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vMerge w:val="restart"/>
            <w:shd w:val="clear" w:color="auto" w:fill="auto"/>
            <w:vAlign w:val="center"/>
          </w:tcPr>
          <w:p w14:paraId="4947DDBA">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食品摊贩违反国家规定在食品中添加药品</w:t>
            </w:r>
          </w:p>
        </w:tc>
        <w:tc>
          <w:tcPr>
            <w:tcW w:w="2789" w:type="dxa"/>
            <w:gridSpan w:val="2"/>
            <w:vMerge w:val="restart"/>
            <w:shd w:val="clear" w:color="auto" w:fill="auto"/>
            <w:vAlign w:val="center"/>
          </w:tcPr>
          <w:p w14:paraId="2F791870">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违反条款：第十三条第五项；</w:t>
            </w:r>
          </w:p>
          <w:p w14:paraId="1963E178">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14:paraId="35BF6D8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14:paraId="332CE486">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1B9AE2C3">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3C7387B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1982" w:type="dxa"/>
            <w:gridSpan w:val="2"/>
            <w:shd w:val="clear" w:color="auto" w:fill="auto"/>
            <w:vAlign w:val="center"/>
          </w:tcPr>
          <w:p w14:paraId="5C028E09">
            <w:pPr>
              <w:spacing w:line="232" w:lineRule="exact"/>
              <w:rPr>
                <w:rFonts w:cs="宋体" w:asciiTheme="minorEastAsia" w:hAnsiTheme="minorEastAsia" w:eastAsiaTheme="minorEastAsia"/>
                <w:color w:val="auto"/>
                <w:kern w:val="0"/>
                <w:sz w:val="15"/>
                <w:szCs w:val="15"/>
                <w:highlight w:val="none"/>
              </w:rPr>
            </w:pPr>
          </w:p>
        </w:tc>
      </w:tr>
      <w:tr w14:paraId="51705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51" w:hRule="atLeast"/>
          <w:jc w:val="center"/>
        </w:trPr>
        <w:tc>
          <w:tcPr>
            <w:tcW w:w="610" w:type="dxa"/>
            <w:vMerge w:val="continue"/>
            <w:shd w:val="clear" w:color="auto" w:fill="auto"/>
            <w:vAlign w:val="center"/>
          </w:tcPr>
          <w:p w14:paraId="6DEC062D">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7B41A516">
            <w:pPr>
              <w:spacing w:line="220"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50EF27A7">
            <w:pPr>
              <w:spacing w:line="22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0B49C4F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14:paraId="13CF6307">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32AC77C">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lang w:val="en-US" w:eastAsia="zh-CN"/>
              </w:rPr>
              <w:t>造成食品安全事故的，系数15。</w:t>
            </w:r>
          </w:p>
          <w:p w14:paraId="321D52F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auto"/>
            <w:vAlign w:val="center"/>
          </w:tcPr>
          <w:p w14:paraId="15DA4EC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lang w:val="en-US" w:eastAsia="zh-CN"/>
              </w:rPr>
              <w:t>+情节系数）</w:t>
            </w:r>
          </w:p>
        </w:tc>
        <w:tc>
          <w:tcPr>
            <w:tcW w:w="1982" w:type="dxa"/>
            <w:gridSpan w:val="2"/>
            <w:shd w:val="clear" w:color="auto" w:fill="auto"/>
            <w:vAlign w:val="center"/>
          </w:tcPr>
          <w:p w14:paraId="72F05826">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需要给予</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处罚额度的，报案审会决定。</w:t>
            </w:r>
          </w:p>
        </w:tc>
      </w:tr>
      <w:tr w14:paraId="00AA0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2938BD0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shd w:val="clear" w:color="auto" w:fill="auto"/>
            <w:vAlign w:val="center"/>
          </w:tcPr>
          <w:p w14:paraId="4F198A74">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食品摊贩生产制作致病性微生物，农药残留、兽药残留、生物毒素、重金属等污染物质以及</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危害人体健康的物质含量超过食品安全标准限量的食品</w:t>
            </w:r>
          </w:p>
        </w:tc>
        <w:tc>
          <w:tcPr>
            <w:tcW w:w="2789" w:type="dxa"/>
            <w:gridSpan w:val="2"/>
            <w:shd w:val="clear" w:color="auto" w:fill="auto"/>
            <w:vAlign w:val="center"/>
          </w:tcPr>
          <w:p w14:paraId="670C8356">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违反条款：第十三条第六项；</w:t>
            </w:r>
          </w:p>
          <w:p w14:paraId="13A70115">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6E6FD8AC">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7DE40263">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254F4969">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1B61FA65">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459C0BA4">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14:paraId="7DE5F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64" w:hRule="atLeast"/>
          <w:jc w:val="center"/>
        </w:trPr>
        <w:tc>
          <w:tcPr>
            <w:tcW w:w="610" w:type="dxa"/>
            <w:shd w:val="clear" w:color="auto" w:fill="auto"/>
            <w:vAlign w:val="center"/>
          </w:tcPr>
          <w:p w14:paraId="354E0449">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shd w:val="clear" w:color="auto" w:fill="auto"/>
            <w:vAlign w:val="center"/>
          </w:tcPr>
          <w:p w14:paraId="0C14280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食品摊贩超范围、超限量使用食品添加剂生产制作食品（用超过保质期的食品原料、食品添加剂生产制作食品）</w:t>
            </w:r>
          </w:p>
        </w:tc>
        <w:tc>
          <w:tcPr>
            <w:tcW w:w="2789" w:type="dxa"/>
            <w:gridSpan w:val="2"/>
            <w:shd w:val="clear" w:color="auto" w:fill="auto"/>
            <w:vAlign w:val="center"/>
          </w:tcPr>
          <w:p w14:paraId="4DB9CF2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违反条款：第十三条第七项；</w:t>
            </w:r>
          </w:p>
          <w:p w14:paraId="174BDF1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5FC8EFAF">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8E012DA">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3289FCE7">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E553BB4">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36A5E9CD">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14:paraId="0A8B7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01" w:hRule="atLeast"/>
          <w:jc w:val="center"/>
        </w:trPr>
        <w:tc>
          <w:tcPr>
            <w:tcW w:w="610" w:type="dxa"/>
            <w:shd w:val="clear" w:color="auto" w:fill="auto"/>
            <w:vAlign w:val="center"/>
          </w:tcPr>
          <w:p w14:paraId="5459E78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shd w:val="clear" w:color="auto" w:fill="auto"/>
            <w:vAlign w:val="center"/>
          </w:tcPr>
          <w:p w14:paraId="37AF58B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食品摊贩生产经营腐败变质、油脂酸败、霉变生虫、污秽不洁、混有异物、掺假掺杂或者感官性状异常的食品</w:t>
            </w:r>
          </w:p>
        </w:tc>
        <w:tc>
          <w:tcPr>
            <w:tcW w:w="2789" w:type="dxa"/>
            <w:gridSpan w:val="2"/>
            <w:shd w:val="clear" w:color="auto" w:fill="auto"/>
            <w:vAlign w:val="center"/>
          </w:tcPr>
          <w:p w14:paraId="4BCA659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违反条款：第十三条第八项；</w:t>
            </w:r>
          </w:p>
          <w:p w14:paraId="770F0B6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7B196390">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2CD1F12E">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19889D48">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1F9E496">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7CB769DC">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14:paraId="1C639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47" w:hRule="atLeast"/>
          <w:jc w:val="center"/>
        </w:trPr>
        <w:tc>
          <w:tcPr>
            <w:tcW w:w="610" w:type="dxa"/>
            <w:shd w:val="clear" w:color="auto" w:fill="auto"/>
            <w:vAlign w:val="center"/>
          </w:tcPr>
          <w:p w14:paraId="371BCAA8">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shd w:val="clear" w:color="auto" w:fill="auto"/>
            <w:vAlign w:val="center"/>
          </w:tcPr>
          <w:p w14:paraId="09D3C68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食品摊贩标注虚假生产日期、保质期（销售超过保质期的食品）</w:t>
            </w:r>
          </w:p>
        </w:tc>
        <w:tc>
          <w:tcPr>
            <w:tcW w:w="2789" w:type="dxa"/>
            <w:gridSpan w:val="2"/>
            <w:shd w:val="clear" w:color="auto" w:fill="auto"/>
            <w:vAlign w:val="center"/>
          </w:tcPr>
          <w:p w14:paraId="64BDF95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违反条款：第十三条第九项；</w:t>
            </w:r>
          </w:p>
          <w:p w14:paraId="185C624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61123AF6">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AD5B927">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7679D445">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794C4C93">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095E5A08">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14:paraId="1BAB3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0" w:hRule="atLeast"/>
          <w:jc w:val="center"/>
        </w:trPr>
        <w:tc>
          <w:tcPr>
            <w:tcW w:w="610" w:type="dxa"/>
            <w:shd w:val="clear" w:color="auto" w:fill="auto"/>
            <w:vAlign w:val="center"/>
          </w:tcPr>
          <w:p w14:paraId="3156679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shd w:val="clear" w:color="auto" w:fill="auto"/>
            <w:vAlign w:val="center"/>
          </w:tcPr>
          <w:p w14:paraId="4AD4C50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不符合食品安全标准的食品</w:t>
            </w:r>
          </w:p>
        </w:tc>
        <w:tc>
          <w:tcPr>
            <w:tcW w:w="2789" w:type="dxa"/>
            <w:gridSpan w:val="2"/>
            <w:shd w:val="clear" w:color="auto" w:fill="auto"/>
            <w:vAlign w:val="center"/>
          </w:tcPr>
          <w:p w14:paraId="3EF1954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违反条款：第十三条第十项；</w:t>
            </w:r>
          </w:p>
          <w:p w14:paraId="07C306F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1AB8EF8A">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14:paraId="0D2B14F8">
            <w:pPr>
              <w:spacing w:line="232" w:lineRule="exact"/>
              <w:jc w:val="center"/>
              <w:rPr>
                <w:rFonts w:cs="宋体" w:asciiTheme="minorEastAsia" w:hAnsiTheme="minorEastAsia" w:eastAsiaTheme="minorEastAsia"/>
                <w:color w:val="auto"/>
                <w:kern w:val="0"/>
                <w:sz w:val="15"/>
                <w:szCs w:val="15"/>
                <w:highlight w:val="none"/>
              </w:rPr>
            </w:pPr>
          </w:p>
        </w:tc>
        <w:tc>
          <w:tcPr>
            <w:tcW w:w="3426" w:type="dxa"/>
            <w:shd w:val="clear" w:color="auto" w:fill="auto"/>
            <w:vAlign w:val="center"/>
          </w:tcPr>
          <w:p w14:paraId="2A588240">
            <w:pPr>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1C2F5E57">
            <w:pPr>
              <w:spacing w:line="232" w:lineRule="exact"/>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61FBE549">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14:paraId="3A94B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00" w:hRule="atLeast"/>
          <w:jc w:val="center"/>
        </w:trPr>
        <w:tc>
          <w:tcPr>
            <w:tcW w:w="610" w:type="dxa"/>
            <w:shd w:val="clear" w:color="auto" w:fill="auto"/>
            <w:vAlign w:val="center"/>
          </w:tcPr>
          <w:p w14:paraId="14BEA15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shd w:val="clear" w:color="auto" w:fill="auto"/>
            <w:vAlign w:val="center"/>
          </w:tcPr>
          <w:p w14:paraId="6E3FD6E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789" w:type="dxa"/>
            <w:gridSpan w:val="2"/>
            <w:shd w:val="clear" w:color="auto" w:fill="auto"/>
            <w:vAlign w:val="center"/>
          </w:tcPr>
          <w:p w14:paraId="4CF757B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违反条款：第二十条第二项；</w:t>
            </w:r>
          </w:p>
          <w:p w14:paraId="3DC85D4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14:paraId="3201770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14:paraId="2BF615D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4C3313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1.经营</w:t>
            </w:r>
            <w:r>
              <w:rPr>
                <w:rFonts w:cs="宋体" w:asciiTheme="minorEastAsia" w:hAnsiTheme="minorEastAsia" w:eastAsiaTheme="minorEastAsia"/>
                <w:color w:val="auto"/>
                <w:kern w:val="0"/>
                <w:sz w:val="15"/>
                <w:szCs w:val="15"/>
                <w:highlight w:val="none"/>
              </w:rPr>
              <w:t>冷荤</w:t>
            </w:r>
            <w:r>
              <w:rPr>
                <w:rFonts w:hint="eastAsia" w:cs="宋体" w:asciiTheme="minorEastAsia" w:hAnsiTheme="minorEastAsia" w:eastAsiaTheme="minorEastAsia"/>
                <w:color w:val="auto"/>
                <w:kern w:val="0"/>
                <w:sz w:val="15"/>
                <w:szCs w:val="15"/>
                <w:highlight w:val="none"/>
              </w:rPr>
              <w:t>凉菜</w:t>
            </w:r>
            <w:r>
              <w:rPr>
                <w:rFonts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生食水产品、裱花蛋糕、散装熟食、散装酒的</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0.5；</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经营保健食品、婴幼儿配方食品和特殊医学用途配方食品等特殊食品的</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1；3.经营</w:t>
            </w:r>
            <w:r>
              <w:rPr>
                <w:rFonts w:asciiTheme="minorEastAsia" w:hAnsiTheme="minorEastAsia" w:eastAsiaTheme="minorEastAsia"/>
                <w:color w:val="auto"/>
                <w:sz w:val="15"/>
                <w:szCs w:val="15"/>
                <w:highlight w:val="none"/>
              </w:rPr>
              <w:t>区人民政府确定的不得经营的类别的，</w:t>
            </w:r>
            <w:r>
              <w:rPr>
                <w:rFonts w:hint="eastAsia" w:asciiTheme="minorEastAsia" w:hAnsiTheme="minorEastAsia" w:eastAsiaTheme="minorEastAsia"/>
                <w:color w:val="auto"/>
                <w:sz w:val="15"/>
                <w:szCs w:val="15"/>
                <w:highlight w:val="none"/>
                <w:lang w:eastAsia="zh-CN"/>
              </w:rPr>
              <w:t>系数</w:t>
            </w:r>
            <w:r>
              <w:rPr>
                <w:rFonts w:hint="eastAsia"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12F7799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＝5000×（1+</w:t>
            </w:r>
            <w:r>
              <w:rPr>
                <w:rFonts w:hint="eastAsia" w:cs="宋体" w:asciiTheme="minorEastAsia" w:hAnsiTheme="minorEastAsia" w:eastAsiaTheme="minorEastAsia"/>
                <w:color w:val="auto"/>
                <w:kern w:val="0"/>
                <w:sz w:val="15"/>
                <w:szCs w:val="15"/>
                <w:highlight w:val="none"/>
                <w:lang w:eastAsia="zh-CN"/>
              </w:rPr>
              <w:t>情节</w:t>
            </w:r>
            <w:r>
              <w:rPr>
                <w:rFonts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1800A8CF">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r>
      <w:tr w14:paraId="43344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7FE392D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auto"/>
            <w:vAlign w:val="center"/>
          </w:tcPr>
          <w:p w14:paraId="2695829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食品摊贩生产经营被包装材料、容器、运输工具等污染的食品</w:t>
            </w:r>
          </w:p>
        </w:tc>
        <w:tc>
          <w:tcPr>
            <w:tcW w:w="2789" w:type="dxa"/>
            <w:gridSpan w:val="2"/>
            <w:shd w:val="clear" w:color="auto" w:fill="auto"/>
            <w:vAlign w:val="center"/>
          </w:tcPr>
          <w:p w14:paraId="1C4017DE">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违反条款：第十三条第十二项；</w:t>
            </w:r>
          </w:p>
          <w:p w14:paraId="47E4DB39">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14:paraId="0D560E1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2B5BF05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278B61F">
            <w:pPr>
              <w:spacing w:line="232" w:lineRule="exact"/>
              <w:rPr>
                <w:rFonts w:cs="宋体" w:asciiTheme="minorEastAsia" w:hAnsiTheme="minorEastAsia" w:eastAsiaTheme="minorEastAsia"/>
                <w:color w:val="auto"/>
                <w:kern w:val="0"/>
                <w:sz w:val="15"/>
                <w:szCs w:val="15"/>
                <w:highlight w:val="none"/>
                <w:lang w:val="en-US" w:eastAsia="zh-CN" w:bidi="ar-SA"/>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2DF21F6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77F975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6248562F">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6C18315C">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734F0CB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14:paraId="663DD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76" w:hRule="atLeast"/>
          <w:jc w:val="center"/>
        </w:trPr>
        <w:tc>
          <w:tcPr>
            <w:tcW w:w="610" w:type="dxa"/>
            <w:shd w:val="clear" w:color="auto" w:fill="auto"/>
            <w:vAlign w:val="center"/>
          </w:tcPr>
          <w:p w14:paraId="395F918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shd w:val="clear" w:color="auto" w:fill="auto"/>
            <w:vAlign w:val="center"/>
          </w:tcPr>
          <w:p w14:paraId="4152D1D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食品摊贩采购、销售第十三条第一项、第五项至第七项、第十项规定情形的食品（使用第十三条第一项、第五项至第七项、第十项食品作为食品原料）</w:t>
            </w:r>
          </w:p>
        </w:tc>
        <w:tc>
          <w:tcPr>
            <w:tcW w:w="2789" w:type="dxa"/>
            <w:gridSpan w:val="2"/>
            <w:shd w:val="clear" w:color="auto" w:fill="auto"/>
            <w:vAlign w:val="center"/>
          </w:tcPr>
          <w:p w14:paraId="6EFA159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违反条款：第十三条第十三项；</w:t>
            </w:r>
          </w:p>
          <w:p w14:paraId="5C42CC2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14:paraId="3AB9C3C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3EE2D55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5D630B0">
            <w:pPr>
              <w:spacing w:line="232" w:lineRule="exact"/>
              <w:rPr>
                <w:rFonts w:cs="宋体" w:asciiTheme="minorEastAsia" w:hAnsiTheme="minorEastAsia" w:eastAsiaTheme="minorEastAsia"/>
                <w:color w:val="auto"/>
                <w:kern w:val="0"/>
                <w:sz w:val="15"/>
                <w:szCs w:val="15"/>
                <w:highlight w:val="none"/>
                <w:lang w:val="en-US" w:eastAsia="zh-CN" w:bidi="ar-SA"/>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7185E57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CF5D6A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338B4A1D">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04B8CA13">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3A7143F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14:paraId="15911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231" w:hRule="atLeast"/>
          <w:jc w:val="center"/>
        </w:trPr>
        <w:tc>
          <w:tcPr>
            <w:tcW w:w="610" w:type="dxa"/>
            <w:shd w:val="clear" w:color="auto" w:fill="auto"/>
            <w:vAlign w:val="center"/>
          </w:tcPr>
          <w:p w14:paraId="40FD73B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auto"/>
            <w:vAlign w:val="center"/>
          </w:tcPr>
          <w:p w14:paraId="4785647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食品摊贩购进、存放、使用亚硝酸盐等易滥用的食品添加剂</w:t>
            </w:r>
          </w:p>
        </w:tc>
        <w:tc>
          <w:tcPr>
            <w:tcW w:w="2789" w:type="dxa"/>
            <w:gridSpan w:val="2"/>
            <w:shd w:val="clear" w:color="auto" w:fill="auto"/>
            <w:vAlign w:val="center"/>
          </w:tcPr>
          <w:p w14:paraId="576E206B">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w:t>
            </w:r>
          </w:p>
          <w:p w14:paraId="0A5BD75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14:paraId="3134DB6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14:paraId="0CDA9DF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8EFEAA3">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22C8B24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DADD76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30BC8B77">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2E2B748A">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3DAD16C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14:paraId="46958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164" w:hRule="atLeast"/>
          <w:jc w:val="center"/>
        </w:trPr>
        <w:tc>
          <w:tcPr>
            <w:tcW w:w="610" w:type="dxa"/>
            <w:shd w:val="clear" w:color="auto" w:fill="auto"/>
            <w:vAlign w:val="center"/>
          </w:tcPr>
          <w:p w14:paraId="0A894C4F">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14:paraId="57743291">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食品摊贩生产经营无标签的预包装食品（标签不符合法律、法规规定的食品）</w:t>
            </w:r>
          </w:p>
        </w:tc>
        <w:tc>
          <w:tcPr>
            <w:tcW w:w="2789" w:type="dxa"/>
            <w:gridSpan w:val="2"/>
            <w:shd w:val="clear" w:color="auto" w:fill="auto"/>
            <w:vAlign w:val="center"/>
          </w:tcPr>
          <w:p w14:paraId="3DD00AB7">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违反条款：第十三条第十四项；</w:t>
            </w:r>
          </w:p>
          <w:p w14:paraId="3257760E">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14:paraId="724C7C2E">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6A4C2AF2">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94017F5">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1.无</w:t>
            </w:r>
            <w:r>
              <w:rPr>
                <w:rFonts w:cs="宋体" w:asciiTheme="minorEastAsia" w:hAnsiTheme="minorEastAsia" w:eastAsiaTheme="minorEastAsia"/>
                <w:color w:val="auto"/>
                <w:kern w:val="0"/>
                <w:sz w:val="15"/>
                <w:szCs w:val="15"/>
                <w:highlight w:val="none"/>
              </w:rPr>
              <w:t>标签的预包装食品，</w:t>
            </w:r>
            <w:r>
              <w:rPr>
                <w:rFonts w:hint="eastAsia" w:cs="宋体" w:asciiTheme="minorEastAsia" w:hAnsiTheme="minorEastAsia" w:eastAsiaTheme="minorEastAsia"/>
                <w:color w:val="auto"/>
                <w:kern w:val="0"/>
                <w:sz w:val="15"/>
                <w:szCs w:val="15"/>
                <w:highlight w:val="none"/>
                <w:lang w:eastAsia="zh-CN"/>
              </w:rPr>
              <w:t>系数</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；2.标签</w:t>
            </w:r>
            <w:r>
              <w:rPr>
                <w:rFonts w:cs="宋体" w:asciiTheme="minorEastAsia" w:hAnsiTheme="minorEastAsia" w:eastAsiaTheme="minorEastAsia"/>
                <w:color w:val="auto"/>
                <w:kern w:val="0"/>
                <w:sz w:val="15"/>
                <w:szCs w:val="15"/>
                <w:highlight w:val="none"/>
              </w:rPr>
              <w:t>不符合法律、法规规定的食品，</w:t>
            </w:r>
            <w:r>
              <w:rPr>
                <w:rFonts w:hint="eastAsia" w:cs="宋体" w:asciiTheme="minorEastAsia" w:hAnsiTheme="minorEastAsia" w:eastAsiaTheme="minorEastAsia"/>
                <w:color w:val="auto"/>
                <w:kern w:val="0"/>
                <w:sz w:val="15"/>
                <w:szCs w:val="15"/>
                <w:highlight w:val="none"/>
                <w:lang w:eastAsia="zh-CN"/>
              </w:rPr>
              <w:t>系数</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679027A3">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821F521">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6BD8A107">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756A5E09">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448425AE">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14:paraId="3AC75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209" w:hRule="atLeast"/>
          <w:jc w:val="center"/>
        </w:trPr>
        <w:tc>
          <w:tcPr>
            <w:tcW w:w="610" w:type="dxa"/>
            <w:shd w:val="clear" w:color="auto" w:fill="auto"/>
            <w:vAlign w:val="center"/>
          </w:tcPr>
          <w:p w14:paraId="7CA0106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auto"/>
            <w:vAlign w:val="center"/>
          </w:tcPr>
          <w:p w14:paraId="0274C4FD">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食品摊贩在生产经营条件发生变化，不再符合法律、法规规定要求的情况下继续生产经营</w:t>
            </w:r>
          </w:p>
        </w:tc>
        <w:tc>
          <w:tcPr>
            <w:tcW w:w="2789" w:type="dxa"/>
            <w:gridSpan w:val="2"/>
            <w:shd w:val="clear" w:color="auto" w:fill="auto"/>
            <w:vAlign w:val="center"/>
          </w:tcPr>
          <w:p w14:paraId="7128DABB">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违反条款：第十三条第十五项；</w:t>
            </w:r>
          </w:p>
          <w:p w14:paraId="0CD0FAFC">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14:paraId="0C1CAAC5">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20069240">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AFB6E23">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709E5607">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5DCEDBD7">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797184E6">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3289EE93">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441E28E5">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14:paraId="2D96D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jc w:val="center"/>
        </w:trPr>
        <w:tc>
          <w:tcPr>
            <w:tcW w:w="610" w:type="dxa"/>
            <w:shd w:val="clear" w:color="auto" w:fill="auto"/>
            <w:vAlign w:val="center"/>
          </w:tcPr>
          <w:p w14:paraId="3879DD5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830" w:type="dxa"/>
            <w:gridSpan w:val="3"/>
            <w:shd w:val="clear" w:color="auto" w:fill="auto"/>
            <w:vAlign w:val="center"/>
          </w:tcPr>
          <w:p w14:paraId="4BA4148A">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食品摊贩安排未取得健康证明或者患有国务院卫生健康行政部门规定的有碍食品安全疾病的人员从事接触直接入口食品的工作</w:t>
            </w:r>
          </w:p>
        </w:tc>
        <w:tc>
          <w:tcPr>
            <w:tcW w:w="2789" w:type="dxa"/>
            <w:gridSpan w:val="2"/>
            <w:shd w:val="clear" w:color="auto" w:fill="auto"/>
            <w:vAlign w:val="center"/>
          </w:tcPr>
          <w:p w14:paraId="224EECDA">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违反条款：第十三条第十六项；</w:t>
            </w:r>
          </w:p>
          <w:p w14:paraId="075194F7">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14:paraId="53CCAF62">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09671993">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9F2BFDE">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0066996A">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0A3EED4C">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3ADB5E7C">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4DC78728">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0B9D848C">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14:paraId="5BECC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171" w:hRule="atLeast"/>
          <w:jc w:val="center"/>
        </w:trPr>
        <w:tc>
          <w:tcPr>
            <w:tcW w:w="610" w:type="dxa"/>
            <w:shd w:val="clear" w:color="auto" w:fill="auto"/>
            <w:vAlign w:val="center"/>
          </w:tcPr>
          <w:p w14:paraId="7D920D8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830" w:type="dxa"/>
            <w:gridSpan w:val="3"/>
            <w:shd w:val="clear" w:color="auto" w:fill="auto"/>
            <w:vAlign w:val="center"/>
          </w:tcPr>
          <w:p w14:paraId="4E06A1C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食品摊贩采购食品、食品原料、食品添加剂、食品相关产品时查验、记录不规范</w:t>
            </w:r>
          </w:p>
        </w:tc>
        <w:tc>
          <w:tcPr>
            <w:tcW w:w="2789" w:type="dxa"/>
            <w:gridSpan w:val="2"/>
            <w:shd w:val="clear" w:color="auto" w:fill="auto"/>
            <w:vAlign w:val="center"/>
          </w:tcPr>
          <w:p w14:paraId="4DD1FF8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w:t>
            </w:r>
          </w:p>
          <w:p w14:paraId="5385D80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14:paraId="56F8D0C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1BF4A4A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B15936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3B8D9F8C">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7EFD623D">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72B61DEB">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6563B5D7">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0FE55EE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14:paraId="3C0C6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255" w:hRule="atLeast"/>
          <w:jc w:val="center"/>
        </w:trPr>
        <w:tc>
          <w:tcPr>
            <w:tcW w:w="610" w:type="dxa"/>
            <w:shd w:val="clear" w:color="auto" w:fill="auto"/>
            <w:vAlign w:val="center"/>
          </w:tcPr>
          <w:p w14:paraId="255B190E">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830" w:type="dxa"/>
            <w:gridSpan w:val="3"/>
            <w:shd w:val="clear" w:color="auto" w:fill="auto"/>
            <w:vAlign w:val="center"/>
          </w:tcPr>
          <w:p w14:paraId="45350751">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食品摊贩未对食品添加剂实行专区(柜)存放或没有专用的称量器具</w:t>
            </w:r>
          </w:p>
        </w:tc>
        <w:tc>
          <w:tcPr>
            <w:tcW w:w="2789" w:type="dxa"/>
            <w:gridSpan w:val="2"/>
            <w:shd w:val="clear" w:color="auto" w:fill="auto"/>
            <w:vAlign w:val="center"/>
          </w:tcPr>
          <w:p w14:paraId="4C09E76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违反条款：第十六条第一款；</w:t>
            </w:r>
          </w:p>
          <w:p w14:paraId="4766000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14:paraId="1B06C0A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14:paraId="45BAAD0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9F19095">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693D003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65CD7F5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14:paraId="0DCE2A66">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14:paraId="260F1715">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14:paraId="44CD8B3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可以认定为“情节严重”情形的。</w:t>
            </w:r>
          </w:p>
        </w:tc>
      </w:tr>
      <w:tr w14:paraId="3DE8A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200" w:hRule="atLeast"/>
          <w:jc w:val="center"/>
        </w:trPr>
        <w:tc>
          <w:tcPr>
            <w:tcW w:w="610" w:type="dxa"/>
            <w:shd w:val="clear" w:color="auto" w:fill="auto"/>
            <w:vAlign w:val="center"/>
          </w:tcPr>
          <w:p w14:paraId="533FF6B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830" w:type="dxa"/>
            <w:gridSpan w:val="3"/>
            <w:shd w:val="clear" w:color="auto" w:fill="auto"/>
            <w:vAlign w:val="center"/>
          </w:tcPr>
          <w:p w14:paraId="1AC13FAF">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食品摊贩未在生产经营场所显著位置公示备案证明、从业人员健康证明</w:t>
            </w:r>
          </w:p>
        </w:tc>
        <w:tc>
          <w:tcPr>
            <w:tcW w:w="2789" w:type="dxa"/>
            <w:gridSpan w:val="2"/>
            <w:shd w:val="clear" w:color="auto" w:fill="auto"/>
            <w:vAlign w:val="center"/>
          </w:tcPr>
          <w:p w14:paraId="700ADF6D">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w:t>
            </w:r>
          </w:p>
          <w:p w14:paraId="486991E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14:paraId="3793DD1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54F5E8F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E980BE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6142E2DF">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16E48467">
            <w:pPr>
              <w:spacing w:line="232" w:lineRule="exact"/>
              <w:rPr>
                <w:rFonts w:cs="宋体" w:asciiTheme="minorEastAsia" w:hAnsiTheme="minorEastAsia" w:eastAsiaTheme="minorEastAsia"/>
                <w:color w:val="auto"/>
                <w:kern w:val="0"/>
                <w:sz w:val="15"/>
                <w:szCs w:val="15"/>
                <w:highlight w:val="none"/>
              </w:rPr>
            </w:pPr>
          </w:p>
        </w:tc>
      </w:tr>
      <w:tr w14:paraId="6E3F3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95" w:hRule="atLeast"/>
          <w:jc w:val="center"/>
        </w:trPr>
        <w:tc>
          <w:tcPr>
            <w:tcW w:w="610" w:type="dxa"/>
            <w:shd w:val="clear" w:color="auto" w:fill="auto"/>
            <w:vAlign w:val="center"/>
          </w:tcPr>
          <w:p w14:paraId="76C49C5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830" w:type="dxa"/>
            <w:gridSpan w:val="3"/>
            <w:shd w:val="clear" w:color="auto" w:fill="auto"/>
            <w:vAlign w:val="center"/>
          </w:tcPr>
          <w:p w14:paraId="2EBE3B74">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食品摊贩使用食品添加剂的记录、公示不规范</w:t>
            </w:r>
          </w:p>
        </w:tc>
        <w:tc>
          <w:tcPr>
            <w:tcW w:w="2789" w:type="dxa"/>
            <w:gridSpan w:val="2"/>
            <w:shd w:val="clear" w:color="auto" w:fill="auto"/>
            <w:vAlign w:val="center"/>
          </w:tcPr>
          <w:p w14:paraId="203A917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违反条款：第二十条第一项；</w:t>
            </w:r>
          </w:p>
          <w:p w14:paraId="005C4C5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14:paraId="67179BA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AD85C15">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3E3179A">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auto"/>
            <w:vAlign w:val="center"/>
          </w:tcPr>
          <w:p w14:paraId="64D80B3E">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情节系数</w:t>
            </w:r>
            <w:r>
              <w:rPr>
                <w:rFonts w:cs="宋体" w:asciiTheme="minorEastAsia" w:hAnsiTheme="minorEastAsia" w:eastAsiaTheme="minorEastAsia"/>
                <w:color w:val="auto"/>
                <w:kern w:val="0"/>
                <w:sz w:val="15"/>
                <w:szCs w:val="15"/>
                <w:highlight w:val="none"/>
              </w:rPr>
              <w:t>）</w:t>
            </w:r>
          </w:p>
        </w:tc>
        <w:tc>
          <w:tcPr>
            <w:tcW w:w="1982" w:type="dxa"/>
            <w:gridSpan w:val="2"/>
            <w:shd w:val="clear" w:color="auto" w:fill="auto"/>
            <w:vAlign w:val="center"/>
          </w:tcPr>
          <w:p w14:paraId="20D9F6F0">
            <w:pPr>
              <w:spacing w:line="232" w:lineRule="exact"/>
              <w:rPr>
                <w:rFonts w:cs="宋体" w:asciiTheme="minorEastAsia" w:hAnsiTheme="minorEastAsia" w:eastAsiaTheme="minorEastAsia"/>
                <w:color w:val="auto"/>
                <w:kern w:val="0"/>
                <w:sz w:val="15"/>
                <w:szCs w:val="15"/>
                <w:highlight w:val="none"/>
              </w:rPr>
            </w:pPr>
          </w:p>
        </w:tc>
      </w:tr>
      <w:tr w14:paraId="65A14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jc w:val="center"/>
        </w:trPr>
        <w:tc>
          <w:tcPr>
            <w:tcW w:w="14203" w:type="dxa"/>
            <w:gridSpan w:val="13"/>
            <w:shd w:val="clear" w:color="auto" w:fill="auto"/>
            <w:vAlign w:val="center"/>
          </w:tcPr>
          <w:p w14:paraId="194C842F">
            <w:pPr>
              <w:pStyle w:val="2"/>
              <w:keepNext w:val="0"/>
              <w:keepLines w:val="0"/>
              <w:rPr>
                <w:rFonts w:ascii="黑体" w:hAnsi="黑体" w:eastAsia="黑体"/>
                <w:b w:val="0"/>
                <w:color w:val="auto"/>
                <w:sz w:val="24"/>
                <w:szCs w:val="24"/>
                <w:highlight w:val="none"/>
              </w:rPr>
            </w:pPr>
            <w:bookmarkStart w:id="170" w:name="_Toc1650208367"/>
            <w:bookmarkStart w:id="171" w:name="_Toc41635676"/>
            <w:bookmarkStart w:id="172" w:name="_Toc110851491"/>
            <w:r>
              <w:rPr>
                <w:rFonts w:hint="eastAsia" w:ascii="黑体" w:hAnsi="黑体" w:eastAsia="黑体"/>
                <w:b w:val="0"/>
                <w:color w:val="auto"/>
                <w:sz w:val="28"/>
                <w:szCs w:val="28"/>
                <w:highlight w:val="none"/>
              </w:rPr>
              <w:t>能源运行管理方面</w:t>
            </w:r>
            <w:bookmarkEnd w:id="170"/>
            <w:bookmarkEnd w:id="171"/>
            <w:bookmarkEnd w:id="172"/>
          </w:p>
        </w:tc>
      </w:tr>
      <w:tr w14:paraId="57047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390" w:hRule="atLeast"/>
          <w:jc w:val="center"/>
        </w:trPr>
        <w:tc>
          <w:tcPr>
            <w:tcW w:w="14203" w:type="dxa"/>
            <w:gridSpan w:val="13"/>
            <w:shd w:val="clear" w:color="auto" w:fill="auto"/>
            <w:vAlign w:val="center"/>
          </w:tcPr>
          <w:p w14:paraId="7535E8E4">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煤炭经营管理类案由3</w:t>
            </w:r>
            <w:r>
              <w:rPr>
                <w:rFonts w:asciiTheme="minorEastAsia" w:hAnsiTheme="minorEastAsia" w:eastAsiaTheme="minorEastAsia"/>
                <w:b/>
                <w:color w:val="auto"/>
                <w:kern w:val="0"/>
                <w:sz w:val="21"/>
                <w:szCs w:val="21"/>
                <w:highlight w:val="none"/>
              </w:rPr>
              <w:t>项</w:t>
            </w:r>
          </w:p>
        </w:tc>
      </w:tr>
      <w:tr w14:paraId="73E90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jc w:val="center"/>
        </w:trPr>
        <w:tc>
          <w:tcPr>
            <w:tcW w:w="14203" w:type="dxa"/>
            <w:gridSpan w:val="13"/>
            <w:shd w:val="clear" w:color="auto" w:fill="FFFFFF"/>
            <w:vAlign w:val="center"/>
          </w:tcPr>
          <w:p w14:paraId="1765DF50">
            <w:pPr>
              <w:pStyle w:val="3"/>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73" w:name="_Toc1482088652"/>
            <w:bookmarkStart w:id="174" w:name="_Toc110851492"/>
            <w:bookmarkStart w:id="175" w:name="_Toc150742736"/>
            <w:r>
              <w:rPr>
                <w:rFonts w:hint="eastAsia" w:asciiTheme="minorEastAsia" w:hAnsiTheme="minorEastAsia" w:eastAsiaTheme="minorEastAsia"/>
                <w:color w:val="auto"/>
                <w:sz w:val="21"/>
                <w:szCs w:val="21"/>
                <w:highlight w:val="none"/>
              </w:rPr>
              <w:t>《中华人民共和国煤炭法》案由</w:t>
            </w:r>
            <w:r>
              <w:rPr>
                <w:rFonts w:asciiTheme="minorEastAsia" w:hAnsiTheme="minorEastAsia" w:eastAsiaTheme="minorEastAsia"/>
                <w:color w:val="auto"/>
                <w:sz w:val="21"/>
                <w:szCs w:val="21"/>
                <w:highlight w:val="none"/>
              </w:rPr>
              <w:t>3</w:t>
            </w:r>
            <w:r>
              <w:rPr>
                <w:rFonts w:hint="eastAsia" w:asciiTheme="minorEastAsia" w:hAnsiTheme="minorEastAsia" w:eastAsiaTheme="minorEastAsia"/>
                <w:color w:val="auto"/>
                <w:sz w:val="21"/>
                <w:szCs w:val="21"/>
                <w:highlight w:val="none"/>
              </w:rPr>
              <w:t>项</w:t>
            </w:r>
            <w:bookmarkEnd w:id="173"/>
            <w:bookmarkEnd w:id="174"/>
            <w:bookmarkEnd w:id="175"/>
          </w:p>
        </w:tc>
      </w:tr>
      <w:tr w14:paraId="51D34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418" w:hRule="atLeast"/>
          <w:jc w:val="center"/>
        </w:trPr>
        <w:tc>
          <w:tcPr>
            <w:tcW w:w="610" w:type="dxa"/>
            <w:tcBorders>
              <w:bottom w:val="single" w:color="auto" w:sz="4" w:space="0"/>
            </w:tcBorders>
            <w:shd w:val="clear" w:color="auto" w:fill="FFFFFF"/>
            <w:vAlign w:val="center"/>
          </w:tcPr>
          <w:p w14:paraId="088AAE7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shd w:val="clear" w:color="auto" w:fill="FFFFFF"/>
            <w:vAlign w:val="center"/>
          </w:tcPr>
          <w:p w14:paraId="56CBE29E">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擅自开采保安煤柱或者采用危及相邻煤矿生产安全的危险方法采矿作业</w:t>
            </w:r>
          </w:p>
        </w:tc>
        <w:tc>
          <w:tcPr>
            <w:tcW w:w="2789" w:type="dxa"/>
            <w:gridSpan w:val="2"/>
            <w:shd w:val="clear" w:color="auto" w:fill="FFFFFF"/>
            <w:vAlign w:val="center"/>
          </w:tcPr>
          <w:p w14:paraId="4E01FC26">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vAlign w:val="center"/>
          </w:tcPr>
          <w:p w14:paraId="33C5C190">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14:paraId="59F7461A">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14:paraId="33F494D9">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14:paraId="2CF849BF">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FFFFFF"/>
            <w:vAlign w:val="center"/>
          </w:tcPr>
          <w:p w14:paraId="0DB7BD9C">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14:paraId="1EEFAC7F">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r>
      <w:tr w14:paraId="56EBB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966" w:hRule="atLeast"/>
          <w:jc w:val="center"/>
        </w:trPr>
        <w:tc>
          <w:tcPr>
            <w:tcW w:w="610" w:type="dxa"/>
            <w:shd w:val="clear" w:color="auto" w:fill="FFFFFF"/>
            <w:vAlign w:val="center"/>
          </w:tcPr>
          <w:p w14:paraId="77550CA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shd w:val="clear" w:color="auto" w:fill="FFFFFF"/>
            <w:vAlign w:val="center"/>
          </w:tcPr>
          <w:p w14:paraId="346CF092">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未经批准或者未采取安全措施在煤矿采区范围内进行危及煤矿安全的作业</w:t>
            </w:r>
          </w:p>
        </w:tc>
        <w:tc>
          <w:tcPr>
            <w:tcW w:w="2789" w:type="dxa"/>
            <w:gridSpan w:val="2"/>
            <w:shd w:val="clear" w:color="auto" w:fill="FFFFFF"/>
            <w:vAlign w:val="center"/>
          </w:tcPr>
          <w:p w14:paraId="527E2AEC">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vAlign w:val="center"/>
          </w:tcPr>
          <w:p w14:paraId="171B6143">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FFFFFF"/>
            <w:vAlign w:val="center"/>
          </w:tcPr>
          <w:p w14:paraId="051EE8E5">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14:paraId="62F8FF39">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14:paraId="3DB46866">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FFFFFF"/>
            <w:vAlign w:val="center"/>
          </w:tcPr>
          <w:p w14:paraId="622D05C7">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cs="宋体" w:asciiTheme="minorEastAsia" w:hAnsiTheme="minorEastAsia" w:eastAsiaTheme="minorEastAsia"/>
                <w:color w:val="auto"/>
                <w:kern w:val="0"/>
                <w:sz w:val="15"/>
                <w:szCs w:val="15"/>
                <w:highlight w:val="none"/>
              </w:rPr>
              <w:t>额度处罚的</w:t>
            </w:r>
            <w:r>
              <w:rPr>
                <w:rFonts w:hint="eastAsia" w:cs="宋体" w:asciiTheme="minorEastAsia" w:hAnsiTheme="minorEastAsia" w:eastAsiaTheme="minorEastAsia"/>
                <w:color w:val="auto"/>
                <w:kern w:val="0"/>
                <w:sz w:val="15"/>
                <w:szCs w:val="15"/>
                <w:highlight w:val="none"/>
              </w:rPr>
              <w:t>，报案审会讨论决定。</w:t>
            </w:r>
          </w:p>
        </w:tc>
      </w:tr>
      <w:tr w14:paraId="4FF9F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2065" w:hRule="atLeast"/>
          <w:jc w:val="center"/>
        </w:trPr>
        <w:tc>
          <w:tcPr>
            <w:tcW w:w="610" w:type="dxa"/>
            <w:shd w:val="clear" w:color="auto" w:fill="FFFFFF"/>
            <w:vAlign w:val="center"/>
          </w:tcPr>
          <w:p w14:paraId="2D5AA85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830" w:type="dxa"/>
            <w:gridSpan w:val="3"/>
            <w:shd w:val="clear" w:color="auto" w:fill="FFFFFF"/>
            <w:vAlign w:val="center"/>
          </w:tcPr>
          <w:p w14:paraId="19584982">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在煤炭产品中掺杂、掺假，以次充好</w:t>
            </w:r>
          </w:p>
        </w:tc>
        <w:tc>
          <w:tcPr>
            <w:tcW w:w="2789" w:type="dxa"/>
            <w:gridSpan w:val="2"/>
            <w:shd w:val="clear" w:color="auto" w:fill="FFFFFF"/>
            <w:vAlign w:val="center"/>
          </w:tcPr>
          <w:p w14:paraId="426C1188">
            <w:pPr>
              <w:spacing w:line="232" w:lineRule="exact"/>
              <w:ind w:right="315" w:right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vAlign w:val="center"/>
          </w:tcPr>
          <w:p w14:paraId="59E3DA99">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14:paraId="3215657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14:paraId="685BAD61">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造成严重后果或者社会恶劣影响的，系数4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FFFFFF"/>
            <w:vAlign w:val="center"/>
          </w:tcPr>
          <w:p w14:paraId="23F18616">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FFFFFF"/>
            <w:vAlign w:val="center"/>
          </w:tcPr>
          <w:p w14:paraId="01B08643">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14:paraId="0FFCA346">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r>
      <w:tr w14:paraId="43B75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423" w:hRule="atLeast"/>
          <w:jc w:val="center"/>
        </w:trPr>
        <w:tc>
          <w:tcPr>
            <w:tcW w:w="14203" w:type="dxa"/>
            <w:gridSpan w:val="13"/>
            <w:tcBorders>
              <w:bottom w:val="single" w:color="auto" w:sz="4" w:space="0"/>
            </w:tcBorders>
            <w:shd w:val="clear" w:color="auto" w:fill="FFFFFF"/>
            <w:vAlign w:val="center"/>
          </w:tcPr>
          <w:p w14:paraId="06334517">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可再生能源管理类案由2项</w:t>
            </w:r>
          </w:p>
        </w:tc>
      </w:tr>
      <w:tr w14:paraId="12C59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jc w:val="center"/>
        </w:trPr>
        <w:tc>
          <w:tcPr>
            <w:tcW w:w="14203" w:type="dxa"/>
            <w:gridSpan w:val="13"/>
            <w:tcBorders>
              <w:bottom w:val="single" w:color="auto" w:sz="4" w:space="0"/>
            </w:tcBorders>
            <w:shd w:val="clear" w:color="auto" w:fill="FFFFFF"/>
            <w:vAlign w:val="center"/>
          </w:tcPr>
          <w:p w14:paraId="1C72FF1D">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6" w:name="_Toc1932982768"/>
            <w:bookmarkStart w:id="177" w:name="_Toc110851493"/>
            <w:bookmarkStart w:id="178" w:name="_Toc2142907165"/>
            <w:r>
              <w:rPr>
                <w:rFonts w:hint="eastAsia" w:asciiTheme="minorEastAsia" w:hAnsiTheme="minorEastAsia" w:eastAsiaTheme="minorEastAsia"/>
                <w:color w:val="auto"/>
                <w:sz w:val="21"/>
                <w:szCs w:val="21"/>
                <w:highlight w:val="none"/>
              </w:rPr>
              <w:t>《中华人民共和国可再生能源法》案由2项</w:t>
            </w:r>
            <w:bookmarkEnd w:id="176"/>
            <w:bookmarkEnd w:id="177"/>
            <w:bookmarkEnd w:id="178"/>
          </w:p>
        </w:tc>
      </w:tr>
      <w:tr w14:paraId="3544A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492" w:hRule="atLeast"/>
          <w:jc w:val="center"/>
        </w:trPr>
        <w:tc>
          <w:tcPr>
            <w:tcW w:w="610" w:type="dxa"/>
            <w:shd w:val="clear" w:color="auto" w:fill="FFFFFF"/>
            <w:vAlign w:val="center"/>
          </w:tcPr>
          <w:p w14:paraId="2397FC2D">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shd w:val="clear" w:color="auto" w:fill="FFFFFF"/>
            <w:vAlign w:val="center"/>
          </w:tcPr>
          <w:p w14:paraId="1AC8812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经营燃气管网、热力管网的企业不准许符合入网技术标准的燃气、热力入网</w:t>
            </w:r>
          </w:p>
        </w:tc>
        <w:tc>
          <w:tcPr>
            <w:tcW w:w="2789" w:type="dxa"/>
            <w:gridSpan w:val="2"/>
            <w:shd w:val="clear" w:color="auto" w:fill="FFFFFF"/>
            <w:vAlign w:val="center"/>
          </w:tcPr>
          <w:p w14:paraId="2145881D">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vAlign w:val="center"/>
          </w:tcPr>
          <w:p w14:paraId="4A4EF6F3">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14:paraId="40B13B7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14:paraId="10F98FD1">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14:paraId="03E5E926">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FFFFFF"/>
            <w:vAlign w:val="center"/>
          </w:tcPr>
          <w:p w14:paraId="177BD152">
            <w:pPr>
              <w:spacing w:line="232" w:lineRule="exact"/>
              <w:rPr>
                <w:rFonts w:asciiTheme="minorEastAsia" w:hAnsiTheme="minorEastAsia" w:eastAsiaTheme="minorEastAsia"/>
                <w:color w:val="auto"/>
                <w:sz w:val="15"/>
                <w:szCs w:val="15"/>
                <w:highlight w:val="none"/>
              </w:rPr>
            </w:pPr>
          </w:p>
        </w:tc>
        <w:tc>
          <w:tcPr>
            <w:tcW w:w="1982" w:type="dxa"/>
            <w:gridSpan w:val="2"/>
            <w:shd w:val="clear" w:color="auto" w:fill="FFFFFF"/>
            <w:vAlign w:val="center"/>
          </w:tcPr>
          <w:p w14:paraId="59D3667E">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14:paraId="07603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993" w:hRule="atLeast"/>
          <w:jc w:val="center"/>
        </w:trPr>
        <w:tc>
          <w:tcPr>
            <w:tcW w:w="610" w:type="dxa"/>
            <w:shd w:val="clear" w:color="auto" w:fill="FFFFFF"/>
            <w:vAlign w:val="center"/>
          </w:tcPr>
          <w:p w14:paraId="5E112D2A">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830" w:type="dxa"/>
            <w:gridSpan w:val="3"/>
            <w:shd w:val="clear" w:color="auto" w:fill="FFFFFF"/>
            <w:vAlign w:val="center"/>
          </w:tcPr>
          <w:p w14:paraId="57E3CAA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石油销售企业未按照规定将符合国家标准的生物液体燃料纳入其燃料销售体系</w:t>
            </w:r>
          </w:p>
        </w:tc>
        <w:tc>
          <w:tcPr>
            <w:tcW w:w="2789" w:type="dxa"/>
            <w:gridSpan w:val="2"/>
            <w:shd w:val="clear" w:color="auto" w:fill="FFFFFF"/>
            <w:vAlign w:val="center"/>
          </w:tcPr>
          <w:p w14:paraId="26505C7C">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vAlign w:val="center"/>
          </w:tcPr>
          <w:p w14:paraId="00A0367C">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14:paraId="1B7D52F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14:paraId="31216F1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14:paraId="7A244A8B">
            <w:pPr>
              <w:spacing w:line="232" w:lineRule="exact"/>
              <w:rPr>
                <w:rFonts w:asciiTheme="minorEastAsia" w:hAnsiTheme="minorEastAsia" w:eastAsiaTheme="minorEastAsia"/>
                <w:color w:val="auto"/>
                <w:sz w:val="15"/>
                <w:szCs w:val="15"/>
                <w:highlight w:val="none"/>
              </w:rPr>
            </w:pPr>
          </w:p>
        </w:tc>
        <w:tc>
          <w:tcPr>
            <w:tcW w:w="1875" w:type="dxa"/>
            <w:gridSpan w:val="2"/>
            <w:shd w:val="clear" w:color="auto" w:fill="FFFFFF"/>
            <w:vAlign w:val="center"/>
          </w:tcPr>
          <w:p w14:paraId="7FF8451E">
            <w:pPr>
              <w:spacing w:line="232" w:lineRule="exact"/>
              <w:rPr>
                <w:rFonts w:asciiTheme="minorEastAsia" w:hAnsiTheme="minorEastAsia" w:eastAsiaTheme="minorEastAsia"/>
                <w:color w:val="auto"/>
                <w:sz w:val="15"/>
                <w:szCs w:val="15"/>
                <w:highlight w:val="none"/>
              </w:rPr>
            </w:pPr>
          </w:p>
        </w:tc>
        <w:tc>
          <w:tcPr>
            <w:tcW w:w="1982" w:type="dxa"/>
            <w:gridSpan w:val="2"/>
            <w:shd w:val="clear" w:color="auto" w:fill="FFFFFF"/>
            <w:vAlign w:val="center"/>
          </w:tcPr>
          <w:p w14:paraId="005A8EBF">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r>
      <w:tr w14:paraId="3E29E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358" w:hRule="atLeast"/>
          <w:jc w:val="center"/>
        </w:trPr>
        <w:tc>
          <w:tcPr>
            <w:tcW w:w="14203" w:type="dxa"/>
            <w:gridSpan w:val="13"/>
            <w:shd w:val="clear" w:color="auto" w:fill="FFFFFF"/>
            <w:vAlign w:val="center"/>
          </w:tcPr>
          <w:p w14:paraId="78A60426">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9" w:name="_Toc1255182876"/>
            <w:bookmarkStart w:id="180" w:name="_Toc2142516953"/>
            <w:bookmarkStart w:id="181" w:name="_Toc110851494"/>
            <w:r>
              <w:rPr>
                <w:rFonts w:hint="eastAsia" w:asciiTheme="minorEastAsia" w:hAnsiTheme="minorEastAsia" w:eastAsiaTheme="minorEastAsia"/>
                <w:color w:val="auto"/>
                <w:sz w:val="21"/>
                <w:szCs w:val="21"/>
                <w:highlight w:val="none"/>
              </w:rPr>
              <w:t>《中华人民共和国电力法》《电力供应与使用条例》案由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79"/>
            <w:bookmarkEnd w:id="180"/>
            <w:bookmarkEnd w:id="181"/>
          </w:p>
        </w:tc>
      </w:tr>
      <w:tr w14:paraId="7C4F6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101" w:hRule="atLeast"/>
          <w:jc w:val="center"/>
        </w:trPr>
        <w:tc>
          <w:tcPr>
            <w:tcW w:w="610" w:type="dxa"/>
            <w:vMerge w:val="restart"/>
            <w:shd w:val="clear" w:color="auto" w:fill="FFFFFF"/>
            <w:vAlign w:val="center"/>
          </w:tcPr>
          <w:p w14:paraId="72DAEF5A">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830" w:type="dxa"/>
            <w:gridSpan w:val="3"/>
            <w:vMerge w:val="restart"/>
            <w:shd w:val="clear" w:color="auto" w:fill="FFFFFF"/>
            <w:vAlign w:val="center"/>
          </w:tcPr>
          <w:p w14:paraId="2A2102ED">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电力建设项目使用国家明令淘汰的电力设备和技术</w:t>
            </w:r>
          </w:p>
        </w:tc>
        <w:tc>
          <w:tcPr>
            <w:tcW w:w="2789" w:type="dxa"/>
            <w:gridSpan w:val="2"/>
            <w:shd w:val="clear" w:color="auto" w:fill="FFFFFF"/>
            <w:vAlign w:val="center"/>
          </w:tcPr>
          <w:p w14:paraId="749ED393">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vAlign w:val="center"/>
          </w:tcPr>
          <w:p w14:paraId="0BCC4357">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FFFFFF"/>
            <w:vAlign w:val="center"/>
          </w:tcPr>
          <w:p w14:paraId="730FB59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FFFFFF"/>
            <w:vAlign w:val="center"/>
          </w:tcPr>
          <w:p w14:paraId="0E41BC04">
            <w:pPr>
              <w:autoSpaceDE w:val="0"/>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1.存在较大安全隐患的，系数2-3；2.发生安全事故的，系数4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14:paraId="628EBD5E">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FFFFFF"/>
            <w:vAlign w:val="center"/>
          </w:tcPr>
          <w:p w14:paraId="5DE0017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cs="宋体" w:asciiTheme="minorEastAsia" w:hAnsiTheme="minorEastAsia" w:eastAsiaTheme="minorEastAsia"/>
                <w:color w:val="auto"/>
                <w:kern w:val="0"/>
                <w:sz w:val="15"/>
                <w:szCs w:val="15"/>
                <w:highlight w:val="none"/>
              </w:rPr>
              <w:t>额度</w:t>
            </w: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，报案审会讨论决定。</w:t>
            </w:r>
          </w:p>
        </w:tc>
      </w:tr>
      <w:tr w14:paraId="321C8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2546" w:hRule="atLeast"/>
          <w:jc w:val="center"/>
        </w:trPr>
        <w:tc>
          <w:tcPr>
            <w:tcW w:w="610" w:type="dxa"/>
            <w:vMerge w:val="continue"/>
            <w:shd w:val="clear" w:color="auto" w:fill="FFFFFF"/>
            <w:vAlign w:val="center"/>
          </w:tcPr>
          <w:p w14:paraId="596F9305">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FFFFFF"/>
            <w:vAlign w:val="center"/>
          </w:tcPr>
          <w:p w14:paraId="2771ED16">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gridSpan w:val="2"/>
            <w:shd w:val="clear" w:color="auto" w:fill="FFFFFF"/>
            <w:vAlign w:val="center"/>
          </w:tcPr>
          <w:p w14:paraId="12491BD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FFFFFF"/>
            <w:vAlign w:val="center"/>
          </w:tcPr>
          <w:p w14:paraId="3DFF0C99">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14:paraId="7CD92EC2">
            <w:pPr>
              <w:autoSpaceDE w:val="0"/>
              <w:spacing w:line="232" w:lineRule="exact"/>
              <w:rPr>
                <w:rFonts w:cs="宋体" w:asciiTheme="minorEastAsia" w:hAnsiTheme="minorEastAsia" w:eastAsiaTheme="minorEastAsia"/>
                <w:color w:val="auto"/>
                <w:kern w:val="0"/>
                <w:sz w:val="15"/>
                <w:szCs w:val="15"/>
                <w:highlight w:val="none"/>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tc>
        <w:tc>
          <w:tcPr>
            <w:tcW w:w="1982" w:type="dxa"/>
            <w:gridSpan w:val="2"/>
            <w:shd w:val="clear" w:color="auto" w:fill="FFFFFF"/>
            <w:vAlign w:val="center"/>
          </w:tcPr>
          <w:p w14:paraId="1DA9F30E">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对违法行为，适用《中华人民共和国电力法》处罚。逾期未改正的，应另行立案，适用《中华人民共和国安全生产法》“逾期未改正”情形处罚。</w:t>
            </w:r>
          </w:p>
        </w:tc>
      </w:tr>
      <w:tr w14:paraId="609E3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140" w:hRule="atLeast"/>
          <w:jc w:val="center"/>
        </w:trPr>
        <w:tc>
          <w:tcPr>
            <w:tcW w:w="610" w:type="dxa"/>
            <w:shd w:val="clear" w:color="auto" w:fill="FFFFFF"/>
            <w:vAlign w:val="center"/>
          </w:tcPr>
          <w:p w14:paraId="18DC2193">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FFFFFF"/>
            <w:vAlign w:val="center"/>
          </w:tcPr>
          <w:p w14:paraId="3E48557A">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未经许可从事供电或者变更供电营业区</w:t>
            </w:r>
          </w:p>
        </w:tc>
        <w:tc>
          <w:tcPr>
            <w:tcW w:w="2789" w:type="dxa"/>
            <w:gridSpan w:val="2"/>
            <w:shd w:val="clear" w:color="auto" w:fill="FFFFFF"/>
            <w:vAlign w:val="center"/>
          </w:tcPr>
          <w:p w14:paraId="2913BB15">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vAlign w:val="center"/>
          </w:tcPr>
          <w:p w14:paraId="07DFFDF8">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违法所得</w:t>
            </w:r>
          </w:p>
        </w:tc>
        <w:tc>
          <w:tcPr>
            <w:tcW w:w="840" w:type="dxa"/>
            <w:shd w:val="clear" w:color="auto" w:fill="FFFFFF"/>
            <w:vAlign w:val="center"/>
          </w:tcPr>
          <w:p w14:paraId="5AFC0464">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FFFFFF"/>
            <w:vAlign w:val="center"/>
          </w:tcPr>
          <w:p w14:paraId="18C23F92">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未经许可从事电力供应业务，系数2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2.存在基准2.1.3规定情形的，系数按照相关规定确定（基准2.1.3.5不适用）。</w:t>
            </w:r>
          </w:p>
        </w:tc>
        <w:tc>
          <w:tcPr>
            <w:tcW w:w="1875" w:type="dxa"/>
            <w:gridSpan w:val="2"/>
            <w:shd w:val="clear" w:color="auto" w:fill="FFFFFF"/>
            <w:vAlign w:val="center"/>
          </w:tcPr>
          <w:p w14:paraId="2AAC0FFC">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asciiTheme="minorEastAsia" w:hAnsiTheme="minorEastAsia" w:eastAsiaTheme="minorEastAsia"/>
                <w:color w:val="auto"/>
                <w:sz w:val="15"/>
                <w:szCs w:val="15"/>
                <w:highlight w:val="none"/>
                <w:lang w:eastAsia="zh-CN"/>
              </w:rPr>
              <w:t>情节系数</w:t>
            </w:r>
            <w:r>
              <w:rPr>
                <w:rFonts w:hint="eastAsia" w:cs="宋体" w:asciiTheme="minorEastAsia" w:hAnsiTheme="minorEastAsia" w:eastAsiaTheme="minorEastAsia"/>
                <w:color w:val="auto"/>
                <w:kern w:val="0"/>
                <w:sz w:val="15"/>
                <w:szCs w:val="15"/>
                <w:highlight w:val="none"/>
              </w:rPr>
              <w:t>）</w:t>
            </w:r>
          </w:p>
        </w:tc>
        <w:tc>
          <w:tcPr>
            <w:tcW w:w="1982" w:type="dxa"/>
            <w:gridSpan w:val="2"/>
            <w:shd w:val="clear" w:color="auto" w:fill="FFFFFF"/>
            <w:vAlign w:val="center"/>
          </w:tcPr>
          <w:p w14:paraId="7A05ACF0">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14:paraId="6D60FCBF">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额度处罚的，报案审会讨论决定。</w:t>
            </w:r>
          </w:p>
        </w:tc>
      </w:tr>
      <w:tr w14:paraId="6BC21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79" w:hRule="atLeast"/>
          <w:jc w:val="center"/>
        </w:trPr>
        <w:tc>
          <w:tcPr>
            <w:tcW w:w="610" w:type="dxa"/>
            <w:shd w:val="clear" w:color="auto" w:fill="FFFFFF"/>
            <w:vAlign w:val="center"/>
          </w:tcPr>
          <w:p w14:paraId="68DD5B8C">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830" w:type="dxa"/>
            <w:gridSpan w:val="3"/>
            <w:shd w:val="clear" w:color="auto" w:fill="FFFFFF"/>
            <w:vAlign w:val="center"/>
          </w:tcPr>
          <w:p w14:paraId="50005A51">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供电营业机构拒绝供电</w:t>
            </w:r>
          </w:p>
        </w:tc>
        <w:tc>
          <w:tcPr>
            <w:tcW w:w="2789" w:type="dxa"/>
            <w:gridSpan w:val="2"/>
            <w:shd w:val="clear" w:color="auto" w:fill="FFFFFF"/>
            <w:vAlign w:val="center"/>
          </w:tcPr>
          <w:p w14:paraId="40196FE1">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违反条款：《中华人民共和国电力法》第二十六条第一款；处罚条款：第六十四条，责令改正，给予警告。</w:t>
            </w:r>
          </w:p>
        </w:tc>
        <w:tc>
          <w:tcPr>
            <w:tcW w:w="851" w:type="dxa"/>
            <w:shd w:val="clear" w:color="auto" w:fill="FFFFFF"/>
            <w:vAlign w:val="center"/>
          </w:tcPr>
          <w:p w14:paraId="40176FCA">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14:paraId="5C358DDB">
            <w:pPr>
              <w:spacing w:line="250" w:lineRule="exact"/>
              <w:jc w:val="center"/>
              <w:rPr>
                <w:rFonts w:asciiTheme="minorEastAsia" w:hAnsiTheme="minorEastAsia" w:eastAsiaTheme="minorEastAsia"/>
                <w:color w:val="auto"/>
                <w:sz w:val="15"/>
                <w:szCs w:val="15"/>
                <w:highlight w:val="none"/>
              </w:rPr>
            </w:pPr>
          </w:p>
        </w:tc>
        <w:tc>
          <w:tcPr>
            <w:tcW w:w="3426" w:type="dxa"/>
            <w:shd w:val="clear" w:color="auto" w:fill="FFFFFF"/>
            <w:vAlign w:val="center"/>
          </w:tcPr>
          <w:p w14:paraId="3979D686">
            <w:pPr>
              <w:spacing w:line="250" w:lineRule="exact"/>
              <w:rPr>
                <w:rFonts w:asciiTheme="minorEastAsia" w:hAnsiTheme="minorEastAsia" w:eastAsiaTheme="minorEastAsia"/>
                <w:color w:val="auto"/>
                <w:sz w:val="15"/>
                <w:szCs w:val="15"/>
                <w:highlight w:val="none"/>
              </w:rPr>
            </w:pPr>
          </w:p>
        </w:tc>
        <w:tc>
          <w:tcPr>
            <w:tcW w:w="1875" w:type="dxa"/>
            <w:gridSpan w:val="2"/>
            <w:shd w:val="clear" w:color="auto" w:fill="FFFFFF"/>
            <w:vAlign w:val="center"/>
          </w:tcPr>
          <w:p w14:paraId="4D5D2B8A">
            <w:pPr>
              <w:spacing w:line="250" w:lineRule="exact"/>
              <w:rPr>
                <w:rFonts w:asciiTheme="minorEastAsia" w:hAnsiTheme="minorEastAsia" w:eastAsiaTheme="minorEastAsia"/>
                <w:color w:val="auto"/>
                <w:sz w:val="15"/>
                <w:szCs w:val="15"/>
                <w:highlight w:val="none"/>
              </w:rPr>
            </w:pPr>
          </w:p>
        </w:tc>
        <w:tc>
          <w:tcPr>
            <w:tcW w:w="1982" w:type="dxa"/>
            <w:gridSpan w:val="2"/>
            <w:shd w:val="clear" w:color="auto" w:fill="FFFFFF"/>
            <w:vAlign w:val="center"/>
          </w:tcPr>
          <w:p w14:paraId="6382D471">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r>
      <w:tr w14:paraId="2311C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90" w:hRule="atLeast"/>
          <w:jc w:val="center"/>
        </w:trPr>
        <w:tc>
          <w:tcPr>
            <w:tcW w:w="610" w:type="dxa"/>
            <w:shd w:val="clear" w:color="auto" w:fill="FFFFFF"/>
            <w:vAlign w:val="center"/>
          </w:tcPr>
          <w:p w14:paraId="0B89DD85">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830" w:type="dxa"/>
            <w:gridSpan w:val="3"/>
            <w:shd w:val="clear" w:color="auto" w:fill="FFFFFF"/>
            <w:vAlign w:val="center"/>
          </w:tcPr>
          <w:p w14:paraId="6DEDDF99">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供电企业中断供电</w:t>
            </w:r>
          </w:p>
        </w:tc>
        <w:tc>
          <w:tcPr>
            <w:tcW w:w="2789" w:type="dxa"/>
            <w:gridSpan w:val="2"/>
            <w:shd w:val="clear" w:color="auto" w:fill="FFFFFF"/>
            <w:vAlign w:val="center"/>
          </w:tcPr>
          <w:p w14:paraId="6809334D">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违反条款：《中华人民共和国电力法》第二十九条第一款；处罚条款：第六十四条，责令改正，给予警告。</w:t>
            </w:r>
          </w:p>
        </w:tc>
        <w:tc>
          <w:tcPr>
            <w:tcW w:w="851" w:type="dxa"/>
            <w:shd w:val="clear" w:color="auto" w:fill="FFFFFF"/>
            <w:vAlign w:val="center"/>
          </w:tcPr>
          <w:p w14:paraId="2F061C3A">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14:paraId="07BD1E85">
            <w:pPr>
              <w:spacing w:line="250" w:lineRule="exact"/>
              <w:jc w:val="center"/>
              <w:rPr>
                <w:rFonts w:asciiTheme="minorEastAsia" w:hAnsiTheme="minorEastAsia" w:eastAsiaTheme="minorEastAsia"/>
                <w:color w:val="auto"/>
                <w:sz w:val="15"/>
                <w:szCs w:val="15"/>
                <w:highlight w:val="none"/>
              </w:rPr>
            </w:pPr>
          </w:p>
        </w:tc>
        <w:tc>
          <w:tcPr>
            <w:tcW w:w="3426" w:type="dxa"/>
            <w:shd w:val="clear" w:color="auto" w:fill="FFFFFF"/>
            <w:vAlign w:val="center"/>
          </w:tcPr>
          <w:p w14:paraId="2F865F54">
            <w:pPr>
              <w:spacing w:line="250" w:lineRule="exact"/>
              <w:rPr>
                <w:rFonts w:asciiTheme="minorEastAsia" w:hAnsiTheme="minorEastAsia" w:eastAsiaTheme="minorEastAsia"/>
                <w:color w:val="auto"/>
                <w:sz w:val="15"/>
                <w:szCs w:val="15"/>
                <w:highlight w:val="none"/>
              </w:rPr>
            </w:pPr>
          </w:p>
        </w:tc>
        <w:tc>
          <w:tcPr>
            <w:tcW w:w="1875" w:type="dxa"/>
            <w:gridSpan w:val="2"/>
            <w:shd w:val="clear" w:color="auto" w:fill="FFFFFF"/>
            <w:vAlign w:val="center"/>
          </w:tcPr>
          <w:p w14:paraId="35A5CCC4">
            <w:pPr>
              <w:spacing w:line="250" w:lineRule="exact"/>
              <w:rPr>
                <w:rFonts w:asciiTheme="minorEastAsia" w:hAnsiTheme="minorEastAsia" w:eastAsiaTheme="minorEastAsia"/>
                <w:color w:val="auto"/>
                <w:sz w:val="15"/>
                <w:szCs w:val="15"/>
                <w:highlight w:val="none"/>
              </w:rPr>
            </w:pPr>
          </w:p>
        </w:tc>
        <w:tc>
          <w:tcPr>
            <w:tcW w:w="1982" w:type="dxa"/>
            <w:gridSpan w:val="2"/>
            <w:shd w:val="clear" w:color="auto" w:fill="FFFFFF"/>
            <w:vAlign w:val="center"/>
          </w:tcPr>
          <w:p w14:paraId="381435AD">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r>
      <w:tr w14:paraId="234BD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390" w:hRule="atLeast"/>
          <w:jc w:val="center"/>
        </w:trPr>
        <w:tc>
          <w:tcPr>
            <w:tcW w:w="610" w:type="dxa"/>
            <w:shd w:val="clear" w:color="auto" w:fill="FFFFFF"/>
            <w:vAlign w:val="center"/>
          </w:tcPr>
          <w:p w14:paraId="33581713">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830" w:type="dxa"/>
            <w:gridSpan w:val="3"/>
            <w:shd w:val="clear" w:color="auto" w:fill="FFFFFF"/>
            <w:vAlign w:val="center"/>
          </w:tcPr>
          <w:p w14:paraId="0124A815">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用户危害供电用电安全或者扰乱供电用电秩序</w:t>
            </w:r>
          </w:p>
        </w:tc>
        <w:tc>
          <w:tcPr>
            <w:tcW w:w="2789" w:type="dxa"/>
            <w:gridSpan w:val="2"/>
            <w:shd w:val="clear" w:color="auto" w:fill="FFFFFF"/>
            <w:vAlign w:val="center"/>
          </w:tcPr>
          <w:p w14:paraId="60C55371">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vAlign w:val="center"/>
          </w:tcPr>
          <w:p w14:paraId="68B8F01D">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14:paraId="2C7454FF">
            <w:pPr>
              <w:spacing w:line="250" w:lineRule="exact"/>
              <w:jc w:val="center"/>
              <w:rPr>
                <w:rFonts w:asciiTheme="minorEastAsia" w:hAnsiTheme="minorEastAsia" w:eastAsiaTheme="minorEastAsia"/>
                <w:color w:val="auto"/>
                <w:sz w:val="15"/>
                <w:szCs w:val="15"/>
                <w:highlight w:val="none"/>
              </w:rPr>
            </w:pPr>
          </w:p>
        </w:tc>
        <w:tc>
          <w:tcPr>
            <w:tcW w:w="3426" w:type="dxa"/>
            <w:shd w:val="clear" w:color="auto" w:fill="FFFFFF"/>
            <w:vAlign w:val="center"/>
          </w:tcPr>
          <w:p w14:paraId="67E1145B">
            <w:pPr>
              <w:spacing w:line="250" w:lineRule="exact"/>
              <w:rPr>
                <w:rFonts w:asciiTheme="minorEastAsia" w:hAnsiTheme="minorEastAsia" w:eastAsiaTheme="minorEastAsia"/>
                <w:color w:val="auto"/>
                <w:sz w:val="15"/>
                <w:szCs w:val="15"/>
                <w:highlight w:val="none"/>
              </w:rPr>
            </w:pPr>
          </w:p>
        </w:tc>
        <w:tc>
          <w:tcPr>
            <w:tcW w:w="1875" w:type="dxa"/>
            <w:gridSpan w:val="2"/>
            <w:shd w:val="clear" w:color="auto" w:fill="FFFFFF"/>
            <w:vAlign w:val="center"/>
          </w:tcPr>
          <w:p w14:paraId="250FD2D9">
            <w:pPr>
              <w:spacing w:line="250" w:lineRule="exact"/>
              <w:rPr>
                <w:rFonts w:asciiTheme="minorEastAsia" w:hAnsiTheme="minorEastAsia" w:eastAsiaTheme="minorEastAsia"/>
                <w:color w:val="auto"/>
                <w:sz w:val="15"/>
                <w:szCs w:val="15"/>
                <w:highlight w:val="none"/>
              </w:rPr>
            </w:pPr>
          </w:p>
        </w:tc>
        <w:tc>
          <w:tcPr>
            <w:tcW w:w="1982" w:type="dxa"/>
            <w:gridSpan w:val="2"/>
            <w:shd w:val="clear" w:color="auto" w:fill="FFFFFF"/>
            <w:vAlign w:val="center"/>
          </w:tcPr>
          <w:p w14:paraId="58562AE6">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w:t>
            </w:r>
          </w:p>
          <w:p w14:paraId="2AAC1C2C">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可参照《供用电监督管理办法》第</w:t>
            </w:r>
            <w:r>
              <w:rPr>
                <w:rFonts w:hint="eastAsia" w:asciiTheme="minorEastAsia" w:hAnsiTheme="minorEastAsia" w:eastAsiaTheme="minorEastAsia"/>
                <w:color w:val="auto"/>
                <w:sz w:val="15"/>
                <w:szCs w:val="15"/>
                <w:highlight w:val="none"/>
                <w:lang w:eastAsia="zh-CN"/>
              </w:rPr>
              <w:t>十九</w:t>
            </w:r>
            <w:r>
              <w:rPr>
                <w:rFonts w:hint="eastAsia" w:asciiTheme="minorEastAsia" w:hAnsiTheme="minorEastAsia" w:eastAsiaTheme="minorEastAsia"/>
                <w:color w:val="auto"/>
                <w:sz w:val="15"/>
                <w:szCs w:val="15"/>
                <w:highlight w:val="none"/>
              </w:rPr>
              <w:t>条相关规定。</w:t>
            </w:r>
          </w:p>
        </w:tc>
      </w:tr>
      <w:tr w14:paraId="39543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47" w:hRule="atLeast"/>
          <w:jc w:val="center"/>
        </w:trPr>
        <w:tc>
          <w:tcPr>
            <w:tcW w:w="610" w:type="dxa"/>
            <w:vMerge w:val="restart"/>
            <w:shd w:val="clear" w:color="auto" w:fill="FFFFFF"/>
            <w:vAlign w:val="center"/>
          </w:tcPr>
          <w:p w14:paraId="4EB03A65">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830" w:type="dxa"/>
            <w:gridSpan w:val="3"/>
            <w:vMerge w:val="restart"/>
            <w:shd w:val="clear" w:color="auto" w:fill="FFFFFF"/>
            <w:vAlign w:val="center"/>
          </w:tcPr>
          <w:p w14:paraId="0613461E">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盗窃电能</w:t>
            </w:r>
          </w:p>
        </w:tc>
        <w:tc>
          <w:tcPr>
            <w:tcW w:w="2789" w:type="dxa"/>
            <w:gridSpan w:val="2"/>
            <w:shd w:val="clear" w:color="auto" w:fill="FFFFFF"/>
            <w:vAlign w:val="center"/>
          </w:tcPr>
          <w:p w14:paraId="35C36DC8">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vAlign w:val="center"/>
          </w:tcPr>
          <w:p w14:paraId="0F188384">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应交电费</w:t>
            </w:r>
          </w:p>
        </w:tc>
        <w:tc>
          <w:tcPr>
            <w:tcW w:w="840" w:type="dxa"/>
            <w:vMerge w:val="restart"/>
            <w:shd w:val="clear" w:color="auto" w:fill="FFFFFF"/>
            <w:vAlign w:val="center"/>
          </w:tcPr>
          <w:p w14:paraId="67F98E14">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vMerge w:val="restart"/>
            <w:shd w:val="clear" w:color="auto" w:fill="FFFFFF"/>
            <w:vAlign w:val="center"/>
          </w:tcPr>
          <w:p w14:paraId="368094AF">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1.造成电能损失较大或者供电设施、用电计量装置等损坏的，系数2-3；2.造成电能损失严重或者供用电事故的，系数4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vMerge w:val="restart"/>
            <w:shd w:val="clear" w:color="auto" w:fill="FFFFFF"/>
            <w:vAlign w:val="center"/>
          </w:tcPr>
          <w:p w14:paraId="128BEC5D">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罚款数额＝应交电费×（1＋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vMerge w:val="restart"/>
            <w:shd w:val="clear" w:color="auto" w:fill="FFFFFF"/>
            <w:vAlign w:val="center"/>
          </w:tcPr>
          <w:p w14:paraId="5A4523B5">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罚款数额不超过应交电费五倍。</w:t>
            </w:r>
          </w:p>
          <w:p w14:paraId="552B12EF">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p w14:paraId="4ED5BB8D">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构成犯罪的，依法追究刑事责任。</w:t>
            </w:r>
          </w:p>
        </w:tc>
      </w:tr>
      <w:tr w14:paraId="6E759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272" w:hRule="atLeast"/>
          <w:jc w:val="center"/>
        </w:trPr>
        <w:tc>
          <w:tcPr>
            <w:tcW w:w="610" w:type="dxa"/>
            <w:vMerge w:val="continue"/>
            <w:shd w:val="clear" w:color="auto" w:fill="FFFFFF"/>
            <w:vAlign w:val="center"/>
          </w:tcPr>
          <w:p w14:paraId="091AA5B8">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FFFFFF"/>
            <w:vAlign w:val="center"/>
          </w:tcPr>
          <w:p w14:paraId="0F902AE5">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789" w:type="dxa"/>
            <w:gridSpan w:val="2"/>
            <w:shd w:val="clear" w:color="auto" w:fill="FFFFFF"/>
            <w:vAlign w:val="center"/>
          </w:tcPr>
          <w:p w14:paraId="331C5508">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违反条款：《电力供应与使用条例》第三十一条第（一）（二）（三）（四）（五）（六）项；处罚条款：第四十一条，责令停止违法行为，追缴电费并处应交电费</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倍以下的罚款。</w:t>
            </w:r>
          </w:p>
        </w:tc>
        <w:tc>
          <w:tcPr>
            <w:tcW w:w="851" w:type="dxa"/>
            <w:vMerge w:val="continue"/>
            <w:shd w:val="clear" w:color="auto" w:fill="FFFFFF"/>
            <w:vAlign w:val="center"/>
          </w:tcPr>
          <w:p w14:paraId="37E49EDF">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40" w:type="dxa"/>
            <w:vMerge w:val="continue"/>
            <w:shd w:val="clear" w:color="auto" w:fill="FFFFFF"/>
            <w:vAlign w:val="center"/>
          </w:tcPr>
          <w:p w14:paraId="027B0A6D">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3426" w:type="dxa"/>
            <w:vMerge w:val="continue"/>
            <w:shd w:val="clear" w:color="auto" w:fill="FFFFFF"/>
            <w:vAlign w:val="center"/>
          </w:tcPr>
          <w:p w14:paraId="7E36C9D8">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875" w:type="dxa"/>
            <w:gridSpan w:val="2"/>
            <w:vMerge w:val="continue"/>
            <w:shd w:val="clear" w:color="auto" w:fill="FFFFFF"/>
            <w:vAlign w:val="center"/>
          </w:tcPr>
          <w:p w14:paraId="62827735">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982" w:type="dxa"/>
            <w:gridSpan w:val="2"/>
            <w:vMerge w:val="continue"/>
            <w:shd w:val="clear" w:color="auto" w:fill="FFFFFF"/>
            <w:vAlign w:val="center"/>
          </w:tcPr>
          <w:p w14:paraId="6E17F09A">
            <w:pPr>
              <w:spacing w:before="100" w:beforeAutospacing="1" w:after="100" w:afterAutospacing="1" w:line="232" w:lineRule="exact"/>
              <w:jc w:val="left"/>
              <w:rPr>
                <w:rFonts w:asciiTheme="minorEastAsia" w:hAnsiTheme="minorEastAsia" w:eastAsiaTheme="minorEastAsia"/>
                <w:color w:val="auto"/>
                <w:sz w:val="15"/>
                <w:szCs w:val="15"/>
                <w:highlight w:val="none"/>
              </w:rPr>
            </w:pPr>
          </w:p>
        </w:tc>
      </w:tr>
      <w:tr w14:paraId="43E57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412" w:hRule="atLeast"/>
          <w:jc w:val="center"/>
        </w:trPr>
        <w:tc>
          <w:tcPr>
            <w:tcW w:w="14203" w:type="dxa"/>
            <w:gridSpan w:val="13"/>
            <w:shd w:val="clear" w:color="auto" w:fill="FFFFFF"/>
            <w:vAlign w:val="center"/>
          </w:tcPr>
          <w:p w14:paraId="465D0CF5">
            <w:pPr>
              <w:pStyle w:val="3"/>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82" w:name="_Toc409668775"/>
            <w:bookmarkStart w:id="183" w:name="_Toc110851495"/>
            <w:bookmarkStart w:id="184" w:name="_Toc66185181"/>
            <w:r>
              <w:rPr>
                <w:rFonts w:hint="eastAsia" w:asciiTheme="minorEastAsia" w:hAnsiTheme="minorEastAsia" w:eastAsiaTheme="minorEastAsia"/>
                <w:color w:val="auto"/>
                <w:sz w:val="21"/>
                <w:szCs w:val="21"/>
                <w:highlight w:val="none"/>
              </w:rPr>
              <w:t>《电力设施保护条例》《电力设施保护条例实施细则》案由5项</w:t>
            </w:r>
            <w:bookmarkEnd w:id="182"/>
            <w:bookmarkEnd w:id="183"/>
            <w:bookmarkEnd w:id="184"/>
          </w:p>
        </w:tc>
      </w:tr>
      <w:tr w14:paraId="29C90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090" w:hRule="atLeast"/>
          <w:jc w:val="center"/>
        </w:trPr>
        <w:tc>
          <w:tcPr>
            <w:tcW w:w="610" w:type="dxa"/>
            <w:shd w:val="clear" w:color="auto" w:fill="FFFFFF"/>
            <w:vAlign w:val="center"/>
          </w:tcPr>
          <w:p w14:paraId="20DE8A42">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p>
        </w:tc>
        <w:tc>
          <w:tcPr>
            <w:tcW w:w="1830" w:type="dxa"/>
            <w:gridSpan w:val="3"/>
            <w:shd w:val="clear" w:color="auto" w:fill="FFFFFF"/>
            <w:vAlign w:val="center"/>
          </w:tcPr>
          <w:p w14:paraId="5332CFFB">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危害发电设施、变电设施</w:t>
            </w:r>
          </w:p>
        </w:tc>
        <w:tc>
          <w:tcPr>
            <w:tcW w:w="2789" w:type="dxa"/>
            <w:gridSpan w:val="2"/>
            <w:shd w:val="clear" w:color="auto" w:fill="FFFFFF"/>
            <w:vAlign w:val="center"/>
          </w:tcPr>
          <w:p w14:paraId="020DB966">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违反条款：《电力设施保护条例》第十三条第（一）（二）（三）（四）（五）项；</w:t>
            </w:r>
          </w:p>
          <w:p w14:paraId="1C53F86B">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万元以下的罚款。</w:t>
            </w:r>
          </w:p>
        </w:tc>
        <w:tc>
          <w:tcPr>
            <w:tcW w:w="851" w:type="dxa"/>
            <w:shd w:val="clear" w:color="auto" w:fill="FFFFFF"/>
            <w:vAlign w:val="center"/>
          </w:tcPr>
          <w:p w14:paraId="568D793B">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14:paraId="358519DE">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14:paraId="22FADA21">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FFFFFF"/>
            <w:vAlign w:val="center"/>
          </w:tcPr>
          <w:p w14:paraId="2EB1E0AB">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shd w:val="clear" w:color="auto" w:fill="FFFFFF"/>
            <w:vAlign w:val="center"/>
          </w:tcPr>
          <w:p w14:paraId="79F304C9">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拒不改正的情形，不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14:paraId="25B61E2F">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14:paraId="1FB2E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249" w:hRule="atLeast"/>
          <w:jc w:val="center"/>
        </w:trPr>
        <w:tc>
          <w:tcPr>
            <w:tcW w:w="610" w:type="dxa"/>
            <w:tcBorders>
              <w:bottom w:val="single" w:color="auto" w:sz="4" w:space="0"/>
            </w:tcBorders>
            <w:shd w:val="clear" w:color="auto" w:fill="FFFFFF"/>
            <w:vAlign w:val="center"/>
          </w:tcPr>
          <w:p w14:paraId="46699B1B">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830" w:type="dxa"/>
            <w:gridSpan w:val="3"/>
            <w:shd w:val="clear" w:color="auto" w:fill="FFFFFF"/>
            <w:vAlign w:val="center"/>
          </w:tcPr>
          <w:p w14:paraId="5837D598">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危害电力线路设施</w:t>
            </w:r>
          </w:p>
        </w:tc>
        <w:tc>
          <w:tcPr>
            <w:tcW w:w="2789" w:type="dxa"/>
            <w:gridSpan w:val="2"/>
            <w:shd w:val="clear" w:color="auto" w:fill="FFFFFF"/>
            <w:vAlign w:val="center"/>
          </w:tcPr>
          <w:p w14:paraId="42690F4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违反条款：《电力设施保护条例》第十四条第（一）（二）（三）（四）（五）（六）（七）（八）（九）（十）（十一）项；</w:t>
            </w:r>
          </w:p>
          <w:p w14:paraId="0A80DDB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处罚条款：第二十七条，责令改正；拒不改正的，处1万元以下的罚款。</w:t>
            </w:r>
          </w:p>
        </w:tc>
        <w:tc>
          <w:tcPr>
            <w:tcW w:w="851" w:type="dxa"/>
            <w:shd w:val="clear" w:color="auto" w:fill="FFFFFF"/>
            <w:vAlign w:val="center"/>
          </w:tcPr>
          <w:p w14:paraId="3E8453EB">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14:paraId="4047F85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14:paraId="5F5C86AD">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r>
              <w:rPr>
                <w:rFonts w:hint="eastAsia" w:asciiTheme="minorEastAsia" w:hAnsiTheme="minorEastAsia" w:eastAsiaTheme="minorEastAsia"/>
                <w:color w:val="auto"/>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FFFFFF"/>
            <w:vAlign w:val="center"/>
          </w:tcPr>
          <w:p w14:paraId="1E3E660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vMerge w:val="restart"/>
            <w:shd w:val="clear" w:color="auto" w:fill="FFFFFF"/>
            <w:vAlign w:val="center"/>
          </w:tcPr>
          <w:p w14:paraId="75973784">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拒不改正的情形，不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14:paraId="4AB1AAD2">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p w14:paraId="50A5F2A5">
            <w:pPr>
              <w:pStyle w:val="22"/>
              <w:ind w:left="0" w:leftChars="0" w:firstLine="0" w:firstLineChars="0"/>
              <w:rPr>
                <w:color w:val="auto"/>
                <w:highlight w:val="none"/>
              </w:rPr>
            </w:pPr>
          </w:p>
        </w:tc>
      </w:tr>
      <w:tr w14:paraId="3F001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099" w:hRule="atLeast"/>
          <w:jc w:val="center"/>
        </w:trPr>
        <w:tc>
          <w:tcPr>
            <w:tcW w:w="610" w:type="dxa"/>
            <w:tcBorders>
              <w:bottom w:val="single" w:color="auto" w:sz="4" w:space="0"/>
            </w:tcBorders>
            <w:shd w:val="clear" w:color="auto" w:fill="FFFFFF"/>
            <w:vAlign w:val="center"/>
          </w:tcPr>
          <w:p w14:paraId="412C459B">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3</w:t>
            </w:r>
          </w:p>
        </w:tc>
        <w:tc>
          <w:tcPr>
            <w:tcW w:w="1830" w:type="dxa"/>
            <w:gridSpan w:val="3"/>
            <w:shd w:val="clear" w:color="auto" w:fill="FFFFFF"/>
            <w:vAlign w:val="center"/>
          </w:tcPr>
          <w:p w14:paraId="2BE13523">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损坏使用中的杆塔基础</w:t>
            </w:r>
          </w:p>
        </w:tc>
        <w:tc>
          <w:tcPr>
            <w:tcW w:w="2789" w:type="dxa"/>
            <w:gridSpan w:val="2"/>
            <w:shd w:val="clear" w:color="auto" w:fill="FFFFFF"/>
            <w:vAlign w:val="center"/>
          </w:tcPr>
          <w:p w14:paraId="0F3AE1F7">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vAlign w:val="center"/>
          </w:tcPr>
          <w:p w14:paraId="4FCCAFC7">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14:paraId="486D7C06">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shd w:val="clear" w:color="auto" w:fill="FFFFFF"/>
            <w:vAlign w:val="center"/>
          </w:tcPr>
          <w:p w14:paraId="0886D611">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1.造成电能损失较大或者设施损坏的，系数2-3；2.造成事故的，系数4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shd w:val="clear" w:color="auto" w:fill="FFFFFF"/>
            <w:vAlign w:val="center"/>
          </w:tcPr>
          <w:p w14:paraId="59B933B3">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vMerge w:val="continue"/>
            <w:shd w:val="clear" w:color="auto" w:fill="FFFFFF"/>
            <w:vAlign w:val="center"/>
          </w:tcPr>
          <w:p w14:paraId="65297ADE">
            <w:pPr>
              <w:autoSpaceDE w:val="0"/>
              <w:spacing w:line="232" w:lineRule="exact"/>
              <w:rPr>
                <w:rFonts w:asciiTheme="minorEastAsia" w:hAnsiTheme="minorEastAsia" w:eastAsiaTheme="minorEastAsia"/>
                <w:color w:val="auto"/>
                <w:sz w:val="15"/>
                <w:szCs w:val="15"/>
                <w:highlight w:val="none"/>
              </w:rPr>
            </w:pPr>
          </w:p>
        </w:tc>
      </w:tr>
      <w:tr w14:paraId="0612E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143" w:hRule="atLeast"/>
          <w:jc w:val="center"/>
        </w:trPr>
        <w:tc>
          <w:tcPr>
            <w:tcW w:w="610" w:type="dxa"/>
            <w:tcBorders>
              <w:bottom w:val="single" w:color="auto" w:sz="4" w:space="0"/>
            </w:tcBorders>
            <w:shd w:val="clear" w:color="auto" w:fill="FFFFFF"/>
            <w:vAlign w:val="center"/>
          </w:tcPr>
          <w:p w14:paraId="054672B5">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4</w:t>
            </w:r>
          </w:p>
        </w:tc>
        <w:tc>
          <w:tcPr>
            <w:tcW w:w="1830" w:type="dxa"/>
            <w:gridSpan w:val="3"/>
            <w:tcBorders>
              <w:bottom w:val="single" w:color="auto" w:sz="4" w:space="0"/>
            </w:tcBorders>
            <w:shd w:val="clear" w:color="auto" w:fill="FFFFFF"/>
            <w:vAlign w:val="center"/>
          </w:tcPr>
          <w:p w14:paraId="39860E47">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损坏、拆卸、盗窃使用中或备用塔材、导线等电力设施</w:t>
            </w:r>
          </w:p>
        </w:tc>
        <w:tc>
          <w:tcPr>
            <w:tcW w:w="2789" w:type="dxa"/>
            <w:gridSpan w:val="2"/>
            <w:tcBorders>
              <w:bottom w:val="single" w:color="auto" w:sz="4" w:space="0"/>
            </w:tcBorders>
            <w:shd w:val="clear" w:color="auto" w:fill="FFFFFF"/>
            <w:vAlign w:val="center"/>
          </w:tcPr>
          <w:p w14:paraId="1B235A85">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vAlign w:val="center"/>
          </w:tcPr>
          <w:p w14:paraId="3D896B9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14:paraId="5106AC9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tcBorders>
              <w:bottom w:val="single" w:color="auto" w:sz="4" w:space="0"/>
            </w:tcBorders>
            <w:shd w:val="clear" w:color="auto" w:fill="FFFFFF"/>
            <w:vAlign w:val="center"/>
          </w:tcPr>
          <w:p w14:paraId="6A23E511">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1.损坏、拆卸、盗窃使用中的塔材、导线等电力设施或者造成电能损失较大的，系数2-3；2.造成事故的，系数4</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bottom w:val="single" w:color="auto" w:sz="4" w:space="0"/>
            </w:tcBorders>
            <w:shd w:val="clear" w:color="auto" w:fill="FFFFFF"/>
            <w:vAlign w:val="center"/>
          </w:tcPr>
          <w:p w14:paraId="46735D5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vMerge w:val="continue"/>
            <w:shd w:val="clear" w:color="auto" w:fill="FFFFFF"/>
            <w:vAlign w:val="center"/>
          </w:tcPr>
          <w:p w14:paraId="1C6D51D0">
            <w:pPr>
              <w:autoSpaceDE w:val="0"/>
              <w:spacing w:line="232" w:lineRule="exact"/>
              <w:rPr>
                <w:rFonts w:asciiTheme="minorEastAsia" w:hAnsiTheme="minorEastAsia" w:eastAsiaTheme="minorEastAsia"/>
                <w:color w:val="auto"/>
                <w:sz w:val="15"/>
                <w:szCs w:val="15"/>
                <w:highlight w:val="none"/>
              </w:rPr>
            </w:pPr>
          </w:p>
        </w:tc>
      </w:tr>
      <w:tr w14:paraId="52278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491" w:hRule="atLeast"/>
          <w:jc w:val="center"/>
        </w:trPr>
        <w:tc>
          <w:tcPr>
            <w:tcW w:w="610" w:type="dxa"/>
            <w:tcBorders>
              <w:bottom w:val="single" w:color="auto" w:sz="4" w:space="0"/>
            </w:tcBorders>
            <w:shd w:val="clear" w:color="auto" w:fill="FFFFFF"/>
            <w:vAlign w:val="center"/>
          </w:tcPr>
          <w:p w14:paraId="4FD37A7B">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5</w:t>
            </w:r>
          </w:p>
        </w:tc>
        <w:tc>
          <w:tcPr>
            <w:tcW w:w="1830" w:type="dxa"/>
            <w:gridSpan w:val="3"/>
            <w:tcBorders>
              <w:bottom w:val="single" w:color="auto" w:sz="4" w:space="0"/>
            </w:tcBorders>
            <w:shd w:val="clear" w:color="auto" w:fill="FFFFFF"/>
            <w:vAlign w:val="center"/>
          </w:tcPr>
          <w:p w14:paraId="00C54D67">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拆卸、盗窃使用中或备用变压器等电力设备</w:t>
            </w:r>
          </w:p>
        </w:tc>
        <w:tc>
          <w:tcPr>
            <w:tcW w:w="2789" w:type="dxa"/>
            <w:gridSpan w:val="2"/>
            <w:tcBorders>
              <w:bottom w:val="single" w:color="auto" w:sz="4" w:space="0"/>
            </w:tcBorders>
            <w:shd w:val="clear" w:color="auto" w:fill="FFFFFF"/>
            <w:vAlign w:val="center"/>
          </w:tcPr>
          <w:p w14:paraId="396DFFF9">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vAlign w:val="center"/>
          </w:tcPr>
          <w:p w14:paraId="1A15353E">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14:paraId="272E9E94">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3426" w:type="dxa"/>
            <w:tcBorders>
              <w:bottom w:val="single" w:color="auto" w:sz="4" w:space="0"/>
            </w:tcBorders>
            <w:shd w:val="clear" w:color="auto" w:fill="FFFFFF"/>
            <w:vAlign w:val="center"/>
          </w:tcPr>
          <w:p w14:paraId="3F5FAC19">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1.拆卸、盗窃使用中变压器等电力设备或者造成电能损失较大的，系数2-3；2.造成事故的，系数4。</w:t>
            </w:r>
            <w:r>
              <w:rPr>
                <w:rFonts w:hint="eastAsia" w:asciiTheme="minorEastAsia" w:hAnsiTheme="minorEastAsia" w:eastAsiaTheme="minorEastAsia"/>
                <w:color w:val="auto"/>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tc>
        <w:tc>
          <w:tcPr>
            <w:tcW w:w="1875" w:type="dxa"/>
            <w:gridSpan w:val="2"/>
            <w:tcBorders>
              <w:bottom w:val="single" w:color="auto" w:sz="4" w:space="0"/>
            </w:tcBorders>
            <w:shd w:val="clear" w:color="auto" w:fill="FFFFFF"/>
            <w:vAlign w:val="center"/>
          </w:tcPr>
          <w:p w14:paraId="69C7D760">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bottom w:val="single" w:color="auto" w:sz="4" w:space="0"/>
            </w:tcBorders>
            <w:shd w:val="clear" w:color="auto" w:fill="FFFFFF"/>
            <w:vAlign w:val="center"/>
          </w:tcPr>
          <w:p w14:paraId="67E49E98">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拒不改正的情形，不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14:paraId="11C60C0D">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14:paraId="2D024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476" w:hRule="atLeast"/>
          <w:jc w:val="center"/>
        </w:trPr>
        <w:tc>
          <w:tcPr>
            <w:tcW w:w="14203" w:type="dxa"/>
            <w:gridSpan w:val="13"/>
            <w:tcBorders>
              <w:bottom w:val="single" w:color="auto" w:sz="4" w:space="0"/>
            </w:tcBorders>
            <w:shd w:val="clear" w:color="auto" w:fill="FFFFFF"/>
            <w:vAlign w:val="center"/>
          </w:tcPr>
          <w:p w14:paraId="481CD386">
            <w:pPr>
              <w:pStyle w:val="3"/>
              <w:bidi w:val="0"/>
              <w:jc w:val="center"/>
              <w:rPr>
                <w:rFonts w:hint="default"/>
                <w:color w:val="auto"/>
                <w:highlight w:val="none"/>
                <w:lang w:val="en-US" w:eastAsia="zh-CN"/>
              </w:rPr>
            </w:pPr>
            <w:bookmarkStart w:id="185" w:name="_Toc83055737"/>
            <w:r>
              <w:rPr>
                <w:rFonts w:hint="eastAsia"/>
                <w:color w:val="auto"/>
                <w:sz w:val="21"/>
                <w:szCs w:val="21"/>
                <w:highlight w:val="none"/>
                <w:lang w:val="en-US" w:eastAsia="zh-CN"/>
              </w:rPr>
              <w:t>《北京市优化营商环境条例》案由1项</w:t>
            </w:r>
            <w:bookmarkEnd w:id="185"/>
          </w:p>
        </w:tc>
      </w:tr>
      <w:tr w14:paraId="06117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2198" w:hRule="atLeast"/>
          <w:jc w:val="center"/>
        </w:trPr>
        <w:tc>
          <w:tcPr>
            <w:tcW w:w="610" w:type="dxa"/>
            <w:tcBorders>
              <w:bottom w:val="single" w:color="auto" w:sz="4" w:space="0"/>
            </w:tcBorders>
            <w:shd w:val="clear" w:color="auto" w:fill="FFFFFF"/>
            <w:vAlign w:val="center"/>
          </w:tcPr>
          <w:p w14:paraId="09608BED">
            <w:pPr>
              <w:pStyle w:val="8"/>
              <w:jc w:val="center"/>
              <w:rPr>
                <w:rFonts w:hint="eastAsia" w:eastAsia="仿宋_GB2312"/>
                <w:color w:val="auto"/>
                <w:sz w:val="15"/>
                <w:szCs w:val="15"/>
                <w:highlight w:val="none"/>
                <w:lang w:val="en-US" w:eastAsia="zh-CN"/>
              </w:rPr>
            </w:pPr>
            <w:r>
              <w:rPr>
                <w:rFonts w:hint="eastAsia"/>
                <w:color w:val="auto"/>
                <w:sz w:val="15"/>
                <w:szCs w:val="15"/>
                <w:highlight w:val="none"/>
                <w:lang w:val="en-US" w:eastAsia="zh-CN"/>
              </w:rPr>
              <w:t>1</w:t>
            </w:r>
          </w:p>
        </w:tc>
        <w:tc>
          <w:tcPr>
            <w:tcW w:w="1830" w:type="dxa"/>
            <w:gridSpan w:val="3"/>
            <w:tcBorders>
              <w:bottom w:val="single" w:color="auto" w:sz="4" w:space="0"/>
            </w:tcBorders>
            <w:shd w:val="clear" w:color="auto" w:fill="FFFFFF"/>
            <w:vAlign w:val="center"/>
          </w:tcPr>
          <w:p w14:paraId="3066AA73">
            <w:pPr>
              <w:keepNext w:val="0"/>
              <w:keepLines w:val="0"/>
              <w:widowControl/>
              <w:suppressLineNumbers w:val="0"/>
              <w:jc w:val="left"/>
              <w:textAlignment w:val="center"/>
              <w:rPr>
                <w:rFonts w:hint="eastAsia" w:asciiTheme="minorEastAsia" w:hAnsiTheme="minorEastAsia" w:eastAsiaTheme="minorEastAsia" w:cstheme="minorEastAsia"/>
                <w:color w:val="auto"/>
                <w:sz w:val="15"/>
                <w:szCs w:val="15"/>
                <w:highlight w:val="none"/>
              </w:rPr>
            </w:pPr>
            <w:r>
              <w:rPr>
                <w:rFonts w:hint="eastAsia" w:asciiTheme="minorEastAsia" w:hAnsiTheme="minorEastAsia" w:eastAsiaTheme="minorEastAsia" w:cstheme="minorEastAsia"/>
                <w:color w:val="auto"/>
                <w:sz w:val="15"/>
                <w:szCs w:val="15"/>
                <w:highlight w:val="none"/>
              </w:rPr>
              <w:t>供电企业年供电可靠率低于国家有关规定</w:t>
            </w:r>
          </w:p>
        </w:tc>
        <w:tc>
          <w:tcPr>
            <w:tcW w:w="2789" w:type="dxa"/>
            <w:gridSpan w:val="2"/>
            <w:tcBorders>
              <w:bottom w:val="single" w:color="auto" w:sz="4" w:space="0"/>
            </w:tcBorders>
            <w:shd w:val="clear" w:color="auto" w:fill="FFFFFF"/>
            <w:vAlign w:val="center"/>
          </w:tcPr>
          <w:p w14:paraId="1303A8BF">
            <w:pPr>
              <w:keepNext w:val="0"/>
              <w:keepLines w:val="0"/>
              <w:widowControl/>
              <w:suppressLineNumbers w:val="0"/>
              <w:jc w:val="left"/>
              <w:textAlignment w:val="center"/>
              <w:rPr>
                <w:rFonts w:hint="eastAsia" w:asciiTheme="minorEastAsia" w:hAnsiTheme="minorEastAsia" w:eastAsiaTheme="minorEastAsia" w:cstheme="minorEastAsia"/>
                <w:color w:val="auto"/>
                <w:sz w:val="15"/>
                <w:szCs w:val="15"/>
                <w:highlight w:val="none"/>
              </w:rPr>
            </w:pPr>
            <w:r>
              <w:rPr>
                <w:rFonts w:hint="eastAsia" w:asciiTheme="minorEastAsia" w:hAnsiTheme="minorEastAsia" w:eastAsiaTheme="minorEastAsia" w:cstheme="minorEastAsia"/>
                <w:i w:val="0"/>
                <w:iCs w:val="0"/>
                <w:color w:val="auto"/>
                <w:kern w:val="0"/>
                <w:sz w:val="15"/>
                <w:szCs w:val="15"/>
                <w:highlight w:val="none"/>
                <w:u w:val="none"/>
                <w:lang w:val="en-US" w:eastAsia="zh-CN" w:bidi="ar"/>
              </w:rPr>
              <w:t>违反</w:t>
            </w:r>
            <w:r>
              <w:rPr>
                <w:rStyle w:val="62"/>
                <w:rFonts w:hint="eastAsia" w:asciiTheme="minorEastAsia" w:hAnsiTheme="minorEastAsia" w:eastAsiaTheme="minorEastAsia" w:cstheme="minorEastAsia"/>
                <w:color w:val="auto"/>
                <w:sz w:val="15"/>
                <w:szCs w:val="15"/>
                <w:highlight w:val="none"/>
                <w:lang w:val="en-US" w:eastAsia="zh-CN" w:bidi="ar"/>
              </w:rPr>
              <w:t>条款、处罚条款：第四十七条 供电企业应当保障供电设施的正常、稳定运行，确保供电质量符合国家规定。市城市管理部门应当加强对供电企业年供电可靠率的监督，对年供电可靠率低于国家规定的，责令改正；拒不改正的，处五万元以上五十万元以下罚款。</w:t>
            </w:r>
          </w:p>
        </w:tc>
        <w:tc>
          <w:tcPr>
            <w:tcW w:w="851" w:type="dxa"/>
            <w:tcBorders>
              <w:bottom w:val="single" w:color="auto" w:sz="4" w:space="0"/>
            </w:tcBorders>
            <w:shd w:val="clear" w:color="auto" w:fill="FFFFFF"/>
            <w:vAlign w:val="center"/>
          </w:tcPr>
          <w:p w14:paraId="2771E213">
            <w:pPr>
              <w:spacing w:line="232" w:lineRule="exact"/>
              <w:jc w:val="center"/>
              <w:rPr>
                <w:rFonts w:hint="default" w:asciiTheme="minorEastAsia" w:hAnsiTheme="minorEastAsia" w:eastAsiaTheme="minorEastAsia" w:cstheme="minorEastAsia"/>
                <w:strike w:val="0"/>
                <w:dstrike w:val="0"/>
                <w:color w:val="auto"/>
                <w:sz w:val="15"/>
                <w:szCs w:val="15"/>
                <w:highlight w:val="none"/>
                <w:lang w:val="en-US" w:eastAsia="zh-CN"/>
              </w:rPr>
            </w:pPr>
            <w:r>
              <w:rPr>
                <w:rFonts w:hint="eastAsia" w:asciiTheme="minorEastAsia" w:hAnsiTheme="minorEastAsia" w:eastAsiaTheme="minorEastAsia" w:cstheme="minorEastAsia"/>
                <w:strike w:val="0"/>
                <w:dstrike w:val="0"/>
                <w:color w:val="auto"/>
                <w:sz w:val="15"/>
                <w:szCs w:val="15"/>
                <w:highlight w:val="none"/>
                <w:lang w:val="en-US" w:eastAsia="zh-CN"/>
              </w:rPr>
              <w:t>50000</w:t>
            </w:r>
          </w:p>
        </w:tc>
        <w:tc>
          <w:tcPr>
            <w:tcW w:w="840" w:type="dxa"/>
            <w:tcBorders>
              <w:bottom w:val="single" w:color="auto" w:sz="4" w:space="0"/>
            </w:tcBorders>
            <w:shd w:val="clear" w:color="auto" w:fill="FFFFFF"/>
            <w:vAlign w:val="center"/>
          </w:tcPr>
          <w:p w14:paraId="67D24101">
            <w:pPr>
              <w:spacing w:line="232" w:lineRule="exact"/>
              <w:ind w:firstLine="300" w:firstLineChars="200"/>
              <w:rPr>
                <w:rFonts w:hint="eastAsia" w:asciiTheme="majorEastAsia" w:hAnsiTheme="majorEastAsia" w:eastAsiaTheme="majorEastAsia" w:cstheme="majorEastAsia"/>
                <w:strike w:val="0"/>
                <w:dstrike w:val="0"/>
                <w:color w:val="auto"/>
                <w:sz w:val="15"/>
                <w:szCs w:val="15"/>
                <w:highlight w:val="none"/>
                <w:lang w:val="en-US" w:eastAsia="zh-CN"/>
              </w:rPr>
            </w:pPr>
          </w:p>
        </w:tc>
        <w:tc>
          <w:tcPr>
            <w:tcW w:w="3426" w:type="dxa"/>
            <w:tcBorders>
              <w:bottom w:val="single" w:color="auto" w:sz="4" w:space="0"/>
            </w:tcBorders>
            <w:shd w:val="clear" w:color="auto" w:fill="FFFFFF"/>
            <w:vAlign w:val="center"/>
          </w:tcPr>
          <w:p w14:paraId="11EB3510">
            <w:pPr>
              <w:numPr>
                <w:ilvl w:val="0"/>
                <w:numId w:val="0"/>
              </w:numPr>
              <w:spacing w:line="232" w:lineRule="exact"/>
              <w:rPr>
                <w:rFonts w:hint="default" w:asciiTheme="majorEastAsia" w:hAnsiTheme="majorEastAsia" w:eastAsiaTheme="majorEastAsia" w:cstheme="majorEastAsia"/>
                <w:strike w:val="0"/>
                <w:dstrike w:val="0"/>
                <w:color w:val="auto"/>
                <w:sz w:val="15"/>
                <w:szCs w:val="15"/>
                <w:highlight w:val="none"/>
                <w:lang w:val="en-US" w:eastAsia="zh-CN"/>
              </w:rPr>
            </w:pPr>
            <w:r>
              <w:rPr>
                <w:rFonts w:hint="default" w:asciiTheme="majorEastAsia" w:hAnsiTheme="majorEastAsia" w:eastAsiaTheme="majorEastAsia" w:cstheme="majorEastAsia"/>
                <w:strike w:val="0"/>
                <w:dstrike w:val="0"/>
                <w:color w:val="auto"/>
                <w:sz w:val="15"/>
                <w:szCs w:val="15"/>
                <w:highlight w:val="none"/>
                <w:lang w:val="en-US"/>
              </w:rPr>
              <w:t>1.</w:t>
            </w:r>
            <w:r>
              <w:rPr>
                <w:rFonts w:hint="eastAsia" w:asciiTheme="majorEastAsia" w:hAnsiTheme="majorEastAsia" w:eastAsiaTheme="majorEastAsia" w:cstheme="majorEastAsia"/>
                <w:strike w:val="0"/>
                <w:dstrike w:val="0"/>
                <w:color w:val="auto"/>
                <w:sz w:val="15"/>
                <w:szCs w:val="15"/>
                <w:highlight w:val="none"/>
              </w:rPr>
              <w:t>城市电网年供电可靠率</w:t>
            </w:r>
            <w:r>
              <w:rPr>
                <w:rFonts w:hint="eastAsia" w:asciiTheme="majorEastAsia" w:hAnsiTheme="majorEastAsia" w:eastAsiaTheme="majorEastAsia" w:cstheme="majorEastAsia"/>
                <w:strike w:val="0"/>
                <w:dstrike w:val="0"/>
                <w:color w:val="auto"/>
                <w:sz w:val="15"/>
                <w:szCs w:val="15"/>
                <w:highlight w:val="none"/>
                <w:lang w:eastAsia="zh-CN"/>
              </w:rPr>
              <w:t>在</w:t>
            </w:r>
            <w:r>
              <w:rPr>
                <w:rFonts w:hint="eastAsia" w:asciiTheme="majorEastAsia" w:hAnsiTheme="majorEastAsia" w:eastAsiaTheme="majorEastAsia" w:cstheme="majorEastAsia"/>
                <w:strike w:val="0"/>
                <w:dstrike w:val="0"/>
                <w:color w:val="auto"/>
                <w:sz w:val="15"/>
                <w:szCs w:val="15"/>
                <w:highlight w:val="none"/>
                <w:lang w:val="en-US" w:eastAsia="zh-CN"/>
              </w:rPr>
              <w:t>99%-98.8%（不含99%）的，系数0；98.8%-98.6%（不含98.8%）的，系数1；98.6%-98.4%（不含98.6%）的，系数2；98.4%-98.2%（不含98.4%）的，系数3；98.2%-98%（不含98.2%）的，系数4；98%-97.8%（不含98%）的，系数5；以此类推，</w:t>
            </w:r>
            <w:r>
              <w:rPr>
                <w:rFonts w:hint="eastAsia" w:asciiTheme="majorEastAsia" w:hAnsiTheme="majorEastAsia" w:eastAsiaTheme="majorEastAsia" w:cstheme="majorEastAsia"/>
                <w:strike w:val="0"/>
                <w:dstrike w:val="0"/>
                <w:color w:val="auto"/>
                <w:sz w:val="15"/>
                <w:szCs w:val="15"/>
                <w:highlight w:val="none"/>
              </w:rPr>
              <w:t>城市电网年供电可靠率</w:t>
            </w:r>
            <w:r>
              <w:rPr>
                <w:rFonts w:hint="eastAsia" w:asciiTheme="majorEastAsia" w:hAnsiTheme="majorEastAsia" w:eastAsiaTheme="majorEastAsia" w:cstheme="majorEastAsia"/>
                <w:strike w:val="0"/>
                <w:dstrike w:val="0"/>
                <w:color w:val="auto"/>
                <w:sz w:val="15"/>
                <w:szCs w:val="15"/>
                <w:highlight w:val="none"/>
                <w:lang w:eastAsia="zh-CN"/>
              </w:rPr>
              <w:t>低于</w:t>
            </w:r>
            <w:r>
              <w:rPr>
                <w:rFonts w:hint="eastAsia" w:asciiTheme="majorEastAsia" w:hAnsiTheme="majorEastAsia" w:eastAsiaTheme="majorEastAsia" w:cstheme="majorEastAsia"/>
                <w:strike w:val="0"/>
                <w:dstrike w:val="0"/>
                <w:color w:val="auto"/>
                <w:sz w:val="15"/>
                <w:szCs w:val="15"/>
                <w:highlight w:val="none"/>
                <w:lang w:val="en-US" w:eastAsia="zh-CN"/>
              </w:rPr>
              <w:t>97.2%的，系数9。</w:t>
            </w:r>
          </w:p>
          <w:p w14:paraId="3A5357DC">
            <w:pPr>
              <w:spacing w:line="232" w:lineRule="exact"/>
              <w:rPr>
                <w:rFonts w:hint="default" w:asciiTheme="majorEastAsia" w:hAnsiTheme="majorEastAsia" w:eastAsiaTheme="majorEastAsia" w:cstheme="majorEastAsia"/>
                <w:strike w:val="0"/>
                <w:dstrike w:val="0"/>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val="en-US" w:eastAsia="zh-CN"/>
              </w:rPr>
              <w:t>.存在基准2.1.3规定情形的，系数按照相关规定确定（基准2.1.3.5不适用）。</w:t>
            </w:r>
          </w:p>
          <w:p w14:paraId="0472C9A0">
            <w:pPr>
              <w:spacing w:line="232" w:lineRule="exact"/>
              <w:ind w:firstLine="300" w:firstLineChars="200"/>
              <w:rPr>
                <w:rFonts w:hint="eastAsia" w:asciiTheme="majorEastAsia" w:hAnsiTheme="majorEastAsia" w:eastAsiaTheme="majorEastAsia" w:cstheme="majorEastAsia"/>
                <w:strike w:val="0"/>
                <w:dstrike w:val="0"/>
                <w:color w:val="auto"/>
                <w:sz w:val="15"/>
                <w:szCs w:val="15"/>
                <w:highlight w:val="none"/>
                <w:lang w:val="en-US" w:eastAsia="zh-CN"/>
              </w:rPr>
            </w:pPr>
          </w:p>
        </w:tc>
        <w:tc>
          <w:tcPr>
            <w:tcW w:w="1875" w:type="dxa"/>
            <w:gridSpan w:val="2"/>
            <w:tcBorders>
              <w:bottom w:val="single" w:color="auto" w:sz="4" w:space="0"/>
            </w:tcBorders>
            <w:shd w:val="clear" w:color="auto" w:fill="FFFFFF"/>
            <w:vAlign w:val="center"/>
          </w:tcPr>
          <w:p w14:paraId="2794ECC1">
            <w:pPr>
              <w:spacing w:line="232" w:lineRule="exact"/>
              <w:rPr>
                <w:rFonts w:hint="eastAsia" w:asciiTheme="majorEastAsia" w:hAnsiTheme="majorEastAsia" w:eastAsiaTheme="majorEastAsia" w:cstheme="majorEastAsia"/>
                <w:strike w:val="0"/>
                <w:dstrike w:val="0"/>
                <w:color w:val="auto"/>
                <w:sz w:val="15"/>
                <w:szCs w:val="15"/>
                <w:highlight w:val="none"/>
                <w:lang w:val="en-US" w:eastAsia="zh-CN"/>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情节系数</w:t>
            </w:r>
            <w:r>
              <w:rPr>
                <w:rFonts w:hint="eastAsia" w:asciiTheme="minorEastAsia" w:hAnsiTheme="minorEastAsia" w:eastAsiaTheme="minorEastAsia"/>
                <w:color w:val="auto"/>
                <w:sz w:val="15"/>
                <w:szCs w:val="15"/>
                <w:highlight w:val="none"/>
              </w:rPr>
              <w:t>）</w:t>
            </w:r>
          </w:p>
        </w:tc>
        <w:tc>
          <w:tcPr>
            <w:tcW w:w="1982" w:type="dxa"/>
            <w:gridSpan w:val="2"/>
            <w:tcBorders>
              <w:bottom w:val="single" w:color="auto" w:sz="4" w:space="0"/>
            </w:tcBorders>
            <w:shd w:val="clear" w:color="auto" w:fill="FFFFFF"/>
            <w:vAlign w:val="center"/>
          </w:tcPr>
          <w:p w14:paraId="02A4D24C">
            <w:pPr>
              <w:keepNext w:val="0"/>
              <w:keepLines w:val="0"/>
              <w:pageBreakBefore w:val="0"/>
              <w:kinsoku/>
              <w:wordWrap/>
              <w:overflowPunct/>
              <w:topLinePunct w:val="0"/>
              <w:autoSpaceDE w:val="0"/>
              <w:autoSpaceDN/>
              <w:bidi w:val="0"/>
              <w:adjustRightInd/>
              <w:snapToGrid/>
              <w:spacing w:line="0" w:lineRule="atLeast"/>
              <w:textAlignment w:val="auto"/>
              <w:rPr>
                <w:rFonts w:hint="eastAsia" w:asciiTheme="minorEastAsia" w:hAnsiTheme="minorEastAsia" w:eastAsiaTheme="minorEastAsia"/>
                <w:color w:val="auto"/>
                <w:sz w:val="15"/>
                <w:szCs w:val="15"/>
                <w:highlight w:val="none"/>
              </w:rPr>
            </w:pPr>
          </w:p>
        </w:tc>
      </w:tr>
      <w:tr w14:paraId="6AE87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jc w:val="center"/>
        </w:trPr>
        <w:tc>
          <w:tcPr>
            <w:tcW w:w="14203" w:type="dxa"/>
            <w:gridSpan w:val="13"/>
            <w:shd w:val="clear" w:color="auto" w:fill="auto"/>
            <w:vAlign w:val="center"/>
          </w:tcPr>
          <w:p w14:paraId="00915D6E">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b/>
                <w:strike w:val="0"/>
                <w:dstrike w:val="0"/>
                <w:color w:val="auto"/>
                <w:kern w:val="0"/>
                <w:sz w:val="21"/>
                <w:szCs w:val="21"/>
                <w:highlight w:val="none"/>
              </w:rPr>
            </w:pPr>
            <w:r>
              <w:rPr>
                <w:rFonts w:hint="eastAsia" w:asciiTheme="minorEastAsia" w:hAnsiTheme="minorEastAsia" w:eastAsiaTheme="minorEastAsia"/>
                <w:b/>
                <w:strike w:val="0"/>
                <w:dstrike w:val="0"/>
                <w:color w:val="auto"/>
                <w:kern w:val="0"/>
                <w:sz w:val="21"/>
                <w:szCs w:val="21"/>
                <w:highlight w:val="none"/>
              </w:rPr>
              <w:t>石油天然气管道保护类案由22项</w:t>
            </w:r>
          </w:p>
        </w:tc>
      </w:tr>
      <w:tr w14:paraId="23983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jc w:val="center"/>
        </w:trPr>
        <w:tc>
          <w:tcPr>
            <w:tcW w:w="14203" w:type="dxa"/>
            <w:gridSpan w:val="13"/>
            <w:shd w:val="clear" w:color="auto" w:fill="auto"/>
            <w:vAlign w:val="center"/>
          </w:tcPr>
          <w:p w14:paraId="64DC107E">
            <w:pPr>
              <w:keepNext w:val="0"/>
              <w:keepLines w:val="0"/>
              <w:pageBreakBefore w:val="0"/>
              <w:widowControl w:val="0"/>
              <w:kinsoku/>
              <w:wordWrap/>
              <w:overflowPunct/>
              <w:topLinePunct w:val="0"/>
              <w:autoSpaceDE/>
              <w:autoSpaceDN/>
              <w:bidi w:val="0"/>
              <w:adjustRightInd/>
              <w:snapToGrid/>
              <w:spacing w:line="240" w:lineRule="atLeast"/>
              <w:jc w:val="left"/>
              <w:textAlignment w:val="auto"/>
              <w:rPr>
                <w:rFonts w:asciiTheme="minorEastAsia" w:hAnsiTheme="minorEastAsia" w:eastAsiaTheme="minorEastAsia"/>
                <w:strike w:val="0"/>
                <w:dstrike w:val="0"/>
                <w:color w:val="auto"/>
                <w:sz w:val="21"/>
                <w:szCs w:val="21"/>
                <w:highlight w:val="none"/>
              </w:rPr>
            </w:pPr>
            <w:bookmarkStart w:id="186" w:name="_Toc110851497"/>
            <w:bookmarkStart w:id="187" w:name="_Toc1490732698"/>
            <w:r>
              <w:rPr>
                <w:rFonts w:hint="eastAsia" w:asciiTheme="minorEastAsia" w:hAnsiTheme="minorEastAsia" w:eastAsiaTheme="minorEastAsia"/>
                <w:strike w:val="0"/>
                <w:dstrike w:val="0"/>
                <w:color w:val="auto"/>
                <w:sz w:val="21"/>
                <w:szCs w:val="21"/>
                <w:highlight w:val="none"/>
              </w:rPr>
              <w:t>《中华人民共和国石油天然气管道保护法》</w:t>
            </w:r>
            <w:bookmarkEnd w:id="186"/>
            <w:bookmarkEnd w:id="187"/>
            <w:bookmarkStart w:id="188" w:name="_Toc63324556"/>
            <w:bookmarkStart w:id="189" w:name="_Toc110851498"/>
            <w:r>
              <w:rPr>
                <w:rFonts w:hint="eastAsia" w:asciiTheme="minorEastAsia" w:hAnsiTheme="minorEastAsia" w:eastAsiaTheme="minorEastAsia"/>
                <w:strike w:val="0"/>
                <w:dstrike w:val="0"/>
                <w:color w:val="auto"/>
                <w:sz w:val="21"/>
                <w:szCs w:val="21"/>
                <w:highlight w:val="none"/>
              </w:rPr>
              <w:t>案由22项</w:t>
            </w:r>
            <w:bookmarkEnd w:id="188"/>
            <w:bookmarkEnd w:id="189"/>
            <w:r>
              <w:rPr>
                <w:rFonts w:hint="eastAsia" w:asciiTheme="minorEastAsia" w:hAnsiTheme="minorEastAsia" w:eastAsiaTheme="minorEastAsia"/>
                <w:strike w:val="0"/>
                <w:dstrike w:val="0"/>
                <w:color w:val="auto"/>
                <w:sz w:val="21"/>
                <w:szCs w:val="21"/>
                <w:highlight w:val="none"/>
                <w:lang w:val="en-US" w:eastAsia="zh-CN"/>
              </w:rPr>
              <w:t xml:space="preserve">                                             </w:t>
            </w:r>
            <w:r>
              <w:rPr>
                <w:rFonts w:hint="eastAsia" w:asciiTheme="minorEastAsia" w:hAnsiTheme="minorEastAsia" w:eastAsiaTheme="minorEastAsia"/>
                <w:strike w:val="0"/>
                <w:dstrike w:val="0"/>
                <w:color w:val="auto"/>
                <w:sz w:val="21"/>
                <w:szCs w:val="21"/>
                <w:highlight w:val="none"/>
              </w:rPr>
              <w:t>（注：不含东城、西城</w:t>
            </w:r>
            <w:r>
              <w:rPr>
                <w:rFonts w:hint="eastAsia" w:asciiTheme="minorEastAsia" w:hAnsiTheme="minorEastAsia" w:eastAsiaTheme="minorEastAsia"/>
                <w:strike w:val="0"/>
                <w:dstrike w:val="0"/>
                <w:color w:val="auto"/>
                <w:sz w:val="21"/>
                <w:szCs w:val="21"/>
                <w:highlight w:val="none"/>
                <w:lang w:eastAsia="zh-CN"/>
              </w:rPr>
              <w:t>、朝阳</w:t>
            </w:r>
            <w:r>
              <w:rPr>
                <w:rFonts w:hint="eastAsia" w:asciiTheme="minorEastAsia" w:hAnsiTheme="minorEastAsia" w:eastAsiaTheme="minorEastAsia"/>
                <w:strike w:val="0"/>
                <w:dstrike w:val="0"/>
                <w:color w:val="auto"/>
                <w:sz w:val="21"/>
                <w:szCs w:val="21"/>
                <w:highlight w:val="none"/>
              </w:rPr>
              <w:t>、天安门</w:t>
            </w:r>
            <w:r>
              <w:rPr>
                <w:rFonts w:hint="eastAsia" w:asciiTheme="minorEastAsia" w:hAnsiTheme="minorEastAsia" w:eastAsiaTheme="minorEastAsia"/>
                <w:strike w:val="0"/>
                <w:dstrike w:val="0"/>
                <w:color w:val="auto"/>
                <w:sz w:val="21"/>
                <w:szCs w:val="21"/>
                <w:highlight w:val="none"/>
                <w:lang w:eastAsia="zh-CN"/>
              </w:rPr>
              <w:t>、重点站区</w:t>
            </w:r>
            <w:r>
              <w:rPr>
                <w:rFonts w:hint="eastAsia" w:asciiTheme="minorEastAsia" w:hAnsiTheme="minorEastAsia" w:eastAsiaTheme="minorEastAsia"/>
                <w:strike w:val="0"/>
                <w:dstrike w:val="0"/>
                <w:color w:val="auto"/>
                <w:sz w:val="21"/>
                <w:szCs w:val="21"/>
                <w:highlight w:val="none"/>
              </w:rPr>
              <w:t>）</w:t>
            </w:r>
          </w:p>
        </w:tc>
      </w:tr>
      <w:tr w14:paraId="395A7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891" w:hRule="atLeast"/>
          <w:jc w:val="center"/>
        </w:trPr>
        <w:tc>
          <w:tcPr>
            <w:tcW w:w="610" w:type="dxa"/>
            <w:shd w:val="clear" w:color="auto" w:fill="FFFFFF"/>
            <w:vAlign w:val="center"/>
          </w:tcPr>
          <w:p w14:paraId="6BD70CF3">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830" w:type="dxa"/>
            <w:gridSpan w:val="3"/>
            <w:shd w:val="clear" w:color="auto" w:fill="FFFFFF"/>
            <w:vAlign w:val="center"/>
          </w:tcPr>
          <w:p w14:paraId="67A0F79A">
            <w:pPr>
              <w:spacing w:line="232" w:lineRule="exact"/>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未依法对管道进行巡护、检测和维修</w:t>
            </w:r>
          </w:p>
        </w:tc>
        <w:tc>
          <w:tcPr>
            <w:tcW w:w="2789" w:type="dxa"/>
            <w:gridSpan w:val="2"/>
            <w:shd w:val="clear" w:color="auto" w:fill="auto"/>
            <w:vAlign w:val="center"/>
          </w:tcPr>
          <w:p w14:paraId="6B9626EE">
            <w:pPr>
              <w:spacing w:line="232" w:lineRule="exact"/>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vAlign w:val="center"/>
          </w:tcPr>
          <w:p w14:paraId="209ED36B">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20000</w:t>
            </w:r>
          </w:p>
        </w:tc>
        <w:tc>
          <w:tcPr>
            <w:tcW w:w="840" w:type="dxa"/>
            <w:shd w:val="clear" w:color="auto" w:fill="auto"/>
            <w:vAlign w:val="center"/>
          </w:tcPr>
          <w:p w14:paraId="63F7A396">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3426" w:type="dxa"/>
            <w:shd w:val="clear" w:color="auto" w:fill="auto"/>
            <w:vAlign w:val="center"/>
          </w:tcPr>
          <w:p w14:paraId="428F217D">
            <w:pPr>
              <w:spacing w:line="232" w:lineRule="exact"/>
              <w:rPr>
                <w:rFonts w:hint="eastAsia" w:cs="宋体" w:asciiTheme="minorEastAsia" w:hAnsiTheme="minorEastAsia" w:eastAsiaTheme="minorEastAsia"/>
                <w:strike w:val="0"/>
                <w:dstrike w:val="0"/>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1.未建立巡护制度的，系数2；2.未配备专人进行日常巡护的，系数2；3.未定期对管道风险比较大的区段和场所进行重点监测采取有效措施的，系数2；4.造成事故或者</w:t>
            </w:r>
            <w:r>
              <w:rPr>
                <w:rFonts w:hint="eastAsia" w:cs="宋体" w:asciiTheme="minorEastAsia" w:hAnsiTheme="minorEastAsia" w:eastAsiaTheme="minorEastAsia"/>
                <w:strike w:val="0"/>
                <w:dstrike w:val="0"/>
                <w:color w:val="auto"/>
                <w:kern w:val="0"/>
                <w:sz w:val="15"/>
                <w:szCs w:val="15"/>
                <w:highlight w:val="none"/>
                <w:lang w:eastAsia="zh-CN"/>
              </w:rPr>
              <w:t>其他</w:t>
            </w:r>
            <w:r>
              <w:rPr>
                <w:rFonts w:hint="eastAsia" w:cs="宋体" w:asciiTheme="minorEastAsia" w:hAnsiTheme="minorEastAsia" w:eastAsiaTheme="minorEastAsia"/>
                <w:strike w:val="0"/>
                <w:dstrike w:val="0"/>
                <w:color w:val="auto"/>
                <w:kern w:val="0"/>
                <w:sz w:val="15"/>
                <w:szCs w:val="15"/>
                <w:highlight w:val="none"/>
              </w:rPr>
              <w:t>严重后果的，系数4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strike w:val="0"/>
                <w:dstrike w:val="0"/>
                <w:color w:val="auto"/>
                <w:kern w:val="0"/>
                <w:sz w:val="15"/>
                <w:szCs w:val="15"/>
                <w:highlight w:val="none"/>
                <w:lang w:val="en-US" w:eastAsia="zh-CN"/>
              </w:rPr>
              <w:t>5.存在基准2.1.3规定情形的，系数按照相关规定确定（基准2.1.3.5不适用）。</w:t>
            </w:r>
          </w:p>
        </w:tc>
        <w:tc>
          <w:tcPr>
            <w:tcW w:w="1875" w:type="dxa"/>
            <w:gridSpan w:val="2"/>
            <w:shd w:val="clear" w:color="auto" w:fill="auto"/>
            <w:vAlign w:val="center"/>
          </w:tcPr>
          <w:p w14:paraId="5E528C01">
            <w:pPr>
              <w:spacing w:line="232" w:lineRule="exact"/>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罚款数额＝20000×（1＋</w:t>
            </w:r>
            <w:r>
              <w:rPr>
                <w:rFonts w:hint="eastAsia" w:cs="宋体" w:asciiTheme="minorEastAsia" w:hAnsiTheme="minorEastAsia" w:eastAsiaTheme="minorEastAsia"/>
                <w:strike w:val="0"/>
                <w:dstrike w:val="0"/>
                <w:color w:val="auto"/>
                <w:kern w:val="0"/>
                <w:sz w:val="15"/>
                <w:szCs w:val="15"/>
                <w:highlight w:val="none"/>
                <w:lang w:eastAsia="zh-CN"/>
              </w:rPr>
              <w:t>情节</w:t>
            </w:r>
            <w:r>
              <w:rPr>
                <w:rFonts w:hint="eastAsia" w:cs="宋体" w:asciiTheme="minorEastAsia" w:hAnsiTheme="minorEastAsia" w:eastAsiaTheme="minorEastAsia"/>
                <w:strike w:val="0"/>
                <w:dstrike w:val="0"/>
                <w:color w:val="auto"/>
                <w:kern w:val="0"/>
                <w:sz w:val="15"/>
                <w:szCs w:val="15"/>
                <w:highlight w:val="none"/>
              </w:rPr>
              <w:t>系数）</w:t>
            </w:r>
          </w:p>
        </w:tc>
        <w:tc>
          <w:tcPr>
            <w:tcW w:w="1982" w:type="dxa"/>
            <w:gridSpan w:val="2"/>
            <w:shd w:val="clear" w:color="auto" w:fill="auto"/>
            <w:vAlign w:val="center"/>
          </w:tcPr>
          <w:p w14:paraId="2238209D">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14:paraId="3D0B28A1">
            <w:pPr>
              <w:spacing w:line="232" w:lineRule="exact"/>
              <w:rPr>
                <w:rFonts w:cs="宋体" w:asciiTheme="minorEastAsia" w:hAnsiTheme="minorEastAsia" w:eastAsiaTheme="minorEastAsia"/>
                <w:strike w:val="0"/>
                <w:dstrike w:val="0"/>
                <w:color w:val="auto"/>
                <w:kern w:val="0"/>
                <w:sz w:val="15"/>
                <w:szCs w:val="15"/>
                <w:highlight w:val="none"/>
              </w:rPr>
            </w:pPr>
            <w:r>
              <w:rPr>
                <w:rFonts w:hint="eastAsia" w:asciiTheme="minorEastAsia" w:hAnsiTheme="minorEastAsia" w:eastAsiaTheme="minorEastAsia"/>
                <w:strike w:val="0"/>
                <w:dstrike w:val="0"/>
                <w:color w:val="auto"/>
                <w:sz w:val="15"/>
                <w:szCs w:val="15"/>
                <w:highlight w:val="none"/>
              </w:rPr>
              <w:t>需要作出</w:t>
            </w:r>
            <w:r>
              <w:rPr>
                <w:rFonts w:hint="eastAsia" w:asciiTheme="minorEastAsia" w:hAnsiTheme="minorEastAsia" w:eastAsiaTheme="minorEastAsia"/>
                <w:strike w:val="0"/>
                <w:dstrike w:val="0"/>
                <w:color w:val="auto"/>
                <w:sz w:val="15"/>
                <w:szCs w:val="15"/>
                <w:highlight w:val="none"/>
                <w:lang w:eastAsia="zh-CN"/>
              </w:rPr>
              <w:t>其他</w:t>
            </w:r>
            <w:r>
              <w:rPr>
                <w:rFonts w:hint="eastAsia" w:asciiTheme="minorEastAsia" w:hAnsiTheme="minorEastAsia" w:eastAsiaTheme="minorEastAsia"/>
                <w:strike w:val="0"/>
                <w:dstrike w:val="0"/>
                <w:color w:val="auto"/>
                <w:sz w:val="15"/>
                <w:szCs w:val="15"/>
                <w:highlight w:val="none"/>
              </w:rPr>
              <w:t>额度处罚的，报案审会讨论决定。</w:t>
            </w:r>
          </w:p>
        </w:tc>
      </w:tr>
      <w:tr w14:paraId="427EE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220" w:hRule="atLeast"/>
          <w:jc w:val="center"/>
        </w:trPr>
        <w:tc>
          <w:tcPr>
            <w:tcW w:w="610" w:type="dxa"/>
            <w:shd w:val="clear" w:color="auto" w:fill="FFFFFF"/>
            <w:vAlign w:val="center"/>
          </w:tcPr>
          <w:p w14:paraId="72B5DDC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830" w:type="dxa"/>
            <w:gridSpan w:val="3"/>
            <w:shd w:val="clear" w:color="auto" w:fill="FFFFFF"/>
            <w:vAlign w:val="center"/>
          </w:tcPr>
          <w:p w14:paraId="046A8671">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不符合安全使用条件的管道未及时更新、改造或者停止使用</w:t>
            </w:r>
          </w:p>
        </w:tc>
        <w:tc>
          <w:tcPr>
            <w:tcW w:w="2789" w:type="dxa"/>
            <w:gridSpan w:val="2"/>
            <w:shd w:val="clear" w:color="auto" w:fill="auto"/>
            <w:vAlign w:val="center"/>
          </w:tcPr>
          <w:p w14:paraId="53C70B4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vAlign w:val="center"/>
          </w:tcPr>
          <w:p w14:paraId="7FD301A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25CAC34F">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D92E804">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1.未采取任何措施继续使用，存在</w:t>
            </w:r>
            <w:r>
              <w:rPr>
                <w:rFonts w:hint="eastAsia" w:cs="宋体" w:asciiTheme="minorEastAsia" w:hAnsiTheme="minorEastAsia" w:eastAsiaTheme="minorEastAsia"/>
                <w:color w:val="auto"/>
                <w:kern w:val="0"/>
                <w:sz w:val="15"/>
                <w:szCs w:val="15"/>
                <w:highlight w:val="none"/>
                <w:lang w:eastAsia="zh-CN"/>
              </w:rPr>
              <w:t>安全隐患</w:t>
            </w:r>
            <w:r>
              <w:rPr>
                <w:rFonts w:hint="eastAsia" w:cs="宋体" w:asciiTheme="minorEastAsia" w:hAnsiTheme="minorEastAsia" w:eastAsiaTheme="minorEastAsia"/>
                <w:color w:val="auto"/>
                <w:kern w:val="0"/>
                <w:sz w:val="15"/>
                <w:szCs w:val="15"/>
                <w:highlight w:val="none"/>
              </w:rPr>
              <w:t>的，系数2-3；2.造成事故或者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0266ACC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07160C3">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14:paraId="2267D9BE">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14:paraId="35724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130" w:hRule="atLeast"/>
          <w:jc w:val="center"/>
        </w:trPr>
        <w:tc>
          <w:tcPr>
            <w:tcW w:w="610" w:type="dxa"/>
            <w:shd w:val="clear" w:color="auto" w:fill="FFFFFF"/>
            <w:vAlign w:val="center"/>
          </w:tcPr>
          <w:p w14:paraId="2D5ADC6D">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830" w:type="dxa"/>
            <w:gridSpan w:val="3"/>
            <w:shd w:val="clear" w:color="auto" w:fill="FFFFFF"/>
            <w:vAlign w:val="center"/>
          </w:tcPr>
          <w:p w14:paraId="51E70A3C">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未按规定设置、修复或者更新管道标志</w:t>
            </w:r>
          </w:p>
        </w:tc>
        <w:tc>
          <w:tcPr>
            <w:tcW w:w="2789" w:type="dxa"/>
            <w:gridSpan w:val="2"/>
            <w:shd w:val="clear" w:color="auto" w:fill="auto"/>
            <w:vAlign w:val="center"/>
          </w:tcPr>
          <w:p w14:paraId="0DFFDDA7">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vAlign w:val="center"/>
          </w:tcPr>
          <w:p w14:paraId="6A6C7BD4">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8BD5529">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64ACC7D">
            <w:pPr>
              <w:spacing w:line="240" w:lineRule="exact"/>
              <w:rPr>
                <w:rFonts w:hint="eastAsia" w:cs="宋体" w:asciiTheme="minorEastAsia" w:hAnsiTheme="minorEastAsia" w:eastAsiaTheme="minorEastAsia"/>
                <w:color w:val="auto"/>
                <w:spacing w:val="-3"/>
                <w:kern w:val="0"/>
                <w:sz w:val="15"/>
                <w:szCs w:val="15"/>
                <w:highlight w:val="none"/>
                <w:lang w:eastAsia="zh-CN"/>
              </w:rPr>
            </w:pPr>
            <w:r>
              <w:rPr>
                <w:rFonts w:hint="eastAsia" w:cs="宋体" w:asciiTheme="minorEastAsia" w:hAnsiTheme="minorEastAsia" w:eastAsiaTheme="minorEastAsia"/>
                <w:color w:val="auto"/>
                <w:spacing w:val="-3"/>
                <w:kern w:val="0"/>
                <w:sz w:val="15"/>
                <w:szCs w:val="15"/>
                <w:highlight w:val="none"/>
              </w:rPr>
              <w:t>1.未依法设置或者未修复更新，</w:t>
            </w:r>
            <w:r>
              <w:rPr>
                <w:rFonts w:hint="eastAsia" w:cs="宋体" w:asciiTheme="minorEastAsia" w:hAnsiTheme="minorEastAsia" w:eastAsiaTheme="minorEastAsia"/>
                <w:color w:val="auto"/>
                <w:kern w:val="0"/>
                <w:sz w:val="15"/>
                <w:szCs w:val="15"/>
                <w:highlight w:val="none"/>
              </w:rPr>
              <w:t>存在</w:t>
            </w:r>
            <w:r>
              <w:rPr>
                <w:rFonts w:hint="eastAsia" w:cs="宋体" w:asciiTheme="minorEastAsia" w:hAnsiTheme="minorEastAsia" w:eastAsiaTheme="minorEastAsia"/>
                <w:color w:val="auto"/>
                <w:kern w:val="0"/>
                <w:sz w:val="15"/>
                <w:szCs w:val="15"/>
                <w:highlight w:val="none"/>
                <w:lang w:eastAsia="zh-CN"/>
              </w:rPr>
              <w:t>安全隐患</w:t>
            </w:r>
            <w:r>
              <w:rPr>
                <w:rFonts w:hint="eastAsia"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spacing w:val="-3"/>
                <w:kern w:val="0"/>
                <w:sz w:val="15"/>
                <w:szCs w:val="15"/>
                <w:highlight w:val="none"/>
              </w:rPr>
              <w:t>，系数1-3；2.造成事故或者</w:t>
            </w:r>
            <w:r>
              <w:rPr>
                <w:rFonts w:hint="eastAsia" w:cs="宋体" w:asciiTheme="minorEastAsia" w:hAnsiTheme="minorEastAsia" w:eastAsiaTheme="minorEastAsia"/>
                <w:color w:val="auto"/>
                <w:spacing w:val="-3"/>
                <w:kern w:val="0"/>
                <w:sz w:val="15"/>
                <w:szCs w:val="15"/>
                <w:highlight w:val="none"/>
                <w:lang w:eastAsia="zh-CN"/>
              </w:rPr>
              <w:t>其他</w:t>
            </w:r>
            <w:r>
              <w:rPr>
                <w:rFonts w:hint="eastAsia" w:cs="宋体" w:asciiTheme="minorEastAsia" w:hAnsiTheme="minorEastAsia" w:eastAsiaTheme="minorEastAsia"/>
                <w:color w:val="auto"/>
                <w:spacing w:val="-3"/>
                <w:kern w:val="0"/>
                <w:sz w:val="15"/>
                <w:szCs w:val="15"/>
                <w:highlight w:val="none"/>
              </w:rPr>
              <w:t>严重后果的，系数4</w:t>
            </w:r>
            <w:r>
              <w:rPr>
                <w:rFonts w:hint="eastAsia" w:cs="宋体" w:asciiTheme="minorEastAsia" w:hAnsiTheme="minorEastAsia" w:eastAsiaTheme="minorEastAsia"/>
                <w:color w:val="auto"/>
                <w:spacing w:val="-3"/>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62769044">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FAF6217">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14:paraId="21AC541D">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14:paraId="509D2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355" w:hRule="atLeast"/>
          <w:jc w:val="center"/>
        </w:trPr>
        <w:tc>
          <w:tcPr>
            <w:tcW w:w="610" w:type="dxa"/>
            <w:shd w:val="clear" w:color="auto" w:fill="FFFFFF"/>
            <w:vAlign w:val="center"/>
          </w:tcPr>
          <w:p w14:paraId="4DBD1160">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830" w:type="dxa"/>
            <w:gridSpan w:val="3"/>
            <w:shd w:val="clear" w:color="auto" w:fill="FFFFFF"/>
            <w:vAlign w:val="center"/>
          </w:tcPr>
          <w:p w14:paraId="5E280445">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未按规定将管道竣工测量图报送备案</w:t>
            </w:r>
          </w:p>
        </w:tc>
        <w:tc>
          <w:tcPr>
            <w:tcW w:w="2789" w:type="dxa"/>
            <w:gridSpan w:val="2"/>
            <w:shd w:val="clear" w:color="auto" w:fill="auto"/>
            <w:vAlign w:val="center"/>
          </w:tcPr>
          <w:p w14:paraId="6037532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vAlign w:val="center"/>
          </w:tcPr>
          <w:p w14:paraId="41D08451">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29566758">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5BEB1ED">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1.未报送备案，逾期6-10日，系数1，逾期11-15日，系数2</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逾期</w:t>
            </w:r>
            <w:r>
              <w:rPr>
                <w:rFonts w:hint="eastAsia" w:cs="宋体" w:asciiTheme="minorEastAsia" w:hAnsiTheme="minorEastAsia" w:eastAsiaTheme="minorEastAsia"/>
                <w:color w:val="auto"/>
                <w:kern w:val="0"/>
                <w:sz w:val="15"/>
                <w:szCs w:val="15"/>
                <w:highlight w:val="none"/>
                <w:lang w:val="en-US" w:eastAsia="zh-CN"/>
              </w:rPr>
              <w:t>16-20</w:t>
            </w:r>
            <w:r>
              <w:rPr>
                <w:rFonts w:hint="eastAsia" w:cs="宋体" w:asciiTheme="minorEastAsia" w:hAnsiTheme="minorEastAsia" w:eastAsiaTheme="minorEastAsia"/>
                <w:color w:val="auto"/>
                <w:kern w:val="0"/>
                <w:sz w:val="15"/>
                <w:szCs w:val="15"/>
                <w:highlight w:val="none"/>
              </w:rPr>
              <w:t>日，系数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逾期</w:t>
            </w:r>
            <w:r>
              <w:rPr>
                <w:rFonts w:hint="eastAsia" w:cs="宋体" w:asciiTheme="minorEastAsia" w:hAnsiTheme="minorEastAsia" w:eastAsiaTheme="minorEastAsia"/>
                <w:color w:val="auto"/>
                <w:kern w:val="0"/>
                <w:sz w:val="15"/>
                <w:szCs w:val="15"/>
                <w:highlight w:val="none"/>
                <w:lang w:val="en-US" w:eastAsia="zh-CN"/>
              </w:rPr>
              <w:t>21日及以上的</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6A385043">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199B5053">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14:paraId="2A66621A">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14:paraId="24E68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90" w:hRule="atLeast"/>
          <w:jc w:val="center"/>
        </w:trPr>
        <w:tc>
          <w:tcPr>
            <w:tcW w:w="610" w:type="dxa"/>
            <w:shd w:val="clear" w:color="auto" w:fill="FFFFFF"/>
            <w:vAlign w:val="center"/>
          </w:tcPr>
          <w:p w14:paraId="0B31C796">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830" w:type="dxa"/>
            <w:gridSpan w:val="3"/>
            <w:shd w:val="clear" w:color="auto" w:fill="FFFFFF"/>
            <w:vAlign w:val="center"/>
          </w:tcPr>
          <w:p w14:paraId="357E20B6">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未制定管道事故应急预案或者未将应急预案报送备案</w:t>
            </w:r>
          </w:p>
        </w:tc>
        <w:tc>
          <w:tcPr>
            <w:tcW w:w="2789" w:type="dxa"/>
            <w:gridSpan w:val="2"/>
            <w:shd w:val="clear" w:color="auto" w:fill="auto"/>
            <w:vAlign w:val="center"/>
          </w:tcPr>
          <w:p w14:paraId="73E1EE0A">
            <w:pPr>
              <w:spacing w:line="24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vAlign w:val="center"/>
          </w:tcPr>
          <w:p w14:paraId="371A682C">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2931EF2D">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AFE51E3">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1.未制定预案的，系数2；2.造成事故或者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47612BAE">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C754632">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14:paraId="3C796AD4">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14:paraId="3F307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55" w:hRule="atLeast"/>
          <w:jc w:val="center"/>
        </w:trPr>
        <w:tc>
          <w:tcPr>
            <w:tcW w:w="610" w:type="dxa"/>
            <w:shd w:val="clear" w:color="auto" w:fill="FFFFFF"/>
            <w:vAlign w:val="center"/>
          </w:tcPr>
          <w:p w14:paraId="08DEA8B7">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830" w:type="dxa"/>
            <w:gridSpan w:val="3"/>
            <w:shd w:val="clear" w:color="auto" w:fill="FFFFFF"/>
            <w:vAlign w:val="center"/>
          </w:tcPr>
          <w:p w14:paraId="32BD6CFB">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未采取有效措施消除或者减轻管道事故危害</w:t>
            </w:r>
          </w:p>
        </w:tc>
        <w:tc>
          <w:tcPr>
            <w:tcW w:w="2789" w:type="dxa"/>
            <w:gridSpan w:val="2"/>
            <w:shd w:val="clear" w:color="auto" w:fill="auto"/>
            <w:vAlign w:val="center"/>
          </w:tcPr>
          <w:p w14:paraId="6C8319C2">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vAlign w:val="center"/>
          </w:tcPr>
          <w:p w14:paraId="75A441EF">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7B667B8F">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C09020D">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1.启动应急预案迟缓的，系数2；2.措施明显失当的，</w:t>
            </w:r>
            <w:r>
              <w:rPr>
                <w:rFonts w:hint="eastAsia" w:cs="宋体" w:asciiTheme="minorEastAsia" w:hAnsiTheme="minorEastAsia" w:eastAsiaTheme="minorEastAsia"/>
                <w:color w:val="auto"/>
                <w:kern w:val="0"/>
                <w:sz w:val="15"/>
                <w:szCs w:val="15"/>
                <w:highlight w:val="none"/>
                <w:lang w:val="en-US" w:eastAsia="zh-CN"/>
              </w:rPr>
              <w:t>系数3</w:t>
            </w:r>
            <w:r>
              <w:rPr>
                <w:rFonts w:hint="eastAsia" w:cs="宋体" w:asciiTheme="minorEastAsia" w:hAnsiTheme="minorEastAsia" w:eastAsiaTheme="minorEastAsia"/>
                <w:color w:val="auto"/>
                <w:kern w:val="0"/>
                <w:sz w:val="15"/>
                <w:szCs w:val="15"/>
                <w:highlight w:val="none"/>
              </w:rPr>
              <w:t>；3.造成事故危害扩大的，系数4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4.存在基准2.1.3规定情形的，系数按照相关规定确定（基准2.1.3.5不适用）。</w:t>
            </w:r>
          </w:p>
        </w:tc>
        <w:tc>
          <w:tcPr>
            <w:tcW w:w="1875" w:type="dxa"/>
            <w:gridSpan w:val="2"/>
            <w:shd w:val="clear" w:color="auto" w:fill="auto"/>
            <w:vAlign w:val="center"/>
          </w:tcPr>
          <w:p w14:paraId="6B334BA5">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14A2C45">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14:paraId="2C9A9271">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14:paraId="482CF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970" w:hRule="atLeast"/>
          <w:jc w:val="center"/>
        </w:trPr>
        <w:tc>
          <w:tcPr>
            <w:tcW w:w="610" w:type="dxa"/>
            <w:shd w:val="clear" w:color="auto" w:fill="FFFFFF"/>
            <w:vAlign w:val="center"/>
          </w:tcPr>
          <w:p w14:paraId="7CE213C2">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830" w:type="dxa"/>
            <w:gridSpan w:val="3"/>
            <w:shd w:val="clear" w:color="auto" w:fill="FFFFFF"/>
            <w:vAlign w:val="center"/>
          </w:tcPr>
          <w:p w14:paraId="7BDD3CAF">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未对停止运行、封存、报废的管道采取必要的安全防护措施</w:t>
            </w:r>
          </w:p>
        </w:tc>
        <w:tc>
          <w:tcPr>
            <w:tcW w:w="2789" w:type="dxa"/>
            <w:gridSpan w:val="2"/>
            <w:shd w:val="clear" w:color="auto" w:fill="auto"/>
            <w:vAlign w:val="center"/>
          </w:tcPr>
          <w:p w14:paraId="78D9B3AC">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vAlign w:val="center"/>
          </w:tcPr>
          <w:p w14:paraId="09262DCC">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14:paraId="5E0F5875">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013E805">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1.未采取任何安全防护措施的，系数2；2.致使事故或者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严重后果的，系数4</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10D39F1C">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A1B84AD">
            <w:pPr>
              <w:autoSpaceDE w:val="0"/>
              <w:spacing w:line="232"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逾期不改正的情形，不</w:t>
            </w:r>
            <w:r>
              <w:rPr>
                <w:rFonts w:hint="eastAsia" w:asciiTheme="minorEastAsia" w:hAnsiTheme="minorEastAsia" w:eastAsiaTheme="minorEastAsia"/>
                <w:strike w:val="0"/>
                <w:dstrike w:val="0"/>
                <w:color w:val="auto"/>
                <w:sz w:val="15"/>
                <w:szCs w:val="15"/>
                <w:highlight w:val="none"/>
                <w:lang w:eastAsia="zh-CN"/>
              </w:rPr>
              <w:t>计入情节系数</w:t>
            </w:r>
            <w:r>
              <w:rPr>
                <w:rFonts w:hint="eastAsia" w:asciiTheme="minorEastAsia" w:hAnsiTheme="minorEastAsia" w:eastAsiaTheme="minorEastAsia"/>
                <w:strike w:val="0"/>
                <w:dstrike w:val="0"/>
                <w:color w:val="auto"/>
                <w:sz w:val="15"/>
                <w:szCs w:val="15"/>
                <w:highlight w:val="none"/>
              </w:rPr>
              <w:t>。</w:t>
            </w:r>
          </w:p>
          <w:p w14:paraId="68C570E9">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额度处罚的，报案审会讨论决定。</w:t>
            </w:r>
          </w:p>
        </w:tc>
      </w:tr>
      <w:tr w14:paraId="221CB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177" w:hRule="atLeast"/>
          <w:jc w:val="center"/>
        </w:trPr>
        <w:tc>
          <w:tcPr>
            <w:tcW w:w="610" w:type="dxa"/>
            <w:vMerge w:val="restart"/>
            <w:shd w:val="clear" w:color="auto" w:fill="FFFFFF"/>
            <w:vAlign w:val="center"/>
          </w:tcPr>
          <w:p w14:paraId="6F2E406C">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830" w:type="dxa"/>
            <w:gridSpan w:val="3"/>
            <w:vMerge w:val="restart"/>
            <w:shd w:val="clear" w:color="auto" w:fill="auto"/>
            <w:vAlign w:val="center"/>
          </w:tcPr>
          <w:p w14:paraId="689E6379">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789" w:type="dxa"/>
            <w:gridSpan w:val="2"/>
            <w:vMerge w:val="restart"/>
            <w:shd w:val="clear" w:color="auto" w:fill="auto"/>
            <w:vAlign w:val="center"/>
          </w:tcPr>
          <w:p w14:paraId="4CDEA295">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080069E6">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14:paraId="5E77172B">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14:paraId="4DCC4392">
            <w:pPr>
              <w:autoSpaceDE w:val="0"/>
              <w:spacing w:line="190" w:lineRule="exact"/>
              <w:ind w:left="15"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14:paraId="4AC534D3">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3B0C11FA">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14:paraId="4C800891">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73873C02">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5BD97579">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p w14:paraId="24680B03">
            <w:pPr>
              <w:autoSpaceDE w:val="0"/>
              <w:spacing w:line="190" w:lineRule="exact"/>
              <w:rPr>
                <w:rFonts w:cs="宋体" w:asciiTheme="minorEastAsia" w:hAnsiTheme="minorEastAsia" w:eastAsiaTheme="minorEastAsia"/>
                <w:color w:val="auto"/>
                <w:kern w:val="0"/>
                <w:sz w:val="15"/>
                <w:szCs w:val="15"/>
                <w:highlight w:val="none"/>
              </w:rPr>
            </w:pPr>
          </w:p>
        </w:tc>
      </w:tr>
      <w:tr w14:paraId="3F4D5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209" w:hRule="atLeast"/>
          <w:jc w:val="center"/>
        </w:trPr>
        <w:tc>
          <w:tcPr>
            <w:tcW w:w="610" w:type="dxa"/>
            <w:vMerge w:val="continue"/>
            <w:shd w:val="clear" w:color="auto" w:fill="FFFFFF"/>
            <w:vAlign w:val="center"/>
          </w:tcPr>
          <w:p w14:paraId="67B07B04">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3FB7716C">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1923C5E2">
            <w:pPr>
              <w:pStyle w:val="20"/>
              <w:widowControl w:val="0"/>
              <w:shd w:val="clear" w:color="auto" w:fill="FFFFFF"/>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2B91C98B">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14:paraId="3C80F59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14:paraId="0AF4E588">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14:paraId="59BC5219">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52564942">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14:paraId="5FF31BDB">
            <w:pPr>
              <w:spacing w:line="232" w:lineRule="exact"/>
              <w:rPr>
                <w:rFonts w:cs="宋体" w:asciiTheme="minorEastAsia" w:hAnsiTheme="minorEastAsia" w:eastAsiaTheme="minorEastAsia"/>
                <w:color w:val="auto"/>
                <w:kern w:val="0"/>
                <w:sz w:val="15"/>
                <w:szCs w:val="15"/>
                <w:highlight w:val="none"/>
              </w:rPr>
            </w:pPr>
          </w:p>
        </w:tc>
      </w:tr>
      <w:tr w14:paraId="244B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911" w:hRule="atLeast"/>
          <w:jc w:val="center"/>
        </w:trPr>
        <w:tc>
          <w:tcPr>
            <w:tcW w:w="610" w:type="dxa"/>
            <w:vMerge w:val="restart"/>
            <w:shd w:val="clear" w:color="auto" w:fill="FFFFFF"/>
            <w:vAlign w:val="center"/>
          </w:tcPr>
          <w:p w14:paraId="772789FB">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830" w:type="dxa"/>
            <w:gridSpan w:val="3"/>
            <w:vMerge w:val="restart"/>
            <w:shd w:val="clear" w:color="auto" w:fill="auto"/>
            <w:vAlign w:val="center"/>
          </w:tcPr>
          <w:p w14:paraId="18D1F258">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在管道线路中心线两侧各五米地域范围内种植可能损坏管道防腐层的深根植物</w:t>
            </w:r>
          </w:p>
        </w:tc>
        <w:tc>
          <w:tcPr>
            <w:tcW w:w="2789" w:type="dxa"/>
            <w:gridSpan w:val="2"/>
            <w:vMerge w:val="restart"/>
            <w:shd w:val="clear" w:color="auto" w:fill="auto"/>
            <w:vAlign w:val="center"/>
          </w:tcPr>
          <w:p w14:paraId="1D526D18">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42DA80F7">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14:paraId="47A1B183">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14:paraId="143E2770">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14:paraId="57134060">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4FF6D495">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14:paraId="4BB50FEA">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208350C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0C2FEE3A">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14:paraId="73E38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739" w:hRule="atLeast"/>
          <w:jc w:val="center"/>
        </w:trPr>
        <w:tc>
          <w:tcPr>
            <w:tcW w:w="610" w:type="dxa"/>
            <w:vMerge w:val="continue"/>
            <w:shd w:val="clear" w:color="auto" w:fill="FFFFFF"/>
            <w:vAlign w:val="center"/>
          </w:tcPr>
          <w:p w14:paraId="2CD1E262">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6352CA7A">
            <w:pPr>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0E6913CA">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19CED686">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14:paraId="401E6DBA">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14:paraId="7C87D1CA">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14:paraId="4B837A7B">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56BEE2EB">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14:paraId="11B910CB">
            <w:pPr>
              <w:spacing w:line="232" w:lineRule="exact"/>
              <w:rPr>
                <w:rFonts w:asciiTheme="minorEastAsia" w:hAnsiTheme="minorEastAsia" w:eastAsiaTheme="minorEastAsia"/>
                <w:color w:val="auto"/>
                <w:sz w:val="15"/>
                <w:szCs w:val="15"/>
                <w:highlight w:val="none"/>
              </w:rPr>
            </w:pPr>
          </w:p>
        </w:tc>
      </w:tr>
      <w:tr w14:paraId="46E3A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739" w:hRule="atLeast"/>
          <w:jc w:val="center"/>
        </w:trPr>
        <w:tc>
          <w:tcPr>
            <w:tcW w:w="610" w:type="dxa"/>
            <w:vMerge w:val="restart"/>
            <w:shd w:val="clear" w:color="auto" w:fill="FFFFFF"/>
            <w:vAlign w:val="center"/>
          </w:tcPr>
          <w:p w14:paraId="65942700">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830" w:type="dxa"/>
            <w:gridSpan w:val="3"/>
            <w:vMerge w:val="restart"/>
            <w:shd w:val="clear" w:color="auto" w:fill="auto"/>
            <w:vAlign w:val="center"/>
          </w:tcPr>
          <w:p w14:paraId="147F6DEA">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在管道线路中心线两侧各五米地域范围内取土、采石、用火、堆放重物、排放腐蚀性物质、使用机械工具进行挖掘施工</w:t>
            </w:r>
          </w:p>
        </w:tc>
        <w:tc>
          <w:tcPr>
            <w:tcW w:w="2789" w:type="dxa"/>
            <w:gridSpan w:val="2"/>
            <w:vMerge w:val="restart"/>
            <w:shd w:val="clear" w:color="auto" w:fill="auto"/>
            <w:vAlign w:val="center"/>
          </w:tcPr>
          <w:p w14:paraId="4F12D336">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03BB0A2C">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14:paraId="081541AB">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14:paraId="5A3E6E62">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14:paraId="5B6132E6">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217D30FB">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14:paraId="6629E6A1">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2FB77F5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16B61CFB">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14:paraId="79C80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10" w:hRule="atLeast"/>
          <w:jc w:val="center"/>
        </w:trPr>
        <w:tc>
          <w:tcPr>
            <w:tcW w:w="610" w:type="dxa"/>
            <w:vMerge w:val="continue"/>
            <w:shd w:val="clear" w:color="auto" w:fill="FFFFFF"/>
            <w:vAlign w:val="center"/>
          </w:tcPr>
          <w:p w14:paraId="59D0E4D6">
            <w:pPr>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2A3C2BB4">
            <w:pPr>
              <w:spacing w:line="232" w:lineRule="exact"/>
              <w:rPr>
                <w:rFonts w:asciiTheme="minorEastAsia" w:hAnsiTheme="minorEastAsia" w:eastAsiaTheme="minorEastAsia"/>
                <w:color w:val="auto"/>
                <w:sz w:val="15"/>
                <w:szCs w:val="15"/>
                <w:highlight w:val="none"/>
              </w:rPr>
            </w:pPr>
          </w:p>
        </w:tc>
        <w:tc>
          <w:tcPr>
            <w:tcW w:w="2789" w:type="dxa"/>
            <w:gridSpan w:val="2"/>
            <w:vMerge w:val="continue"/>
            <w:shd w:val="clear" w:color="auto" w:fill="auto"/>
            <w:vAlign w:val="center"/>
          </w:tcPr>
          <w:p w14:paraId="3280E74D">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2D4C60B9">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14:paraId="5108E334">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14:paraId="17B713E8">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14:paraId="0DE13FC9">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550CCFA4">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14:paraId="0F102308">
            <w:pPr>
              <w:spacing w:line="232" w:lineRule="exact"/>
              <w:rPr>
                <w:rFonts w:asciiTheme="minorEastAsia" w:hAnsiTheme="minorEastAsia" w:eastAsiaTheme="minorEastAsia"/>
                <w:color w:val="auto"/>
                <w:sz w:val="15"/>
                <w:szCs w:val="15"/>
                <w:highlight w:val="none"/>
              </w:rPr>
            </w:pPr>
          </w:p>
        </w:tc>
      </w:tr>
      <w:tr w14:paraId="40E24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798" w:hRule="atLeast"/>
          <w:jc w:val="center"/>
        </w:trPr>
        <w:tc>
          <w:tcPr>
            <w:tcW w:w="610" w:type="dxa"/>
            <w:vMerge w:val="restart"/>
            <w:shd w:val="clear" w:color="auto" w:fill="FFFFFF"/>
            <w:vAlign w:val="center"/>
          </w:tcPr>
          <w:p w14:paraId="63AA7FBD">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830" w:type="dxa"/>
            <w:gridSpan w:val="3"/>
            <w:vMerge w:val="restart"/>
            <w:shd w:val="clear" w:color="auto" w:fill="auto"/>
            <w:vAlign w:val="center"/>
          </w:tcPr>
          <w:p w14:paraId="06A038DC">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在管道线路中心线两侧各五米地域范围内挖塘、修渠、修晒场、修建水产养殖场、建温室、建家畜棚圈、建房以及修建</w:t>
            </w:r>
            <w:r>
              <w:rPr>
                <w:rFonts w:hint="eastAsia" w:asciiTheme="minorEastAsia" w:hAnsiTheme="minorEastAsia" w:eastAsiaTheme="minorEastAsia"/>
                <w:color w:val="auto"/>
                <w:sz w:val="15"/>
                <w:szCs w:val="15"/>
                <w:highlight w:val="none"/>
                <w:lang w:eastAsia="zh-CN"/>
              </w:rPr>
              <w:t>其他</w:t>
            </w:r>
            <w:r>
              <w:rPr>
                <w:rFonts w:hint="eastAsia" w:asciiTheme="minorEastAsia" w:hAnsiTheme="minorEastAsia" w:eastAsiaTheme="minorEastAsia"/>
                <w:color w:val="auto"/>
                <w:sz w:val="15"/>
                <w:szCs w:val="15"/>
                <w:highlight w:val="none"/>
              </w:rPr>
              <w:t>建筑物、构筑物</w:t>
            </w:r>
          </w:p>
        </w:tc>
        <w:tc>
          <w:tcPr>
            <w:tcW w:w="2789" w:type="dxa"/>
            <w:gridSpan w:val="2"/>
            <w:vMerge w:val="restart"/>
            <w:shd w:val="clear" w:color="auto" w:fill="auto"/>
            <w:vAlign w:val="center"/>
          </w:tcPr>
          <w:p w14:paraId="55B7F4F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5E3F8A4A">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14:paraId="04D0FD87">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14:paraId="1B80538B">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14:paraId="3B12A147">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759EE8D8">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14:paraId="76E63156">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21F02C5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507A0E40">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14:paraId="2DE2F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780" w:hRule="atLeast"/>
          <w:jc w:val="center"/>
        </w:trPr>
        <w:tc>
          <w:tcPr>
            <w:tcW w:w="610" w:type="dxa"/>
            <w:vMerge w:val="continue"/>
            <w:shd w:val="clear" w:color="auto" w:fill="FFFFFF"/>
            <w:vAlign w:val="center"/>
          </w:tcPr>
          <w:p w14:paraId="3E532C4E">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5F3A6525">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6D0C255F">
            <w:pPr>
              <w:pStyle w:val="20"/>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7A48CF46">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14:paraId="4F9A8701">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14:paraId="632F7D2D">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14:paraId="61B19EB4">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3FB33A09">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14:paraId="50D608A4">
            <w:pPr>
              <w:autoSpaceDE w:val="0"/>
              <w:spacing w:line="232" w:lineRule="exact"/>
              <w:rPr>
                <w:rFonts w:cs="宋体" w:asciiTheme="minorEastAsia" w:hAnsiTheme="minorEastAsia" w:eastAsiaTheme="minorEastAsia"/>
                <w:color w:val="auto"/>
                <w:kern w:val="0"/>
                <w:sz w:val="15"/>
                <w:szCs w:val="15"/>
                <w:highlight w:val="none"/>
              </w:rPr>
            </w:pPr>
          </w:p>
        </w:tc>
      </w:tr>
      <w:tr w14:paraId="727A8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967" w:hRule="atLeast"/>
          <w:jc w:val="center"/>
        </w:trPr>
        <w:tc>
          <w:tcPr>
            <w:tcW w:w="610" w:type="dxa"/>
            <w:vMerge w:val="restart"/>
            <w:shd w:val="clear" w:color="auto" w:fill="FFFFFF"/>
            <w:vAlign w:val="center"/>
          </w:tcPr>
          <w:p w14:paraId="00E95495">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830" w:type="dxa"/>
            <w:gridSpan w:val="3"/>
            <w:vMerge w:val="restart"/>
            <w:shd w:val="clear" w:color="auto" w:fill="FFFFFF"/>
            <w:vAlign w:val="center"/>
          </w:tcPr>
          <w:p w14:paraId="762A280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在穿越河流的管道线路中心线两侧各五百米地域范围内抛锚、拖锚、挖砂、挖泥、采石、水下爆破</w:t>
            </w:r>
          </w:p>
        </w:tc>
        <w:tc>
          <w:tcPr>
            <w:tcW w:w="2789" w:type="dxa"/>
            <w:gridSpan w:val="2"/>
            <w:vMerge w:val="restart"/>
            <w:shd w:val="clear" w:color="auto" w:fill="auto"/>
            <w:vAlign w:val="center"/>
          </w:tcPr>
          <w:p w14:paraId="484BE52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0210F17B">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14:paraId="4B179C51">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14:paraId="46931901">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14:paraId="4B57701C">
            <w:pPr>
              <w:spacing w:line="190" w:lineRule="exact"/>
              <w:rPr>
                <w:rFonts w:cs="宋体" w:asciiTheme="minorEastAsia" w:hAnsiTheme="minorEastAsia" w:eastAsiaTheme="minorEastAsia"/>
                <w:color w:val="auto"/>
                <w:kern w:val="0"/>
                <w:sz w:val="15"/>
                <w:szCs w:val="15"/>
                <w:highlight w:val="none"/>
                <w:lang w:val="en-US" w:eastAsia="zh-CN" w:bidi="ar-SA"/>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582EC008">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14:paraId="093CE449">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5491A3D0">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7F7890DB">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14:paraId="51675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752" w:hRule="atLeast"/>
          <w:jc w:val="center"/>
        </w:trPr>
        <w:tc>
          <w:tcPr>
            <w:tcW w:w="610" w:type="dxa"/>
            <w:vMerge w:val="continue"/>
            <w:shd w:val="clear" w:color="auto" w:fill="FFFFFF"/>
            <w:vAlign w:val="center"/>
          </w:tcPr>
          <w:p w14:paraId="00B9C560">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FFFFFF"/>
            <w:vAlign w:val="center"/>
          </w:tcPr>
          <w:p w14:paraId="448DCF4C">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61794A1F">
            <w:pPr>
              <w:pStyle w:val="20"/>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14:paraId="7130410E">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14:paraId="1D9031ED">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14:paraId="751B8A4E">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14:paraId="07E18693">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041A1208">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14:paraId="7827AF1F">
            <w:pPr>
              <w:autoSpaceDE w:val="0"/>
              <w:spacing w:line="232" w:lineRule="exact"/>
              <w:rPr>
                <w:rFonts w:cs="宋体" w:asciiTheme="minorEastAsia" w:hAnsiTheme="minorEastAsia" w:eastAsiaTheme="minorEastAsia"/>
                <w:color w:val="auto"/>
                <w:kern w:val="0"/>
                <w:sz w:val="15"/>
                <w:szCs w:val="15"/>
                <w:highlight w:val="none"/>
              </w:rPr>
            </w:pPr>
          </w:p>
        </w:tc>
      </w:tr>
      <w:tr w14:paraId="559F1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13" w:hRule="atLeast"/>
          <w:jc w:val="center"/>
        </w:trPr>
        <w:tc>
          <w:tcPr>
            <w:tcW w:w="610" w:type="dxa"/>
            <w:vMerge w:val="restart"/>
            <w:shd w:val="clear" w:color="auto" w:fill="FFFFFF"/>
            <w:vAlign w:val="center"/>
          </w:tcPr>
          <w:p w14:paraId="20DA1E6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830" w:type="dxa"/>
            <w:gridSpan w:val="3"/>
            <w:vMerge w:val="restart"/>
            <w:shd w:val="clear" w:color="auto" w:fill="FFFFFF"/>
            <w:vAlign w:val="center"/>
          </w:tcPr>
          <w:p w14:paraId="674C89B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在管道专用隧道中心线两侧各一千米地域范围内采石、采矿、爆破</w:t>
            </w:r>
          </w:p>
        </w:tc>
        <w:tc>
          <w:tcPr>
            <w:tcW w:w="2789" w:type="dxa"/>
            <w:gridSpan w:val="2"/>
            <w:vMerge w:val="restart"/>
            <w:shd w:val="clear" w:color="auto" w:fill="auto"/>
            <w:vAlign w:val="center"/>
          </w:tcPr>
          <w:p w14:paraId="10EF066A">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vAlign w:val="center"/>
          </w:tcPr>
          <w:p w14:paraId="0CAC7F96">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10000</w:t>
            </w:r>
          </w:p>
          <w:p w14:paraId="54369C7F">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单位</w:t>
            </w:r>
          </w:p>
        </w:tc>
        <w:tc>
          <w:tcPr>
            <w:tcW w:w="840" w:type="dxa"/>
            <w:vMerge w:val="restart"/>
            <w:shd w:val="clear" w:color="auto" w:fill="auto"/>
            <w:vAlign w:val="center"/>
          </w:tcPr>
          <w:p w14:paraId="714EFE4E">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vMerge w:val="restart"/>
            <w:shd w:val="clear" w:color="auto" w:fill="auto"/>
            <w:vAlign w:val="center"/>
          </w:tcPr>
          <w:p w14:paraId="6DE2ADA6">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1.存在安全隐患的，系数0-4。2.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3319FF68">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restart"/>
            <w:shd w:val="clear" w:color="auto" w:fill="auto"/>
            <w:vAlign w:val="center"/>
          </w:tcPr>
          <w:p w14:paraId="549FC359">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215A42B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14:paraId="2F9EB514">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r>
      <w:tr w14:paraId="6FFFC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696" w:hRule="atLeast"/>
          <w:jc w:val="center"/>
        </w:trPr>
        <w:tc>
          <w:tcPr>
            <w:tcW w:w="610" w:type="dxa"/>
            <w:vMerge w:val="continue"/>
            <w:shd w:val="clear" w:color="auto" w:fill="FFFFFF"/>
            <w:vAlign w:val="center"/>
          </w:tcPr>
          <w:p w14:paraId="391F6A1F">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FFFFFF"/>
            <w:vAlign w:val="center"/>
          </w:tcPr>
          <w:p w14:paraId="77F058E1">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536F6CAE">
            <w:pPr>
              <w:autoSpaceDE w:val="0"/>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6A40078D">
            <w:pPr>
              <w:spacing w:line="190"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200</w:t>
            </w:r>
          </w:p>
          <w:p w14:paraId="27FEEC26">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个人</w:t>
            </w:r>
          </w:p>
        </w:tc>
        <w:tc>
          <w:tcPr>
            <w:tcW w:w="840" w:type="dxa"/>
            <w:vMerge w:val="continue"/>
            <w:shd w:val="clear" w:color="auto" w:fill="auto"/>
            <w:vAlign w:val="center"/>
          </w:tcPr>
          <w:p w14:paraId="3440DDE2">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3426" w:type="dxa"/>
            <w:vMerge w:val="continue"/>
            <w:shd w:val="clear" w:color="auto" w:fill="auto"/>
            <w:vAlign w:val="center"/>
          </w:tcPr>
          <w:p w14:paraId="11DD8510">
            <w:pPr>
              <w:autoSpaceDE w:val="0"/>
              <w:spacing w:line="232" w:lineRule="exact"/>
              <w:rPr>
                <w:rFonts w:cs="宋体" w:asciiTheme="minorEastAsia" w:hAnsiTheme="minorEastAsia" w:eastAsiaTheme="minorEastAsia"/>
                <w:color w:val="auto"/>
                <w:kern w:val="0"/>
                <w:sz w:val="15"/>
                <w:szCs w:val="15"/>
                <w:highlight w:val="none"/>
              </w:rPr>
            </w:pPr>
          </w:p>
        </w:tc>
        <w:tc>
          <w:tcPr>
            <w:tcW w:w="1875" w:type="dxa"/>
            <w:gridSpan w:val="2"/>
            <w:shd w:val="clear" w:color="auto" w:fill="auto"/>
            <w:vAlign w:val="center"/>
          </w:tcPr>
          <w:p w14:paraId="5D6DCDF7">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vMerge w:val="continue"/>
            <w:shd w:val="clear" w:color="auto" w:fill="auto"/>
            <w:vAlign w:val="center"/>
          </w:tcPr>
          <w:p w14:paraId="67845644">
            <w:pPr>
              <w:autoSpaceDE w:val="0"/>
              <w:spacing w:line="232" w:lineRule="exact"/>
              <w:rPr>
                <w:rFonts w:cs="宋体" w:asciiTheme="minorEastAsia" w:hAnsiTheme="minorEastAsia" w:eastAsiaTheme="minorEastAsia"/>
                <w:color w:val="auto"/>
                <w:kern w:val="0"/>
                <w:sz w:val="15"/>
                <w:szCs w:val="15"/>
                <w:highlight w:val="none"/>
              </w:rPr>
            </w:pPr>
          </w:p>
        </w:tc>
      </w:tr>
      <w:tr w14:paraId="1BA27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583" w:hRule="atLeast"/>
          <w:jc w:val="center"/>
        </w:trPr>
        <w:tc>
          <w:tcPr>
            <w:tcW w:w="610" w:type="dxa"/>
            <w:shd w:val="clear" w:color="auto" w:fill="FFFFFF"/>
            <w:vAlign w:val="center"/>
          </w:tcPr>
          <w:p w14:paraId="420DE6E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830" w:type="dxa"/>
            <w:gridSpan w:val="3"/>
            <w:shd w:val="clear" w:color="auto" w:fill="FFFFFF"/>
            <w:vAlign w:val="center"/>
          </w:tcPr>
          <w:p w14:paraId="32C63F9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789" w:type="dxa"/>
            <w:gridSpan w:val="2"/>
            <w:shd w:val="clear" w:color="auto" w:fill="auto"/>
            <w:vAlign w:val="center"/>
          </w:tcPr>
          <w:p w14:paraId="71E614F0">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vAlign w:val="center"/>
          </w:tcPr>
          <w:p w14:paraId="6C68CA38">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7E0A552">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07A0721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4D9F14C6">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4635125E">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14:paraId="7912B438">
            <w:pPr>
              <w:autoSpaceDE w:val="0"/>
              <w:spacing w:line="232" w:lineRule="exact"/>
              <w:rPr>
                <w:rFonts w:cs="宋体" w:asciiTheme="minorEastAsia" w:hAnsiTheme="minorEastAsia" w:eastAsiaTheme="minorEastAsia"/>
                <w:color w:val="auto"/>
                <w:kern w:val="0"/>
                <w:sz w:val="15"/>
                <w:szCs w:val="15"/>
                <w:highlight w:val="none"/>
              </w:rPr>
            </w:pPr>
          </w:p>
          <w:p w14:paraId="79EC3C81">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额度处罚的，报案审会讨论决定。</w:t>
            </w:r>
          </w:p>
        </w:tc>
      </w:tr>
      <w:tr w14:paraId="63F12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2035" w:hRule="atLeast"/>
          <w:jc w:val="center"/>
        </w:trPr>
        <w:tc>
          <w:tcPr>
            <w:tcW w:w="610" w:type="dxa"/>
            <w:tcBorders>
              <w:bottom w:val="single" w:color="auto" w:sz="4" w:space="0"/>
            </w:tcBorders>
            <w:shd w:val="clear" w:color="auto" w:fill="FFFFFF"/>
            <w:vAlign w:val="center"/>
          </w:tcPr>
          <w:p w14:paraId="2CDE92CA">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830" w:type="dxa"/>
            <w:gridSpan w:val="3"/>
            <w:tcBorders>
              <w:bottom w:val="single" w:color="auto" w:sz="4" w:space="0"/>
            </w:tcBorders>
            <w:shd w:val="clear" w:color="auto" w:fill="auto"/>
            <w:vAlign w:val="center"/>
          </w:tcPr>
          <w:p w14:paraId="4A612593">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789" w:type="dxa"/>
            <w:gridSpan w:val="2"/>
            <w:tcBorders>
              <w:bottom w:val="single" w:color="auto" w:sz="4" w:space="0"/>
            </w:tcBorders>
            <w:shd w:val="clear" w:color="auto" w:fill="auto"/>
            <w:vAlign w:val="center"/>
          </w:tcPr>
          <w:p w14:paraId="33BED655">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vAlign w:val="center"/>
          </w:tcPr>
          <w:p w14:paraId="78C2940B">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tcBorders>
              <w:bottom w:val="single" w:color="auto" w:sz="4" w:space="0"/>
            </w:tcBorders>
            <w:shd w:val="clear" w:color="auto" w:fill="auto"/>
            <w:vAlign w:val="center"/>
          </w:tcPr>
          <w:p w14:paraId="7280E0D6">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tcBorders>
              <w:bottom w:val="single" w:color="auto" w:sz="4" w:space="0"/>
            </w:tcBorders>
            <w:shd w:val="clear" w:color="auto" w:fill="auto"/>
            <w:vAlign w:val="center"/>
          </w:tcPr>
          <w:p w14:paraId="52326DAC">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tcBorders>
              <w:bottom w:val="single" w:color="auto" w:sz="4" w:space="0"/>
            </w:tcBorders>
            <w:shd w:val="clear" w:color="auto" w:fill="auto"/>
            <w:vAlign w:val="center"/>
          </w:tcPr>
          <w:p w14:paraId="51FC70ED">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AC25267">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14:paraId="0FE5AA4A">
            <w:pPr>
              <w:autoSpaceDE w:val="0"/>
              <w:spacing w:line="232" w:lineRule="exact"/>
              <w:rPr>
                <w:rFonts w:cs="宋体" w:asciiTheme="minorEastAsia" w:hAnsiTheme="minorEastAsia" w:eastAsiaTheme="minorEastAsia"/>
                <w:color w:val="auto"/>
                <w:kern w:val="0"/>
                <w:sz w:val="15"/>
                <w:szCs w:val="15"/>
                <w:highlight w:val="none"/>
              </w:rPr>
            </w:pPr>
          </w:p>
          <w:p w14:paraId="17B1F77A">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r>
      <w:tr w14:paraId="591E6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128" w:hRule="atLeast"/>
          <w:jc w:val="center"/>
        </w:trPr>
        <w:tc>
          <w:tcPr>
            <w:tcW w:w="610" w:type="dxa"/>
            <w:shd w:val="clear" w:color="auto" w:fill="FFFFFF"/>
            <w:vAlign w:val="center"/>
          </w:tcPr>
          <w:p w14:paraId="46C7F34A">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830" w:type="dxa"/>
            <w:gridSpan w:val="3"/>
            <w:shd w:val="clear" w:color="auto" w:fill="FFFFFF"/>
            <w:vAlign w:val="center"/>
          </w:tcPr>
          <w:p w14:paraId="213B85FE">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未经批准进行穿跨越管道的施工作业</w:t>
            </w:r>
          </w:p>
        </w:tc>
        <w:tc>
          <w:tcPr>
            <w:tcW w:w="2789" w:type="dxa"/>
            <w:gridSpan w:val="2"/>
            <w:shd w:val="clear" w:color="auto" w:fill="auto"/>
            <w:vAlign w:val="center"/>
          </w:tcPr>
          <w:p w14:paraId="339AEAEC">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vAlign w:val="center"/>
          </w:tcPr>
          <w:p w14:paraId="5A7C620B">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6F22BE69">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346D334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0C416E4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357C745">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14:paraId="079E9260">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r>
      <w:tr w14:paraId="3D62C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487" w:hRule="atLeast"/>
          <w:jc w:val="center"/>
        </w:trPr>
        <w:tc>
          <w:tcPr>
            <w:tcW w:w="610" w:type="dxa"/>
            <w:shd w:val="clear" w:color="auto" w:fill="FFFFFF"/>
            <w:vAlign w:val="center"/>
          </w:tcPr>
          <w:p w14:paraId="0C54845E">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830" w:type="dxa"/>
            <w:gridSpan w:val="3"/>
            <w:shd w:val="clear" w:color="auto" w:fill="auto"/>
            <w:vAlign w:val="center"/>
          </w:tcPr>
          <w:p w14:paraId="02E076A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未经批准，在管道线路中心线两侧各二百米和管道附属设施周边五百米地域范围内，进行爆破、地震法勘探或者工程挖掘、工程钻探、采矿</w:t>
            </w:r>
          </w:p>
        </w:tc>
        <w:tc>
          <w:tcPr>
            <w:tcW w:w="2789" w:type="dxa"/>
            <w:gridSpan w:val="2"/>
            <w:shd w:val="clear" w:color="auto" w:fill="auto"/>
            <w:vAlign w:val="center"/>
          </w:tcPr>
          <w:p w14:paraId="445A3EB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vAlign w:val="center"/>
          </w:tcPr>
          <w:p w14:paraId="327F838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14:paraId="5607D2D7">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5E429B5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7AD8227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C28486D">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14:paraId="17EEC72A">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r>
      <w:tr w14:paraId="268C3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207" w:hRule="atLeast"/>
          <w:jc w:val="center"/>
        </w:trPr>
        <w:tc>
          <w:tcPr>
            <w:tcW w:w="610" w:type="dxa"/>
            <w:shd w:val="clear" w:color="auto" w:fill="FFFFFF"/>
            <w:vAlign w:val="center"/>
          </w:tcPr>
          <w:p w14:paraId="062C1B5A">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830" w:type="dxa"/>
            <w:gridSpan w:val="3"/>
            <w:shd w:val="clear" w:color="auto" w:fill="FFFFFF"/>
            <w:vAlign w:val="center"/>
          </w:tcPr>
          <w:p w14:paraId="415F53DE">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擅自开启、关闭管道阀门</w:t>
            </w:r>
          </w:p>
        </w:tc>
        <w:tc>
          <w:tcPr>
            <w:tcW w:w="2789" w:type="dxa"/>
            <w:gridSpan w:val="2"/>
            <w:shd w:val="clear" w:color="auto" w:fill="auto"/>
            <w:vAlign w:val="center"/>
          </w:tcPr>
          <w:p w14:paraId="271E998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vAlign w:val="center"/>
          </w:tcPr>
          <w:p w14:paraId="1030B4BE">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CF3FA3C">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440E189">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1BDB9DCB">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50799D0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14:paraId="4C0E7082">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14:paraId="764EA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289" w:hRule="atLeast"/>
          <w:jc w:val="center"/>
        </w:trPr>
        <w:tc>
          <w:tcPr>
            <w:tcW w:w="610" w:type="dxa"/>
            <w:shd w:val="clear" w:color="auto" w:fill="FFFFFF"/>
            <w:vAlign w:val="center"/>
          </w:tcPr>
          <w:p w14:paraId="751AFB34">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830" w:type="dxa"/>
            <w:gridSpan w:val="3"/>
            <w:shd w:val="clear" w:color="auto" w:fill="FFFFFF"/>
            <w:vAlign w:val="center"/>
          </w:tcPr>
          <w:p w14:paraId="7BB540D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移动、毁损、涂改管道标志</w:t>
            </w:r>
          </w:p>
        </w:tc>
        <w:tc>
          <w:tcPr>
            <w:tcW w:w="2789" w:type="dxa"/>
            <w:gridSpan w:val="2"/>
            <w:shd w:val="clear" w:color="auto" w:fill="auto"/>
            <w:vAlign w:val="center"/>
          </w:tcPr>
          <w:p w14:paraId="0D0052DA">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vAlign w:val="center"/>
          </w:tcPr>
          <w:p w14:paraId="6FC00490">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63D2299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7AA02CC">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536B526C">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7A33D08F">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14:paraId="4542E57A">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14:paraId="43687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157" w:hRule="atLeast"/>
          <w:jc w:val="center"/>
        </w:trPr>
        <w:tc>
          <w:tcPr>
            <w:tcW w:w="610" w:type="dxa"/>
            <w:shd w:val="clear" w:color="auto" w:fill="FFFFFF"/>
            <w:vAlign w:val="center"/>
          </w:tcPr>
          <w:p w14:paraId="65FE1625">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830" w:type="dxa"/>
            <w:gridSpan w:val="3"/>
            <w:shd w:val="clear" w:color="auto" w:fill="FFFFFF"/>
            <w:vAlign w:val="center"/>
          </w:tcPr>
          <w:p w14:paraId="300ABD0B">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在埋地管道上方巡查便道上行驶重型车辆</w:t>
            </w:r>
          </w:p>
        </w:tc>
        <w:tc>
          <w:tcPr>
            <w:tcW w:w="2789" w:type="dxa"/>
            <w:gridSpan w:val="2"/>
            <w:shd w:val="clear" w:color="auto" w:fill="auto"/>
            <w:vAlign w:val="center"/>
          </w:tcPr>
          <w:p w14:paraId="0D447B02">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vAlign w:val="center"/>
          </w:tcPr>
          <w:p w14:paraId="75700918">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4ACF665A">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489B0E94">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6CEBEE0B">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646E225A">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br w:type="textWrapping"/>
            </w: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14:paraId="050C7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56" w:hRule="atLeast"/>
          <w:jc w:val="center"/>
        </w:trPr>
        <w:tc>
          <w:tcPr>
            <w:tcW w:w="610" w:type="dxa"/>
            <w:shd w:val="clear" w:color="auto" w:fill="FFFFFF"/>
            <w:vAlign w:val="center"/>
          </w:tcPr>
          <w:p w14:paraId="31B8ECCF">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830" w:type="dxa"/>
            <w:gridSpan w:val="3"/>
            <w:shd w:val="clear" w:color="auto" w:fill="FFFFFF"/>
            <w:vAlign w:val="center"/>
          </w:tcPr>
          <w:p w14:paraId="17F59C03">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在地面管道线路、架空管道线路和管桥上行走或者放置重物</w:t>
            </w:r>
          </w:p>
        </w:tc>
        <w:tc>
          <w:tcPr>
            <w:tcW w:w="2789" w:type="dxa"/>
            <w:gridSpan w:val="2"/>
            <w:shd w:val="clear" w:color="auto" w:fill="auto"/>
            <w:vAlign w:val="center"/>
          </w:tcPr>
          <w:p w14:paraId="3C906CD0">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vAlign w:val="center"/>
          </w:tcPr>
          <w:p w14:paraId="5985AD10">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152AF8DD">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1FB980B3">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2B5D23F2">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0250DE05">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p>
          <w:p w14:paraId="0DC40612">
            <w:pPr>
              <w:autoSpaceDE w:val="0"/>
              <w:spacing w:line="19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14:paraId="66505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888" w:hRule="atLeast"/>
          <w:jc w:val="center"/>
        </w:trPr>
        <w:tc>
          <w:tcPr>
            <w:tcW w:w="610" w:type="dxa"/>
            <w:shd w:val="clear" w:color="auto" w:fill="FFFFFF"/>
            <w:vAlign w:val="center"/>
          </w:tcPr>
          <w:p w14:paraId="05563EE9">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830" w:type="dxa"/>
            <w:gridSpan w:val="3"/>
            <w:shd w:val="clear" w:color="auto" w:fill="FFFFFF"/>
            <w:vAlign w:val="center"/>
          </w:tcPr>
          <w:p w14:paraId="67F081B1">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阻碍依法进行的管道建设</w:t>
            </w:r>
          </w:p>
        </w:tc>
        <w:tc>
          <w:tcPr>
            <w:tcW w:w="2789" w:type="dxa"/>
            <w:gridSpan w:val="2"/>
            <w:shd w:val="clear" w:color="auto" w:fill="auto"/>
            <w:vAlign w:val="center"/>
          </w:tcPr>
          <w:p w14:paraId="6B066256">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vAlign w:val="center"/>
          </w:tcPr>
          <w:p w14:paraId="6659FC96">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14:paraId="6E17104E">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3426" w:type="dxa"/>
            <w:shd w:val="clear" w:color="auto" w:fill="auto"/>
            <w:vAlign w:val="center"/>
          </w:tcPr>
          <w:p w14:paraId="681A6C05">
            <w:pPr>
              <w:autoSpaceDE w:val="0"/>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1.存在安全隐患的，系数0-2；2.</w:t>
            </w:r>
            <w:r>
              <w:rPr>
                <w:rFonts w:hint="eastAsia" w:cs="宋体" w:asciiTheme="minorEastAsia" w:hAnsiTheme="minorEastAsia" w:eastAsiaTheme="minorEastAsia"/>
                <w:color w:val="auto"/>
                <w:kern w:val="0"/>
                <w:sz w:val="15"/>
                <w:szCs w:val="15"/>
                <w:highlight w:val="none"/>
              </w:rPr>
              <w:t>造成事故或者</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严重后果的，系数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3.存在基准2.1.3规定情形的，系数按照相关规定确定（基准2.1.3.5不适用）。</w:t>
            </w:r>
          </w:p>
        </w:tc>
        <w:tc>
          <w:tcPr>
            <w:tcW w:w="1875" w:type="dxa"/>
            <w:gridSpan w:val="2"/>
            <w:shd w:val="clear" w:color="auto" w:fill="auto"/>
            <w:vAlign w:val="center"/>
          </w:tcPr>
          <w:p w14:paraId="5D65DAE3">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情节</w:t>
            </w:r>
            <w:r>
              <w:rPr>
                <w:rFonts w:hint="eastAsia" w:cs="宋体" w:asciiTheme="minorEastAsia" w:hAnsiTheme="minorEastAsia" w:eastAsiaTheme="minorEastAsia"/>
                <w:color w:val="auto"/>
                <w:kern w:val="0"/>
                <w:sz w:val="15"/>
                <w:szCs w:val="15"/>
                <w:highlight w:val="none"/>
              </w:rPr>
              <w:t>系数）</w:t>
            </w:r>
          </w:p>
        </w:tc>
        <w:tc>
          <w:tcPr>
            <w:tcW w:w="1982" w:type="dxa"/>
            <w:gridSpan w:val="2"/>
            <w:shd w:val="clear" w:color="auto" w:fill="auto"/>
            <w:vAlign w:val="center"/>
          </w:tcPr>
          <w:p w14:paraId="39741D21">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p>
          <w:p w14:paraId="53AEF0F6">
            <w:pPr>
              <w:autoSpaceDE w:val="0"/>
              <w:spacing w:line="19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lang w:eastAsia="zh-CN"/>
              </w:rPr>
              <w:t>其他</w:t>
            </w:r>
            <w:r>
              <w:rPr>
                <w:rFonts w:hint="eastAsia" w:cs="宋体" w:asciiTheme="minorEastAsia" w:hAnsiTheme="minorEastAsia" w:eastAsiaTheme="minorEastAsia"/>
                <w:color w:val="auto"/>
                <w:kern w:val="0"/>
                <w:sz w:val="15"/>
                <w:szCs w:val="15"/>
                <w:highlight w:val="none"/>
              </w:rPr>
              <w:t>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r>
      <w:tr w14:paraId="568C5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631" w:hRule="atLeast"/>
          <w:jc w:val="center"/>
        </w:trPr>
        <w:tc>
          <w:tcPr>
            <w:tcW w:w="14203" w:type="dxa"/>
            <w:gridSpan w:val="13"/>
            <w:shd w:val="clear" w:color="auto" w:fill="FFFFFF"/>
            <w:vAlign w:val="center"/>
          </w:tcPr>
          <w:p w14:paraId="6EAFA778">
            <w:pPr>
              <w:pStyle w:val="2"/>
              <w:keepNext w:val="0"/>
              <w:keepLines w:val="0"/>
              <w:rPr>
                <w:rFonts w:hint="eastAsia" w:asciiTheme="minorEastAsia" w:hAnsiTheme="minorEastAsia" w:eastAsiaTheme="minorEastAsia"/>
                <w:color w:val="auto"/>
                <w:szCs w:val="15"/>
                <w:highlight w:val="none"/>
              </w:rPr>
            </w:pPr>
            <w:bookmarkStart w:id="190" w:name="_Toc1375254604"/>
            <w:r>
              <w:rPr>
                <w:rFonts w:hint="eastAsia" w:ascii="黑体" w:hAnsi="黑体" w:eastAsia="黑体"/>
                <w:b w:val="0"/>
                <w:color w:val="auto"/>
                <w:sz w:val="28"/>
                <w:szCs w:val="28"/>
                <w:highlight w:val="none"/>
              </w:rPr>
              <w:t>国际交往语言环境建设方面</w:t>
            </w:r>
            <w:bookmarkEnd w:id="190"/>
          </w:p>
        </w:tc>
      </w:tr>
      <w:tr w14:paraId="17E59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533" w:hRule="atLeast"/>
          <w:jc w:val="center"/>
        </w:trPr>
        <w:tc>
          <w:tcPr>
            <w:tcW w:w="14203" w:type="dxa"/>
            <w:gridSpan w:val="13"/>
            <w:shd w:val="clear" w:color="auto" w:fill="auto"/>
            <w:vAlign w:val="center"/>
          </w:tcPr>
          <w:p w14:paraId="0CEEF99D">
            <w:pPr>
              <w:pStyle w:val="3"/>
              <w:bidi w:val="0"/>
              <w:jc w:val="center"/>
              <w:rPr>
                <w:rFonts w:hint="eastAsia" w:asciiTheme="minorEastAsia" w:hAnsiTheme="minorEastAsia" w:eastAsiaTheme="minorEastAsia"/>
                <w:color w:val="auto"/>
                <w:szCs w:val="15"/>
                <w:highlight w:val="none"/>
              </w:rPr>
            </w:pPr>
            <w:bookmarkStart w:id="191" w:name="_Toc1577776105"/>
            <w:r>
              <w:rPr>
                <w:rFonts w:hint="eastAsia"/>
                <w:color w:val="auto"/>
                <w:sz w:val="21"/>
                <w:szCs w:val="21"/>
                <w:highlight w:val="none"/>
              </w:rPr>
              <w:t>《</w:t>
            </w:r>
            <w:r>
              <w:rPr>
                <w:rFonts w:hint="eastAsia"/>
                <w:color w:val="auto"/>
                <w:sz w:val="21"/>
                <w:szCs w:val="21"/>
                <w:highlight w:val="none"/>
                <w:lang w:val="zh-CN"/>
              </w:rPr>
              <w:t>北京市国际交往语言环境建设条例</w:t>
            </w:r>
            <w:r>
              <w:rPr>
                <w:rFonts w:hint="eastAsia"/>
                <w:color w:val="auto"/>
                <w:sz w:val="21"/>
                <w:szCs w:val="21"/>
                <w:highlight w:val="none"/>
              </w:rPr>
              <w:t>》案由</w:t>
            </w:r>
            <w:r>
              <w:rPr>
                <w:rFonts w:hint="eastAsia"/>
                <w:b w:val="0"/>
                <w:bCs w:val="0"/>
                <w:color w:val="auto"/>
                <w:sz w:val="21"/>
                <w:szCs w:val="21"/>
                <w:highlight w:val="none"/>
              </w:rPr>
              <w:t>4</w:t>
            </w:r>
            <w:r>
              <w:rPr>
                <w:rFonts w:hint="eastAsia"/>
                <w:color w:val="auto"/>
                <w:sz w:val="21"/>
                <w:szCs w:val="21"/>
                <w:highlight w:val="none"/>
              </w:rPr>
              <w:t>项</w:t>
            </w:r>
            <w:bookmarkEnd w:id="191"/>
          </w:p>
        </w:tc>
      </w:tr>
      <w:tr w14:paraId="57C58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037" w:hRule="atLeast"/>
          <w:jc w:val="center"/>
        </w:trPr>
        <w:tc>
          <w:tcPr>
            <w:tcW w:w="610" w:type="dxa"/>
            <w:shd w:val="clear" w:color="auto" w:fill="auto"/>
            <w:vAlign w:val="center"/>
          </w:tcPr>
          <w:p w14:paraId="6DCCA536">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1830" w:type="dxa"/>
            <w:gridSpan w:val="3"/>
            <w:shd w:val="clear" w:color="auto" w:fill="auto"/>
            <w:vAlign w:val="center"/>
          </w:tcPr>
          <w:p w14:paraId="6DD4A1A9">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公共场所标识单独使用外语拒不改正</w:t>
            </w:r>
          </w:p>
        </w:tc>
        <w:tc>
          <w:tcPr>
            <w:tcW w:w="2789" w:type="dxa"/>
            <w:gridSpan w:val="2"/>
            <w:shd w:val="clear" w:color="auto" w:fill="auto"/>
            <w:vAlign w:val="center"/>
          </w:tcPr>
          <w:p w14:paraId="14A6F315">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shd w:val="clear" w:color="auto" w:fill="auto"/>
            <w:vAlign w:val="center"/>
          </w:tcPr>
          <w:p w14:paraId="37783DA2">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5000</w:t>
            </w:r>
          </w:p>
        </w:tc>
        <w:tc>
          <w:tcPr>
            <w:tcW w:w="840" w:type="dxa"/>
            <w:shd w:val="clear" w:color="auto" w:fill="auto"/>
            <w:vAlign w:val="center"/>
          </w:tcPr>
          <w:p w14:paraId="3EA5FB3F">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
              </w:rPr>
              <w:t>1</w:t>
            </w:r>
          </w:p>
        </w:tc>
        <w:tc>
          <w:tcPr>
            <w:tcW w:w="3426" w:type="dxa"/>
            <w:shd w:val="clear" w:color="auto" w:fill="auto"/>
            <w:vAlign w:val="center"/>
          </w:tcPr>
          <w:p w14:paraId="507DA931">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w:t>
            </w:r>
            <w:r>
              <w:rPr>
                <w:rFonts w:hint="eastAsia" w:cs="仿宋_GB2312" w:asciiTheme="minorEastAsia" w:hAnsiTheme="minorEastAsia" w:eastAsiaTheme="minorEastAsia"/>
                <w:color w:val="auto"/>
                <w:kern w:val="0"/>
                <w:sz w:val="15"/>
                <w:szCs w:val="15"/>
                <w:highlight w:val="none"/>
                <w:lang w:bidi="ar"/>
              </w:rPr>
              <w:t>第十七条第一款应当设置、使用外语标识的公共场所的，</w:t>
            </w:r>
            <w:r>
              <w:rPr>
                <w:rFonts w:hint="eastAsia" w:cs="仿宋_GB2312" w:asciiTheme="minorEastAsia" w:hAnsiTheme="minorEastAsia" w:eastAsiaTheme="minorEastAsia"/>
                <w:color w:val="auto"/>
                <w:kern w:val="0"/>
                <w:sz w:val="15"/>
                <w:szCs w:val="15"/>
                <w:highlight w:val="none"/>
                <w:lang w:eastAsia="zh-CN" w:bidi="ar"/>
              </w:rPr>
              <w:t>系数</w:t>
            </w:r>
            <w:r>
              <w:rPr>
                <w:rFonts w:hint="eastAsia" w:cs="仿宋_GB2312" w:asciiTheme="minorEastAsia" w:hAnsiTheme="minorEastAsia" w:eastAsiaTheme="minorEastAsia"/>
                <w:color w:val="auto"/>
                <w:kern w:val="0"/>
                <w:sz w:val="15"/>
                <w:szCs w:val="15"/>
                <w:highlight w:val="none"/>
                <w:lang w:bidi="ar"/>
              </w:rPr>
              <w:t>1</w:t>
            </w:r>
            <w:r>
              <w:rPr>
                <w:rFonts w:hint="eastAsia" w:cs="仿宋_GB2312" w:asciiTheme="minorEastAsia" w:hAnsiTheme="minorEastAsia" w:eastAsiaTheme="minorEastAsia"/>
                <w:color w:val="auto"/>
                <w:kern w:val="0"/>
                <w:sz w:val="15"/>
                <w:szCs w:val="15"/>
                <w:highlight w:val="none"/>
                <w:lang w:eastAsia="zh-CN" w:bidi="ar"/>
              </w:rPr>
              <w:t>。</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存在基准2.1.3规定情形的，系数按照相关规定确定。</w:t>
            </w:r>
          </w:p>
        </w:tc>
        <w:tc>
          <w:tcPr>
            <w:tcW w:w="1875" w:type="dxa"/>
            <w:gridSpan w:val="2"/>
            <w:shd w:val="clear" w:color="auto" w:fill="auto"/>
            <w:vAlign w:val="center"/>
          </w:tcPr>
          <w:p w14:paraId="4FC85B45">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5</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情节系数</w:t>
            </w:r>
            <w:r>
              <w:rPr>
                <w:rFonts w:hint="eastAsia" w:cs="仿宋_GB2312" w:asciiTheme="minorEastAsia" w:hAnsiTheme="minorEastAsia" w:eastAsiaTheme="minorEastAsia"/>
                <w:color w:val="auto"/>
                <w:sz w:val="15"/>
                <w:szCs w:val="15"/>
                <w:highlight w:val="none"/>
              </w:rPr>
              <w:t>）</w:t>
            </w:r>
          </w:p>
        </w:tc>
        <w:tc>
          <w:tcPr>
            <w:tcW w:w="1982" w:type="dxa"/>
            <w:gridSpan w:val="2"/>
            <w:shd w:val="clear" w:color="auto" w:fill="auto"/>
            <w:vAlign w:val="center"/>
          </w:tcPr>
          <w:p w14:paraId="4377FBDC">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strike/>
                <w:dstrike w:val="0"/>
                <w:color w:val="auto"/>
                <w:kern w:val="2"/>
                <w:sz w:val="15"/>
                <w:szCs w:val="15"/>
                <w:highlight w:val="none"/>
                <w:lang w:val="en-US" w:eastAsia="zh-CN" w:bidi="ar-SA"/>
              </w:rPr>
            </w:pPr>
            <w:r>
              <w:rPr>
                <w:rFonts w:hint="eastAsia" w:cs="仿宋_GB2312" w:asciiTheme="minorEastAsia" w:hAnsiTheme="minorEastAsia" w:eastAsiaTheme="minorEastAsia"/>
                <w:strike w:val="0"/>
                <w:dstrike w:val="0"/>
                <w:color w:val="auto"/>
                <w:sz w:val="15"/>
                <w:szCs w:val="15"/>
                <w:highlight w:val="none"/>
                <w:lang w:val="en"/>
              </w:rPr>
              <w:t>拒不改正的情形，不</w:t>
            </w:r>
            <w:r>
              <w:rPr>
                <w:rFonts w:hint="eastAsia" w:cs="仿宋_GB2312" w:asciiTheme="minorEastAsia" w:hAnsiTheme="minorEastAsia" w:eastAsiaTheme="minorEastAsia"/>
                <w:strike w:val="0"/>
                <w:dstrike w:val="0"/>
                <w:color w:val="auto"/>
                <w:sz w:val="15"/>
                <w:szCs w:val="15"/>
                <w:highlight w:val="none"/>
                <w:lang w:val="en" w:eastAsia="zh-CN"/>
              </w:rPr>
              <w:t>计入</w:t>
            </w:r>
            <w:r>
              <w:rPr>
                <w:rFonts w:hint="eastAsia" w:cs="仿宋_GB2312" w:asciiTheme="minorEastAsia" w:hAnsiTheme="minorEastAsia" w:eastAsiaTheme="minorEastAsia"/>
                <w:strike w:val="0"/>
                <w:dstrike w:val="0"/>
                <w:color w:val="auto"/>
                <w:sz w:val="15"/>
                <w:szCs w:val="15"/>
                <w:highlight w:val="none"/>
                <w:lang w:val="en"/>
              </w:rPr>
              <w:t>本项</w:t>
            </w:r>
            <w:r>
              <w:rPr>
                <w:rFonts w:hint="eastAsia" w:cs="仿宋_GB2312" w:asciiTheme="minorEastAsia" w:hAnsiTheme="minorEastAsia" w:eastAsiaTheme="minorEastAsia"/>
                <w:strike w:val="0"/>
                <w:dstrike w:val="0"/>
                <w:color w:val="auto"/>
                <w:sz w:val="15"/>
                <w:szCs w:val="15"/>
                <w:highlight w:val="none"/>
                <w:lang w:val="en" w:eastAsia="zh-CN"/>
              </w:rPr>
              <w:t>情节系数</w:t>
            </w:r>
            <w:r>
              <w:rPr>
                <w:rFonts w:hint="eastAsia" w:cs="仿宋_GB2312" w:asciiTheme="minorEastAsia" w:hAnsiTheme="minorEastAsia" w:eastAsiaTheme="minorEastAsia"/>
                <w:strike w:val="0"/>
                <w:dstrike w:val="0"/>
                <w:color w:val="auto"/>
                <w:sz w:val="15"/>
                <w:szCs w:val="15"/>
                <w:highlight w:val="none"/>
                <w:lang w:val="en"/>
              </w:rPr>
              <w:t>。</w:t>
            </w:r>
          </w:p>
        </w:tc>
      </w:tr>
      <w:tr w14:paraId="4B082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037" w:hRule="atLeast"/>
          <w:jc w:val="center"/>
        </w:trPr>
        <w:tc>
          <w:tcPr>
            <w:tcW w:w="610" w:type="dxa"/>
            <w:shd w:val="clear" w:color="auto" w:fill="auto"/>
            <w:vAlign w:val="center"/>
          </w:tcPr>
          <w:p w14:paraId="67B5EFA3">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w:t>
            </w:r>
          </w:p>
        </w:tc>
        <w:tc>
          <w:tcPr>
            <w:tcW w:w="1830" w:type="dxa"/>
            <w:gridSpan w:val="3"/>
            <w:shd w:val="clear" w:color="auto" w:fill="auto"/>
            <w:vAlign w:val="center"/>
          </w:tcPr>
          <w:p w14:paraId="5349D3EF">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应当设置、使用公共场所外语标识而未设置、使用拒不改正</w:t>
            </w:r>
          </w:p>
        </w:tc>
        <w:tc>
          <w:tcPr>
            <w:tcW w:w="2789" w:type="dxa"/>
            <w:gridSpan w:val="2"/>
            <w:shd w:val="clear" w:color="auto" w:fill="auto"/>
            <w:vAlign w:val="center"/>
          </w:tcPr>
          <w:p w14:paraId="3D3DE2EF">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shd w:val="clear" w:color="auto" w:fill="auto"/>
            <w:vAlign w:val="center"/>
          </w:tcPr>
          <w:p w14:paraId="7E800245">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2000</w:t>
            </w:r>
          </w:p>
        </w:tc>
        <w:tc>
          <w:tcPr>
            <w:tcW w:w="840" w:type="dxa"/>
            <w:shd w:val="clear" w:color="auto" w:fill="auto"/>
            <w:vAlign w:val="center"/>
          </w:tcPr>
          <w:p w14:paraId="38A2E340">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14:paraId="7D567C14">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存在基准2.1.3规定情形的，系数按照相关规定确定。</w:t>
            </w:r>
          </w:p>
        </w:tc>
        <w:tc>
          <w:tcPr>
            <w:tcW w:w="1875" w:type="dxa"/>
            <w:gridSpan w:val="2"/>
            <w:shd w:val="clear" w:color="auto" w:fill="auto"/>
            <w:vAlign w:val="center"/>
          </w:tcPr>
          <w:p w14:paraId="6ABD95B0">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情节系数</w:t>
            </w:r>
            <w:r>
              <w:rPr>
                <w:rFonts w:hint="eastAsia" w:cs="仿宋_GB2312" w:asciiTheme="minorEastAsia" w:hAnsiTheme="minorEastAsia" w:eastAsiaTheme="minorEastAsia"/>
                <w:color w:val="auto"/>
                <w:sz w:val="15"/>
                <w:szCs w:val="15"/>
                <w:highlight w:val="none"/>
              </w:rPr>
              <w:t>）</w:t>
            </w:r>
          </w:p>
        </w:tc>
        <w:tc>
          <w:tcPr>
            <w:tcW w:w="1982" w:type="dxa"/>
            <w:gridSpan w:val="2"/>
            <w:shd w:val="clear" w:color="auto" w:fill="auto"/>
            <w:vAlign w:val="center"/>
          </w:tcPr>
          <w:p w14:paraId="1DD48959">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strike/>
                <w:dstrike w:val="0"/>
                <w:color w:val="auto"/>
                <w:kern w:val="2"/>
                <w:sz w:val="15"/>
                <w:szCs w:val="15"/>
                <w:highlight w:val="none"/>
                <w:lang w:val="en-US" w:eastAsia="zh-CN" w:bidi="ar-SA"/>
              </w:rPr>
            </w:pPr>
            <w:r>
              <w:rPr>
                <w:rFonts w:hint="eastAsia" w:cs="仿宋_GB2312" w:asciiTheme="minorEastAsia" w:hAnsiTheme="minorEastAsia" w:eastAsiaTheme="minorEastAsia"/>
                <w:strike w:val="0"/>
                <w:dstrike w:val="0"/>
                <w:color w:val="auto"/>
                <w:sz w:val="15"/>
                <w:szCs w:val="15"/>
                <w:highlight w:val="none"/>
                <w:lang w:val="en"/>
              </w:rPr>
              <w:t>拒不改正的情形，不</w:t>
            </w:r>
            <w:r>
              <w:rPr>
                <w:rFonts w:hint="eastAsia" w:cs="仿宋_GB2312" w:asciiTheme="minorEastAsia" w:hAnsiTheme="minorEastAsia" w:eastAsiaTheme="minorEastAsia"/>
                <w:strike w:val="0"/>
                <w:dstrike w:val="0"/>
                <w:color w:val="auto"/>
                <w:sz w:val="15"/>
                <w:szCs w:val="15"/>
                <w:highlight w:val="none"/>
                <w:lang w:val="en" w:eastAsia="zh-CN"/>
              </w:rPr>
              <w:t>计入</w:t>
            </w:r>
            <w:r>
              <w:rPr>
                <w:rFonts w:hint="eastAsia" w:cs="仿宋_GB2312" w:asciiTheme="minorEastAsia" w:hAnsiTheme="minorEastAsia" w:eastAsiaTheme="minorEastAsia"/>
                <w:strike w:val="0"/>
                <w:dstrike w:val="0"/>
                <w:color w:val="auto"/>
                <w:sz w:val="15"/>
                <w:szCs w:val="15"/>
                <w:highlight w:val="none"/>
                <w:lang w:val="en"/>
              </w:rPr>
              <w:t>本项</w:t>
            </w:r>
            <w:r>
              <w:rPr>
                <w:rFonts w:hint="eastAsia" w:cs="仿宋_GB2312" w:asciiTheme="minorEastAsia" w:hAnsiTheme="minorEastAsia" w:eastAsiaTheme="minorEastAsia"/>
                <w:strike w:val="0"/>
                <w:dstrike w:val="0"/>
                <w:color w:val="auto"/>
                <w:sz w:val="15"/>
                <w:szCs w:val="15"/>
                <w:highlight w:val="none"/>
                <w:lang w:val="en" w:eastAsia="zh-CN"/>
              </w:rPr>
              <w:t>情节系数</w:t>
            </w:r>
            <w:r>
              <w:rPr>
                <w:rFonts w:hint="eastAsia" w:cs="仿宋_GB2312" w:asciiTheme="minorEastAsia" w:hAnsiTheme="minorEastAsia" w:eastAsiaTheme="minorEastAsia"/>
                <w:strike w:val="0"/>
                <w:dstrike w:val="0"/>
                <w:color w:val="auto"/>
                <w:sz w:val="15"/>
                <w:szCs w:val="15"/>
                <w:highlight w:val="none"/>
                <w:lang w:val="en"/>
              </w:rPr>
              <w:t>。</w:t>
            </w:r>
          </w:p>
        </w:tc>
      </w:tr>
      <w:tr w14:paraId="44111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791" w:hRule="atLeast"/>
          <w:jc w:val="center"/>
        </w:trPr>
        <w:tc>
          <w:tcPr>
            <w:tcW w:w="610" w:type="dxa"/>
            <w:vMerge w:val="restart"/>
            <w:shd w:val="clear" w:color="auto" w:fill="auto"/>
            <w:vAlign w:val="center"/>
          </w:tcPr>
          <w:p w14:paraId="5A4F97C5">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3</w:t>
            </w:r>
          </w:p>
        </w:tc>
        <w:tc>
          <w:tcPr>
            <w:tcW w:w="1830" w:type="dxa"/>
            <w:gridSpan w:val="3"/>
            <w:vMerge w:val="restart"/>
            <w:shd w:val="clear" w:color="auto" w:fill="auto"/>
            <w:vAlign w:val="center"/>
          </w:tcPr>
          <w:p w14:paraId="4BB1271A">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公共场所外语标识含有禁止性内容</w:t>
            </w:r>
          </w:p>
        </w:tc>
        <w:tc>
          <w:tcPr>
            <w:tcW w:w="2789" w:type="dxa"/>
            <w:gridSpan w:val="2"/>
            <w:vMerge w:val="restart"/>
            <w:shd w:val="clear" w:color="auto" w:fill="auto"/>
            <w:vAlign w:val="center"/>
          </w:tcPr>
          <w:p w14:paraId="3E44985C">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spacing w:val="-4"/>
                <w:kern w:val="2"/>
                <w:sz w:val="15"/>
                <w:szCs w:val="15"/>
                <w:highlight w:val="none"/>
                <w:lang w:val="en-US" w:eastAsia="zh-CN" w:bidi="ar-SA"/>
              </w:rPr>
            </w:pPr>
            <w:r>
              <w:rPr>
                <w:rFonts w:hint="eastAsia" w:cs="仿宋_GB2312" w:asciiTheme="minorEastAsia" w:hAnsiTheme="minorEastAsia" w:eastAsiaTheme="minorEastAsia"/>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shd w:val="clear" w:color="auto" w:fill="auto"/>
            <w:vAlign w:val="center"/>
          </w:tcPr>
          <w:p w14:paraId="71BF5F7A">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5000</w:t>
            </w:r>
          </w:p>
        </w:tc>
        <w:tc>
          <w:tcPr>
            <w:tcW w:w="840" w:type="dxa"/>
            <w:shd w:val="clear" w:color="auto" w:fill="auto"/>
            <w:vAlign w:val="center"/>
          </w:tcPr>
          <w:p w14:paraId="405261DD">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14:paraId="28560476">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同时存在两项及以上禁止性内容的，</w:t>
            </w:r>
            <w:r>
              <w:rPr>
                <w:rFonts w:hint="eastAsia" w:cs="仿宋_GB2312" w:asciiTheme="minorEastAsia" w:hAnsiTheme="minorEastAsia" w:eastAsiaTheme="minorEastAsia"/>
                <w:color w:val="auto"/>
                <w:sz w:val="15"/>
                <w:szCs w:val="15"/>
                <w:highlight w:val="none"/>
                <w:lang w:eastAsia="zh-CN"/>
              </w:rPr>
              <w:t>系数</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w:t>
            </w:r>
            <w:r>
              <w:rPr>
                <w:rFonts w:hint="eastAsia" w:cs="仿宋_GB2312" w:asciiTheme="minorEastAsia" w:hAnsiTheme="minorEastAsia" w:eastAsiaTheme="minorEastAsia"/>
                <w:color w:val="auto"/>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lang w:val="en-US" w:eastAsia="zh-CN" w:bidi="ar"/>
              </w:rPr>
              <w:t>.</w:t>
            </w:r>
            <w:r>
              <w:rPr>
                <w:rFonts w:hint="eastAsia" w:cs="仿宋_GB2312" w:asciiTheme="minorEastAsia" w:hAnsiTheme="minorEastAsia" w:eastAsiaTheme="minorEastAsia"/>
                <w:color w:val="auto"/>
                <w:kern w:val="0"/>
                <w:sz w:val="15"/>
                <w:szCs w:val="15"/>
                <w:highlight w:val="none"/>
                <w:lang w:bidi="ar"/>
              </w:rPr>
              <w:t>存在基准2.1.3规定情形的，系数按照相关规定确定。</w:t>
            </w:r>
          </w:p>
        </w:tc>
        <w:tc>
          <w:tcPr>
            <w:tcW w:w="1875" w:type="dxa"/>
            <w:gridSpan w:val="2"/>
            <w:shd w:val="clear" w:color="auto" w:fill="auto"/>
            <w:vAlign w:val="center"/>
          </w:tcPr>
          <w:p w14:paraId="31804F8B">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罚款数额＝5000×（1＋</w:t>
            </w:r>
            <w:r>
              <w:rPr>
                <w:rFonts w:hint="eastAsia" w:cs="仿宋_GB2312" w:asciiTheme="minorEastAsia" w:hAnsiTheme="minorEastAsia" w:eastAsiaTheme="minorEastAsia"/>
                <w:color w:val="auto"/>
                <w:sz w:val="15"/>
                <w:szCs w:val="15"/>
                <w:highlight w:val="none"/>
                <w:lang w:eastAsia="zh-CN"/>
              </w:rPr>
              <w:t>情节系数</w:t>
            </w:r>
            <w:r>
              <w:rPr>
                <w:rFonts w:hint="eastAsia" w:cs="仿宋_GB2312" w:asciiTheme="minorEastAsia" w:hAnsiTheme="minorEastAsia" w:eastAsiaTheme="minorEastAsia"/>
                <w:color w:val="auto"/>
                <w:sz w:val="15"/>
                <w:szCs w:val="15"/>
                <w:highlight w:val="none"/>
              </w:rPr>
              <w:t>）</w:t>
            </w:r>
          </w:p>
        </w:tc>
        <w:tc>
          <w:tcPr>
            <w:tcW w:w="1982" w:type="dxa"/>
            <w:gridSpan w:val="2"/>
            <w:shd w:val="clear" w:color="auto" w:fill="auto"/>
            <w:vAlign w:val="center"/>
          </w:tcPr>
          <w:p w14:paraId="45BE0948">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Times New Roman" w:asciiTheme="minorEastAsia" w:hAnsiTheme="minorEastAsia" w:eastAsiaTheme="minorEastAsia"/>
                <w:color w:val="auto"/>
                <w:kern w:val="2"/>
                <w:sz w:val="15"/>
                <w:szCs w:val="15"/>
                <w:highlight w:val="none"/>
                <w:lang w:val="en-US" w:eastAsia="zh-CN" w:bidi="ar-SA"/>
              </w:rPr>
            </w:pPr>
          </w:p>
        </w:tc>
      </w:tr>
      <w:tr w14:paraId="61242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037" w:hRule="atLeast"/>
          <w:jc w:val="center"/>
        </w:trPr>
        <w:tc>
          <w:tcPr>
            <w:tcW w:w="610" w:type="dxa"/>
            <w:vMerge w:val="continue"/>
            <w:shd w:val="clear" w:color="auto" w:fill="FFFFFF"/>
            <w:vAlign w:val="center"/>
          </w:tcPr>
          <w:p w14:paraId="504EC86A">
            <w:pPr>
              <w:autoSpaceDE w:val="0"/>
              <w:spacing w:line="232" w:lineRule="exact"/>
              <w:jc w:val="center"/>
              <w:rPr>
                <w:rFonts w:hint="eastAsia" w:cs="宋体" w:asciiTheme="minorEastAsia" w:hAnsiTheme="minorEastAsia" w:eastAsiaTheme="minorEastAsia"/>
                <w:color w:val="auto"/>
                <w:kern w:val="0"/>
                <w:sz w:val="15"/>
                <w:szCs w:val="15"/>
                <w:highlight w:val="none"/>
              </w:rPr>
            </w:pPr>
          </w:p>
        </w:tc>
        <w:tc>
          <w:tcPr>
            <w:tcW w:w="1830" w:type="dxa"/>
            <w:gridSpan w:val="3"/>
            <w:vMerge w:val="continue"/>
            <w:shd w:val="clear" w:color="auto" w:fill="FFFFFF"/>
            <w:vAlign w:val="center"/>
          </w:tcPr>
          <w:p w14:paraId="114148B3">
            <w:pPr>
              <w:autoSpaceDE w:val="0"/>
              <w:spacing w:line="190" w:lineRule="exact"/>
              <w:rPr>
                <w:rFonts w:hint="eastAsia" w:cs="宋体" w:asciiTheme="minorEastAsia" w:hAnsiTheme="minorEastAsia" w:eastAsiaTheme="minorEastAsia"/>
                <w:color w:val="auto"/>
                <w:kern w:val="0"/>
                <w:sz w:val="15"/>
                <w:szCs w:val="15"/>
                <w:highlight w:val="none"/>
              </w:rPr>
            </w:pPr>
          </w:p>
        </w:tc>
        <w:tc>
          <w:tcPr>
            <w:tcW w:w="2789" w:type="dxa"/>
            <w:gridSpan w:val="2"/>
            <w:vMerge w:val="continue"/>
            <w:shd w:val="clear" w:color="auto" w:fill="auto"/>
            <w:vAlign w:val="center"/>
          </w:tcPr>
          <w:p w14:paraId="70A3A274">
            <w:pPr>
              <w:autoSpaceDE w:val="0"/>
              <w:spacing w:line="190" w:lineRule="exact"/>
              <w:rPr>
                <w:rFonts w:hint="eastAsia" w:cs="宋体" w:asciiTheme="minorEastAsia" w:hAnsiTheme="minorEastAsia" w:eastAsiaTheme="minorEastAsia"/>
                <w:color w:val="auto"/>
                <w:kern w:val="0"/>
                <w:sz w:val="15"/>
                <w:szCs w:val="15"/>
                <w:highlight w:val="none"/>
              </w:rPr>
            </w:pPr>
          </w:p>
        </w:tc>
        <w:tc>
          <w:tcPr>
            <w:tcW w:w="851" w:type="dxa"/>
            <w:shd w:val="clear" w:color="auto" w:fill="auto"/>
            <w:vAlign w:val="center"/>
          </w:tcPr>
          <w:p w14:paraId="47627D0B">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14:paraId="4BAD46CE">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14:paraId="7C8EE5BD">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同时存在两项禁止性内容的，</w:t>
            </w:r>
            <w:r>
              <w:rPr>
                <w:rFonts w:hint="eastAsia" w:cs="仿宋_GB2312" w:asciiTheme="minorEastAsia" w:hAnsiTheme="minorEastAsia" w:eastAsiaTheme="minorEastAsia"/>
                <w:color w:val="auto"/>
                <w:sz w:val="15"/>
                <w:szCs w:val="15"/>
                <w:highlight w:val="none"/>
                <w:lang w:eastAsia="zh-CN"/>
              </w:rPr>
              <w:t>系数</w:t>
            </w:r>
            <w:r>
              <w:rPr>
                <w:rFonts w:hint="eastAsia" w:cs="仿宋_GB2312" w:asciiTheme="minorEastAsia" w:hAnsiTheme="minorEastAsia" w:eastAsiaTheme="minorEastAsia"/>
                <w:color w:val="auto"/>
                <w:sz w:val="15"/>
                <w:szCs w:val="15"/>
                <w:highlight w:val="none"/>
              </w:rPr>
              <w:t>1；同时存在三项以上禁止性内容的，</w:t>
            </w:r>
            <w:r>
              <w:rPr>
                <w:rFonts w:hint="eastAsia" w:cs="仿宋_GB2312" w:asciiTheme="minorEastAsia" w:hAnsiTheme="minorEastAsia" w:eastAsiaTheme="minorEastAsia"/>
                <w:color w:val="auto"/>
                <w:sz w:val="15"/>
                <w:szCs w:val="15"/>
                <w:highlight w:val="none"/>
                <w:lang w:eastAsia="zh-CN"/>
              </w:rPr>
              <w:t>系数</w:t>
            </w:r>
            <w:r>
              <w:rPr>
                <w:rFonts w:hint="eastAsia" w:cs="仿宋_GB2312" w:asciiTheme="minorEastAsia" w:hAnsiTheme="minorEastAsia" w:eastAsiaTheme="minorEastAsia"/>
                <w:color w:val="auto"/>
                <w:sz w:val="15"/>
                <w:szCs w:val="15"/>
                <w:highlight w:val="none"/>
              </w:rPr>
              <w:t>2</w:t>
            </w:r>
            <w:r>
              <w:rPr>
                <w:rFonts w:hint="eastAsia" w:cs="仿宋_GB2312" w:asciiTheme="minorEastAsia" w:hAnsiTheme="minorEastAsia" w:eastAsiaTheme="minorEastAsia"/>
                <w:color w:val="auto"/>
                <w:sz w:val="15"/>
                <w:szCs w:val="15"/>
                <w:highlight w:val="none"/>
                <w:lang w:eastAsia="zh-CN"/>
              </w:rPr>
              <w:t>。</w:t>
            </w:r>
            <w:r>
              <w:rPr>
                <w:rFonts w:hint="eastAsia" w:cs="仿宋_GB2312" w:asciiTheme="minorEastAsia" w:hAnsiTheme="minorEastAsia" w:eastAsiaTheme="minorEastAsia"/>
                <w:color w:val="auto"/>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lang w:val="en-US" w:eastAsia="zh-CN" w:bidi="ar"/>
              </w:rPr>
              <w:t>.</w:t>
            </w:r>
            <w:r>
              <w:rPr>
                <w:rFonts w:hint="eastAsia" w:cs="仿宋_GB2312" w:asciiTheme="minorEastAsia" w:hAnsiTheme="minorEastAsia" w:eastAsiaTheme="minorEastAsia"/>
                <w:color w:val="auto"/>
                <w:kern w:val="0"/>
                <w:sz w:val="15"/>
                <w:szCs w:val="15"/>
                <w:highlight w:val="none"/>
                <w:lang w:bidi="ar"/>
              </w:rPr>
              <w:t>存在基准2.1.3规定情形的，系数按照相关规定确定。</w:t>
            </w:r>
          </w:p>
        </w:tc>
        <w:tc>
          <w:tcPr>
            <w:tcW w:w="1875" w:type="dxa"/>
            <w:gridSpan w:val="2"/>
            <w:shd w:val="clear" w:color="auto" w:fill="auto"/>
            <w:vAlign w:val="center"/>
          </w:tcPr>
          <w:p w14:paraId="5925B1EB">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罚款数额＝10000×（1＋</w:t>
            </w:r>
            <w:r>
              <w:rPr>
                <w:rFonts w:hint="eastAsia" w:cs="仿宋_GB2312" w:asciiTheme="minorEastAsia" w:hAnsiTheme="minorEastAsia" w:eastAsiaTheme="minorEastAsia"/>
                <w:color w:val="auto"/>
                <w:sz w:val="15"/>
                <w:szCs w:val="15"/>
                <w:highlight w:val="none"/>
                <w:lang w:eastAsia="zh-CN"/>
              </w:rPr>
              <w:t>情节系数</w:t>
            </w:r>
            <w:r>
              <w:rPr>
                <w:rFonts w:hint="eastAsia" w:cs="仿宋_GB2312" w:asciiTheme="minorEastAsia" w:hAnsiTheme="minorEastAsia" w:eastAsiaTheme="minorEastAsia"/>
                <w:color w:val="auto"/>
                <w:sz w:val="15"/>
                <w:szCs w:val="15"/>
                <w:highlight w:val="none"/>
              </w:rPr>
              <w:t>）</w:t>
            </w:r>
          </w:p>
        </w:tc>
        <w:tc>
          <w:tcPr>
            <w:tcW w:w="1982" w:type="dxa"/>
            <w:gridSpan w:val="2"/>
            <w:shd w:val="clear" w:color="auto" w:fill="auto"/>
            <w:vAlign w:val="center"/>
          </w:tcPr>
          <w:p w14:paraId="11FC3479">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拒不改正或两次及以上违法的，或者被市级以上媒体曝光，或者造成</w:t>
            </w:r>
            <w:r>
              <w:rPr>
                <w:rFonts w:hint="eastAsia" w:cs="仿宋_GB2312" w:asciiTheme="minorEastAsia" w:hAnsiTheme="minorEastAsia" w:eastAsiaTheme="minorEastAsia"/>
                <w:color w:val="auto"/>
                <w:sz w:val="15"/>
                <w:szCs w:val="15"/>
                <w:highlight w:val="none"/>
                <w:lang w:val="en" w:eastAsia="zh-CN"/>
              </w:rPr>
              <w:t>其他</w:t>
            </w:r>
            <w:r>
              <w:rPr>
                <w:rFonts w:hint="eastAsia" w:cs="仿宋_GB2312" w:asciiTheme="minorEastAsia" w:hAnsiTheme="minorEastAsia" w:eastAsiaTheme="minorEastAsia"/>
                <w:color w:val="auto"/>
                <w:sz w:val="15"/>
                <w:szCs w:val="15"/>
                <w:highlight w:val="none"/>
                <w:lang w:val="en"/>
              </w:rPr>
              <w:t>恶劣影响的，视为“情节严重、造成恶劣影响”。</w:t>
            </w:r>
          </w:p>
          <w:p w14:paraId="41320B1E">
            <w:pPr>
              <w:pStyle w:val="22"/>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strike w:val="0"/>
                <w:dstrike w:val="0"/>
                <w:color w:val="auto"/>
                <w:kern w:val="2"/>
                <w:sz w:val="15"/>
                <w:szCs w:val="15"/>
                <w:highlight w:val="none"/>
                <w:lang w:val="en" w:eastAsia="zh-CN" w:bidi="ar-SA"/>
              </w:rPr>
              <w:t>拒不改正或两次及以上违法的，不重复计入本项情节系数。</w:t>
            </w:r>
          </w:p>
        </w:tc>
      </w:tr>
      <w:tr w14:paraId="6FBF5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57" w:type="dxa"/>
            <w:bottom w:w="0" w:type="dxa"/>
            <w:right w:w="57" w:type="dxa"/>
          </w:tblCellMar>
        </w:tblPrEx>
        <w:trPr>
          <w:gridAfter w:val="2"/>
          <w:wAfter w:w="134" w:type="dxa"/>
          <w:trHeight w:val="1037" w:hRule="atLeast"/>
          <w:jc w:val="center"/>
        </w:trPr>
        <w:tc>
          <w:tcPr>
            <w:tcW w:w="610" w:type="dxa"/>
            <w:shd w:val="clear" w:color="auto" w:fill="auto"/>
            <w:vAlign w:val="center"/>
          </w:tcPr>
          <w:p w14:paraId="7699334B">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4</w:t>
            </w:r>
          </w:p>
        </w:tc>
        <w:tc>
          <w:tcPr>
            <w:tcW w:w="1830" w:type="dxa"/>
            <w:gridSpan w:val="3"/>
            <w:shd w:val="clear" w:color="auto" w:fill="auto"/>
            <w:vAlign w:val="center"/>
          </w:tcPr>
          <w:p w14:paraId="7A282840">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公共场所外语标识译写错误或者明显不当拒不改正</w:t>
            </w:r>
          </w:p>
        </w:tc>
        <w:tc>
          <w:tcPr>
            <w:tcW w:w="2789" w:type="dxa"/>
            <w:gridSpan w:val="2"/>
            <w:shd w:val="clear" w:color="auto" w:fill="auto"/>
            <w:vAlign w:val="center"/>
          </w:tcPr>
          <w:p w14:paraId="10046E6B">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Times New Roman"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shd w:val="clear" w:color="auto" w:fill="auto"/>
            <w:vAlign w:val="center"/>
          </w:tcPr>
          <w:p w14:paraId="4F4282E8">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2000</w:t>
            </w:r>
          </w:p>
        </w:tc>
        <w:tc>
          <w:tcPr>
            <w:tcW w:w="840" w:type="dxa"/>
            <w:shd w:val="clear" w:color="auto" w:fill="auto"/>
            <w:vAlign w:val="center"/>
          </w:tcPr>
          <w:p w14:paraId="3AC1C2E4">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1</w:t>
            </w:r>
          </w:p>
        </w:tc>
        <w:tc>
          <w:tcPr>
            <w:tcW w:w="3426" w:type="dxa"/>
            <w:shd w:val="clear" w:color="auto" w:fill="auto"/>
            <w:vAlign w:val="center"/>
          </w:tcPr>
          <w:p w14:paraId="6D0911E0">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属于第十七条第一款应当设置、使用外语标识的公共场所的，</w:t>
            </w:r>
            <w:r>
              <w:rPr>
                <w:rFonts w:hint="eastAsia" w:cs="仿宋_GB2312" w:asciiTheme="minorEastAsia" w:hAnsiTheme="minorEastAsia" w:eastAsiaTheme="minorEastAsia"/>
                <w:color w:val="auto"/>
                <w:sz w:val="15"/>
                <w:szCs w:val="15"/>
                <w:highlight w:val="none"/>
                <w:lang w:eastAsia="zh-CN"/>
              </w:rPr>
              <w:t>系数</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被媒体曝光的，</w:t>
            </w:r>
            <w:r>
              <w:rPr>
                <w:rFonts w:hint="eastAsia" w:cs="仿宋_GB2312" w:asciiTheme="minorEastAsia" w:hAnsiTheme="minorEastAsia" w:eastAsiaTheme="minorEastAsia"/>
                <w:color w:val="auto"/>
                <w:kern w:val="0"/>
                <w:sz w:val="15"/>
                <w:szCs w:val="15"/>
                <w:highlight w:val="none"/>
                <w:lang w:eastAsia="zh-CN" w:bidi="ar"/>
              </w:rPr>
              <w:t>系数</w:t>
            </w:r>
            <w:r>
              <w:rPr>
                <w:rFonts w:hint="eastAsia" w:cs="仿宋_GB2312" w:asciiTheme="minorEastAsia" w:hAnsiTheme="minorEastAsia" w:eastAsiaTheme="minorEastAsia"/>
                <w:color w:val="auto"/>
                <w:kern w:val="0"/>
                <w:sz w:val="15"/>
                <w:szCs w:val="15"/>
                <w:highlight w:val="none"/>
                <w:lang w:bidi="ar"/>
              </w:rPr>
              <w:t>1</w:t>
            </w:r>
            <w:r>
              <w:rPr>
                <w:rFonts w:hint="eastAsia" w:cs="仿宋_GB2312" w:asciiTheme="minorEastAsia" w:hAnsiTheme="minorEastAsia" w:eastAsiaTheme="minorEastAsia"/>
                <w:color w:val="auto"/>
                <w:kern w:val="0"/>
                <w:sz w:val="15"/>
                <w:szCs w:val="15"/>
                <w:highlight w:val="none"/>
                <w:lang w:eastAsia="zh-CN" w:bidi="ar"/>
              </w:rPr>
              <w:t>。</w:t>
            </w:r>
            <w:r>
              <w:rPr>
                <w:rFonts w:hint="eastAsia" w:cs="仿宋_GB2312" w:asciiTheme="minorEastAsia" w:hAnsiTheme="minorEastAsia" w:eastAsiaTheme="minorEastAsia"/>
                <w:color w:val="auto"/>
                <w:kern w:val="0"/>
                <w:sz w:val="15"/>
                <w:szCs w:val="15"/>
                <w:highlight w:val="none"/>
                <w:lang w:val="en-US" w:eastAsia="zh-CN" w:bidi="ar"/>
              </w:rPr>
              <w:t>3.</w:t>
            </w:r>
            <w:r>
              <w:rPr>
                <w:rFonts w:hint="eastAsia" w:cs="仿宋_GB2312" w:asciiTheme="minorEastAsia" w:hAnsiTheme="minorEastAsia" w:eastAsiaTheme="minorEastAsia"/>
                <w:color w:val="auto"/>
                <w:kern w:val="0"/>
                <w:sz w:val="15"/>
                <w:szCs w:val="15"/>
                <w:highlight w:val="none"/>
                <w:lang w:bidi="ar"/>
              </w:rPr>
              <w:t>造成恶劣影响的，</w:t>
            </w:r>
            <w:r>
              <w:rPr>
                <w:rFonts w:hint="eastAsia" w:cs="仿宋_GB2312" w:asciiTheme="minorEastAsia" w:hAnsiTheme="minorEastAsia" w:eastAsiaTheme="minorEastAsia"/>
                <w:color w:val="auto"/>
                <w:kern w:val="0"/>
                <w:sz w:val="15"/>
                <w:szCs w:val="15"/>
                <w:highlight w:val="none"/>
                <w:lang w:eastAsia="zh-CN" w:bidi="ar"/>
              </w:rPr>
              <w:t>系数</w:t>
            </w:r>
            <w:r>
              <w:rPr>
                <w:rFonts w:hint="eastAsia" w:cs="仿宋_GB2312" w:asciiTheme="minorEastAsia" w:hAnsiTheme="minorEastAsia" w:eastAsiaTheme="minorEastAsia"/>
                <w:color w:val="auto"/>
                <w:kern w:val="0"/>
                <w:sz w:val="15"/>
                <w:szCs w:val="15"/>
                <w:highlight w:val="none"/>
                <w:lang w:bidi="ar"/>
              </w:rPr>
              <w:t>2</w:t>
            </w:r>
            <w:r>
              <w:rPr>
                <w:rFonts w:hint="eastAsia" w:cs="仿宋_GB2312" w:asciiTheme="minorEastAsia" w:hAnsiTheme="minorEastAsia" w:eastAsiaTheme="minorEastAsia"/>
                <w:color w:val="auto"/>
                <w:kern w:val="0"/>
                <w:sz w:val="15"/>
                <w:szCs w:val="15"/>
                <w:highlight w:val="none"/>
                <w:lang w:eastAsia="zh-CN" w:bidi="ar"/>
              </w:rPr>
              <w:t>。</w:t>
            </w:r>
            <w:r>
              <w:rPr>
                <w:rFonts w:hint="eastAsia" w:cs="仿宋_GB2312" w:asciiTheme="minorEastAsia" w:hAnsiTheme="minorEastAsia" w:eastAsiaTheme="minorEastAsia"/>
                <w:color w:val="auto"/>
                <w:kern w:val="0"/>
                <w:sz w:val="15"/>
                <w:szCs w:val="15"/>
                <w:highlight w:val="none"/>
                <w:lang w:val="en-US" w:eastAsia="zh-CN" w:bidi="ar"/>
              </w:rPr>
              <w:t>4.</w:t>
            </w:r>
            <w:r>
              <w:rPr>
                <w:rFonts w:hint="eastAsia" w:cs="仿宋_GB2312" w:asciiTheme="minorEastAsia" w:hAnsiTheme="minorEastAsia" w:eastAsiaTheme="minorEastAsia"/>
                <w:color w:val="auto"/>
                <w:kern w:val="0"/>
                <w:sz w:val="15"/>
                <w:szCs w:val="15"/>
                <w:highlight w:val="none"/>
                <w:lang w:bidi="ar"/>
              </w:rPr>
              <w:t>存在基准2.1.3规定情形的，系数按照相关规定确定。</w:t>
            </w:r>
          </w:p>
        </w:tc>
        <w:tc>
          <w:tcPr>
            <w:tcW w:w="1875" w:type="dxa"/>
            <w:gridSpan w:val="2"/>
            <w:shd w:val="clear" w:color="auto" w:fill="auto"/>
            <w:vAlign w:val="center"/>
          </w:tcPr>
          <w:p w14:paraId="14CCCDD9">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US" w:eastAsia="zh-CN" w:bidi="ar-SA"/>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2</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情节系数</w:t>
            </w:r>
            <w:r>
              <w:rPr>
                <w:rFonts w:hint="eastAsia" w:cs="仿宋_GB2312" w:asciiTheme="minorEastAsia" w:hAnsiTheme="minorEastAsia" w:eastAsiaTheme="minorEastAsia"/>
                <w:color w:val="auto"/>
                <w:sz w:val="15"/>
                <w:szCs w:val="15"/>
                <w:highlight w:val="none"/>
              </w:rPr>
              <w:t>）</w:t>
            </w:r>
          </w:p>
        </w:tc>
        <w:tc>
          <w:tcPr>
            <w:tcW w:w="1982" w:type="dxa"/>
            <w:gridSpan w:val="2"/>
            <w:shd w:val="clear" w:color="auto" w:fill="auto"/>
            <w:vAlign w:val="center"/>
          </w:tcPr>
          <w:p w14:paraId="2C19408A">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kern w:val="2"/>
                <w:sz w:val="15"/>
                <w:szCs w:val="15"/>
                <w:highlight w:val="none"/>
                <w:lang w:val="en" w:eastAsia="zh-CN" w:bidi="ar-SA"/>
              </w:rPr>
            </w:pPr>
            <w:r>
              <w:rPr>
                <w:rFonts w:hint="eastAsia" w:cs="仿宋_GB2312" w:asciiTheme="minorEastAsia" w:hAnsiTheme="minorEastAsia" w:eastAsiaTheme="minorEastAsia"/>
                <w:strike w:val="0"/>
                <w:dstrike w:val="0"/>
                <w:color w:val="auto"/>
                <w:sz w:val="15"/>
                <w:szCs w:val="15"/>
                <w:highlight w:val="none"/>
                <w:lang w:val="en"/>
              </w:rPr>
              <w:t>拒不改正的情形，不</w:t>
            </w:r>
            <w:r>
              <w:rPr>
                <w:rFonts w:hint="eastAsia" w:cs="仿宋_GB2312" w:asciiTheme="minorEastAsia" w:hAnsiTheme="minorEastAsia" w:eastAsiaTheme="minorEastAsia"/>
                <w:strike w:val="0"/>
                <w:dstrike w:val="0"/>
                <w:color w:val="auto"/>
                <w:sz w:val="15"/>
                <w:szCs w:val="15"/>
                <w:highlight w:val="none"/>
                <w:lang w:val="en" w:eastAsia="zh-CN"/>
              </w:rPr>
              <w:t>计入</w:t>
            </w:r>
            <w:r>
              <w:rPr>
                <w:rFonts w:hint="eastAsia" w:cs="仿宋_GB2312" w:asciiTheme="minorEastAsia" w:hAnsiTheme="minorEastAsia" w:eastAsiaTheme="minorEastAsia"/>
                <w:strike w:val="0"/>
                <w:dstrike w:val="0"/>
                <w:color w:val="auto"/>
                <w:sz w:val="15"/>
                <w:szCs w:val="15"/>
                <w:highlight w:val="none"/>
                <w:lang w:val="en"/>
              </w:rPr>
              <w:t>本项</w:t>
            </w:r>
            <w:r>
              <w:rPr>
                <w:rFonts w:hint="eastAsia" w:cs="仿宋_GB2312" w:asciiTheme="minorEastAsia" w:hAnsiTheme="minorEastAsia" w:eastAsiaTheme="minorEastAsia"/>
                <w:strike w:val="0"/>
                <w:dstrike w:val="0"/>
                <w:color w:val="auto"/>
                <w:sz w:val="15"/>
                <w:szCs w:val="15"/>
                <w:highlight w:val="none"/>
                <w:lang w:val="en" w:eastAsia="zh-CN"/>
              </w:rPr>
              <w:t>情节系数</w:t>
            </w:r>
            <w:r>
              <w:rPr>
                <w:rFonts w:hint="eastAsia" w:cs="仿宋_GB2312" w:asciiTheme="minorEastAsia" w:hAnsiTheme="minorEastAsia" w:eastAsiaTheme="minorEastAsia"/>
                <w:strike w:val="0"/>
                <w:dstrike w:val="0"/>
                <w:color w:val="auto"/>
                <w:sz w:val="15"/>
                <w:szCs w:val="15"/>
                <w:highlight w:val="none"/>
                <w:lang w:val="en"/>
              </w:rPr>
              <w:t>。</w:t>
            </w:r>
          </w:p>
        </w:tc>
      </w:tr>
      <w:tr w14:paraId="1A3DB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604" w:hRule="atLeast"/>
          <w:jc w:val="center"/>
        </w:trPr>
        <w:tc>
          <w:tcPr>
            <w:tcW w:w="14203" w:type="dxa"/>
            <w:gridSpan w:val="13"/>
            <w:shd w:val="clear" w:color="auto" w:fill="auto"/>
            <w:vAlign w:val="center"/>
          </w:tcPr>
          <w:p w14:paraId="79B905CE">
            <w:pPr>
              <w:pStyle w:val="2"/>
              <w:keepNext w:val="0"/>
              <w:keepLines w:val="0"/>
              <w:rPr>
                <w:rFonts w:hint="eastAsia" w:asciiTheme="minorEastAsia" w:hAnsiTheme="minorEastAsia" w:eastAsiaTheme="minorEastAsia"/>
                <w:color w:val="auto"/>
                <w:sz w:val="21"/>
                <w:szCs w:val="21"/>
                <w:highlight w:val="none"/>
                <w:lang w:val="en-US" w:eastAsia="zh-CN"/>
              </w:rPr>
            </w:pPr>
            <w:bookmarkStart w:id="192" w:name="_Toc6615783"/>
            <w:r>
              <w:rPr>
                <w:rFonts w:hint="eastAsia" w:ascii="黑体" w:hAnsi="黑体" w:eastAsia="黑体"/>
                <w:b w:val="0"/>
                <w:color w:val="auto"/>
                <w:sz w:val="28"/>
                <w:szCs w:val="28"/>
                <w:highlight w:val="none"/>
                <w:lang w:val="en-US" w:eastAsia="zh-CN"/>
              </w:rPr>
              <w:t>安全生产管理方面</w:t>
            </w:r>
            <w:bookmarkEnd w:id="192"/>
          </w:p>
        </w:tc>
      </w:tr>
      <w:tr w14:paraId="49A1A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1" w:hRule="atLeast"/>
          <w:jc w:val="center"/>
        </w:trPr>
        <w:tc>
          <w:tcPr>
            <w:tcW w:w="14203" w:type="dxa"/>
            <w:gridSpan w:val="13"/>
            <w:shd w:val="clear" w:color="auto" w:fill="auto"/>
            <w:vAlign w:val="center"/>
          </w:tcPr>
          <w:p w14:paraId="779E4BA6">
            <w:pPr>
              <w:pStyle w:val="3"/>
              <w:bidi w:val="0"/>
              <w:jc w:val="center"/>
              <w:rPr>
                <w:rFonts w:hint="eastAsia" w:ascii="宋体" w:hAnsi="宋体" w:eastAsia="宋体" w:cs="宋体"/>
                <w:color w:val="auto"/>
                <w:highlight w:val="none"/>
                <w:lang w:eastAsia="zh-Hans"/>
              </w:rPr>
            </w:pPr>
            <w:bookmarkStart w:id="193" w:name="_Toc1198055408"/>
            <w:r>
              <w:rPr>
                <w:rFonts w:hint="eastAsia" w:asciiTheme="minorEastAsia" w:hAnsiTheme="minorEastAsia" w:eastAsiaTheme="minorEastAsia" w:cstheme="minorEastAsia"/>
                <w:color w:val="auto"/>
                <w:sz w:val="21"/>
                <w:szCs w:val="21"/>
                <w:highlight w:val="none"/>
                <w:lang w:eastAsia="zh-Hans"/>
              </w:rPr>
              <w:t>《中华人民共和国安全生产法》</w:t>
            </w:r>
            <w:r>
              <w:rPr>
                <w:rFonts w:hint="eastAsia" w:asciiTheme="minorEastAsia" w:hAnsiTheme="minorEastAsia" w:eastAsiaTheme="minorEastAsia" w:cstheme="minorEastAsia"/>
                <w:color w:val="auto"/>
                <w:sz w:val="21"/>
                <w:szCs w:val="21"/>
                <w:highlight w:val="none"/>
              </w:rPr>
              <w:t>《北京市安全生产条例》</w:t>
            </w:r>
            <w:r>
              <w:rPr>
                <w:rFonts w:hint="eastAsia" w:asciiTheme="minorEastAsia" w:hAnsiTheme="minorEastAsia" w:eastAsiaTheme="minorEastAsia" w:cstheme="minorEastAsia"/>
                <w:color w:val="auto"/>
                <w:sz w:val="21"/>
                <w:szCs w:val="21"/>
                <w:highlight w:val="none"/>
                <w:lang w:eastAsia="zh-Hans"/>
              </w:rPr>
              <w:t>案由</w:t>
            </w:r>
            <w:r>
              <w:rPr>
                <w:rFonts w:hint="eastAsia" w:asciiTheme="minorEastAsia" w:hAnsiTheme="minorEastAsia" w:eastAsiaTheme="minorEastAsia" w:cstheme="minorEastAsia"/>
                <w:b w:val="0"/>
                <w:bCs w:val="0"/>
                <w:color w:val="auto"/>
                <w:sz w:val="21"/>
                <w:szCs w:val="21"/>
                <w:highlight w:val="none"/>
                <w:lang w:val="en-US" w:eastAsia="zh-CN"/>
              </w:rPr>
              <w:t>4</w:t>
            </w:r>
            <w:r>
              <w:rPr>
                <w:rFonts w:hint="default" w:asciiTheme="minorEastAsia" w:hAnsiTheme="minorEastAsia" w:eastAsiaTheme="minorEastAsia" w:cstheme="minorEastAsia"/>
                <w:b w:val="0"/>
                <w:bCs w:val="0"/>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lang w:eastAsia="zh-Hans"/>
              </w:rPr>
              <w:t>项</w:t>
            </w:r>
            <w:bookmarkEnd w:id="193"/>
          </w:p>
        </w:tc>
      </w:tr>
      <w:tr w14:paraId="71ADC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47" w:hRule="atLeast"/>
          <w:jc w:val="center"/>
        </w:trPr>
        <w:tc>
          <w:tcPr>
            <w:tcW w:w="610" w:type="dxa"/>
            <w:vMerge w:val="restart"/>
            <w:shd w:val="clear" w:color="auto" w:fill="auto"/>
            <w:vAlign w:val="center"/>
          </w:tcPr>
          <w:p w14:paraId="0BFE3C07">
            <w:pPr>
              <w:spacing w:line="232" w:lineRule="exact"/>
              <w:ind w:left="6" w:hanging="21"/>
              <w:jc w:val="center"/>
              <w:rPr>
                <w:rFonts w:cs="宋体" w:asciiTheme="minorEastAsia" w:hAnsiTheme="minorEastAsia" w:eastAsiaTheme="minorEastAsia"/>
                <w:color w:val="auto"/>
                <w:kern w:val="0"/>
                <w:sz w:val="15"/>
                <w:szCs w:val="15"/>
                <w:highlight w:val="none"/>
              </w:rPr>
            </w:pPr>
          </w:p>
          <w:p w14:paraId="1F3AE054">
            <w:pPr>
              <w:spacing w:line="232" w:lineRule="exact"/>
              <w:ind w:left="6" w:hanging="21"/>
              <w:jc w:val="center"/>
              <w:rPr>
                <w:rFonts w:cs="宋体" w:asciiTheme="minorEastAsia" w:hAnsiTheme="minorEastAsia" w:eastAsiaTheme="minorEastAsia"/>
                <w:color w:val="auto"/>
                <w:kern w:val="0"/>
                <w:sz w:val="15"/>
                <w:szCs w:val="15"/>
                <w:highlight w:val="none"/>
              </w:rPr>
            </w:pPr>
          </w:p>
          <w:p w14:paraId="45648B53">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p w14:paraId="42F75FF2">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830" w:type="dxa"/>
            <w:gridSpan w:val="3"/>
            <w:vMerge w:val="restart"/>
            <w:shd w:val="clear" w:color="auto" w:fill="auto"/>
            <w:vAlign w:val="center"/>
          </w:tcPr>
          <w:p w14:paraId="761AA517">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主要负责人未履行安全生产管理职责</w:t>
            </w:r>
          </w:p>
        </w:tc>
        <w:tc>
          <w:tcPr>
            <w:tcW w:w="2789" w:type="dxa"/>
            <w:gridSpan w:val="2"/>
            <w:shd w:val="clear" w:color="auto" w:fill="auto"/>
            <w:vAlign w:val="center"/>
          </w:tcPr>
          <w:p w14:paraId="636C701D">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《中华人民共和国安全生产法》第二十一条第（一）项至第（七）项（根据实际选择）</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w:t>
            </w:r>
            <w:r>
              <w:rPr>
                <w:rFonts w:hint="eastAsia" w:asciiTheme="minorEastAsia" w:hAnsiTheme="minorEastAsia" w:eastAsiaTheme="minorEastAsia"/>
                <w:color w:val="auto"/>
                <w:spacing w:val="-4"/>
                <w:sz w:val="15"/>
                <w:szCs w:val="15"/>
                <w:highlight w:val="none"/>
              </w:rPr>
              <w:t>罚条款</w:t>
            </w:r>
            <w:r>
              <w:rPr>
                <w:rFonts w:hint="eastAsia" w:asciiTheme="minorEastAsia" w:hAnsiTheme="minorEastAsia" w:eastAsiaTheme="minorEastAsia"/>
                <w:color w:val="auto"/>
                <w:spacing w:val="-4"/>
                <w:sz w:val="15"/>
                <w:szCs w:val="15"/>
                <w:highlight w:val="none"/>
                <w:lang w:eastAsia="zh-CN"/>
              </w:rPr>
              <w:t>：</w:t>
            </w:r>
            <w:r>
              <w:rPr>
                <w:rFonts w:hint="eastAsia" w:asciiTheme="minorEastAsia" w:hAnsiTheme="minorEastAsia" w:eastAsiaTheme="minorEastAsia"/>
                <w:color w:val="auto"/>
                <w:spacing w:val="-4"/>
                <w:sz w:val="15"/>
                <w:szCs w:val="15"/>
                <w:highlight w:val="none"/>
              </w:rPr>
              <w:t>第九十四条第一款</w:t>
            </w:r>
            <w:r>
              <w:rPr>
                <w:rFonts w:hint="eastAsia" w:asciiTheme="minorEastAsia" w:hAnsiTheme="minorEastAsia" w:eastAsiaTheme="minorEastAsia"/>
                <w:color w:val="auto"/>
                <w:spacing w:val="-4"/>
                <w:sz w:val="15"/>
                <w:szCs w:val="15"/>
                <w:highlight w:val="none"/>
                <w:lang w:eastAsia="zh-CN"/>
              </w:rPr>
              <w:t>，</w:t>
            </w:r>
            <w:r>
              <w:rPr>
                <w:rFonts w:hint="eastAsia" w:asciiTheme="minorEastAsia" w:hAnsiTheme="minorEastAsia" w:eastAsiaTheme="minorEastAsia"/>
                <w:color w:val="auto"/>
                <w:spacing w:val="-4"/>
                <w:sz w:val="15"/>
                <w:szCs w:val="15"/>
                <w:highlight w:val="none"/>
              </w:rPr>
              <w:t>责令限期改正，处二万元以上五万元以下的罚款；逾期未改正的，处五万元以上十万元以下的罚款，责令生产经营单位停产停业整顿。</w:t>
            </w:r>
          </w:p>
        </w:tc>
        <w:tc>
          <w:tcPr>
            <w:tcW w:w="6992" w:type="dxa"/>
            <w:gridSpan w:val="5"/>
            <w:shd w:val="clear" w:color="auto" w:fill="auto"/>
            <w:vAlign w:val="center"/>
          </w:tcPr>
          <w:p w14:paraId="2E54E0B4">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14:paraId="6259F6BB">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p>
        </w:tc>
        <w:tc>
          <w:tcPr>
            <w:tcW w:w="1982" w:type="dxa"/>
            <w:gridSpan w:val="2"/>
            <w:shd w:val="clear" w:color="auto" w:fill="auto"/>
            <w:vAlign w:val="center"/>
          </w:tcPr>
          <w:p w14:paraId="20F008B0">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p>
        </w:tc>
      </w:tr>
      <w:tr w14:paraId="0688D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85" w:hRule="atLeast"/>
          <w:jc w:val="center"/>
        </w:trPr>
        <w:tc>
          <w:tcPr>
            <w:tcW w:w="610" w:type="dxa"/>
            <w:vMerge w:val="continue"/>
            <w:shd w:val="clear" w:color="auto" w:fill="auto"/>
            <w:vAlign w:val="center"/>
          </w:tcPr>
          <w:p w14:paraId="605D3931">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7BBB4288">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14:paraId="62F319A2">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违反条款：《北京市生产经营单位安全生产主体责任规定》第四条第（五）项、第（七）项（根据实际选择）；</w:t>
            </w:r>
          </w:p>
          <w:p w14:paraId="565F4E7F">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处罚条款：第三十四条第一款，责令改正；拒不改正的，责令停产停业整顿，并处2万元以上5万元以下罚款。</w:t>
            </w:r>
          </w:p>
        </w:tc>
        <w:tc>
          <w:tcPr>
            <w:tcW w:w="6992" w:type="dxa"/>
            <w:gridSpan w:val="5"/>
            <w:shd w:val="clear" w:color="auto" w:fill="auto"/>
            <w:vAlign w:val="center"/>
          </w:tcPr>
          <w:p w14:paraId="5DE3DEDB">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16640A5E">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2B788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6" w:hRule="atLeast"/>
          <w:jc w:val="center"/>
        </w:trPr>
        <w:tc>
          <w:tcPr>
            <w:tcW w:w="610" w:type="dxa"/>
            <w:vMerge w:val="restart"/>
            <w:shd w:val="clear" w:color="auto" w:fill="auto"/>
            <w:vAlign w:val="center"/>
          </w:tcPr>
          <w:p w14:paraId="57746AD6">
            <w:pPr>
              <w:spacing w:line="232" w:lineRule="exact"/>
              <w:ind w:left="6" w:leftChars="0" w:hanging="21" w:firstLineChars="0"/>
              <w:jc w:val="center"/>
              <w:rPr>
                <w:rFonts w:hint="default" w:asciiTheme="minorEastAsia" w:hAnsiTheme="minorEastAsia" w:eastAsiaTheme="minorEastAsia"/>
                <w:color w:val="auto"/>
                <w:sz w:val="15"/>
                <w:szCs w:val="15"/>
                <w:highlight w:val="none"/>
                <w:lang w:val="en-US"/>
              </w:rPr>
            </w:pPr>
            <w:r>
              <w:rPr>
                <w:rFonts w:hint="default" w:asciiTheme="minorEastAsia" w:hAnsiTheme="minorEastAsia" w:eastAsiaTheme="minorEastAsia"/>
                <w:color w:val="auto"/>
                <w:sz w:val="15"/>
                <w:szCs w:val="15"/>
                <w:highlight w:val="none"/>
                <w:lang w:val="en-US"/>
              </w:rPr>
              <w:t>2</w:t>
            </w:r>
          </w:p>
        </w:tc>
        <w:tc>
          <w:tcPr>
            <w:tcW w:w="1830" w:type="dxa"/>
            <w:gridSpan w:val="3"/>
            <w:vMerge w:val="restart"/>
            <w:shd w:val="clear" w:color="auto" w:fill="auto"/>
            <w:vAlign w:val="center"/>
          </w:tcPr>
          <w:p w14:paraId="7E5FA46C">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生产经营单位的决策机构、主要负责人或者个人经营的投资人未保证安全生产所必需的资金投入，致使生产经营单位不具备安全生产条件的且逾期未改正</w:t>
            </w:r>
          </w:p>
        </w:tc>
        <w:tc>
          <w:tcPr>
            <w:tcW w:w="2789" w:type="dxa"/>
            <w:gridSpan w:val="2"/>
            <w:shd w:val="clear" w:color="auto" w:fill="auto"/>
            <w:vAlign w:val="center"/>
          </w:tcPr>
          <w:p w14:paraId="22C902E0">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违反条款：《中华人民共和国安全生产法》第二十三条第一款；</w:t>
            </w:r>
          </w:p>
          <w:p w14:paraId="63EE5B6B">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三条第一款：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tc>
        <w:tc>
          <w:tcPr>
            <w:tcW w:w="6992" w:type="dxa"/>
            <w:gridSpan w:val="5"/>
            <w:shd w:val="clear" w:color="auto" w:fill="auto"/>
            <w:vAlign w:val="center"/>
          </w:tcPr>
          <w:p w14:paraId="5BA122E2">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4E6A37A8">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cs="宋体" w:asciiTheme="minorEastAsia" w:hAnsiTheme="minorEastAsia" w:eastAsiaTheme="minorEastAsia"/>
                <w:strike/>
                <w:dstrike w:val="0"/>
                <w:color w:val="auto"/>
                <w:kern w:val="0"/>
                <w:sz w:val="15"/>
                <w:szCs w:val="15"/>
                <w:highlight w:val="none"/>
              </w:rPr>
            </w:pPr>
          </w:p>
        </w:tc>
      </w:tr>
      <w:tr w14:paraId="15C14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6" w:hRule="atLeast"/>
          <w:jc w:val="center"/>
        </w:trPr>
        <w:tc>
          <w:tcPr>
            <w:tcW w:w="610" w:type="dxa"/>
            <w:vMerge w:val="continue"/>
            <w:shd w:val="clear" w:color="auto" w:fill="auto"/>
            <w:vAlign w:val="center"/>
          </w:tcPr>
          <w:p w14:paraId="11AC3D7E">
            <w:pPr>
              <w:spacing w:line="232" w:lineRule="exact"/>
              <w:ind w:left="6" w:leftChars="0" w:hanging="21" w:firstLineChars="0"/>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14:paraId="263499F6">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p>
        </w:tc>
        <w:tc>
          <w:tcPr>
            <w:tcW w:w="2789" w:type="dxa"/>
            <w:gridSpan w:val="2"/>
            <w:shd w:val="clear" w:color="auto" w:fill="auto"/>
            <w:vAlign w:val="center"/>
          </w:tcPr>
          <w:p w14:paraId="51131655">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违反条款：《北京市生产经营单位安全生产主体责任规定》第九条；</w:t>
            </w:r>
          </w:p>
          <w:p w14:paraId="5223E0C4">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三十五条第一款：生产经营单位未履行安全生产资金投入责任，致使生产经营单位不具备安全生产条件的，由负有安全生产监督管理职责的部门责令改正，提供必需的资金；拒不改正的，责令停产停业整顿。</w:t>
            </w:r>
          </w:p>
        </w:tc>
        <w:tc>
          <w:tcPr>
            <w:tcW w:w="6992" w:type="dxa"/>
            <w:gridSpan w:val="5"/>
            <w:shd w:val="clear" w:color="auto" w:fill="auto"/>
            <w:vAlign w:val="center"/>
          </w:tcPr>
          <w:p w14:paraId="246AE971">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3CA926FF">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cs="宋体" w:asciiTheme="minorEastAsia" w:hAnsiTheme="minorEastAsia" w:eastAsiaTheme="minorEastAsia"/>
                <w:strike/>
                <w:dstrike w:val="0"/>
                <w:color w:val="auto"/>
                <w:kern w:val="0"/>
                <w:sz w:val="15"/>
                <w:szCs w:val="15"/>
                <w:highlight w:val="none"/>
              </w:rPr>
            </w:pPr>
          </w:p>
        </w:tc>
      </w:tr>
      <w:tr w14:paraId="7A3DF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36" w:hRule="atLeast"/>
          <w:jc w:val="center"/>
        </w:trPr>
        <w:tc>
          <w:tcPr>
            <w:tcW w:w="610" w:type="dxa"/>
            <w:vMerge w:val="restart"/>
            <w:shd w:val="clear" w:color="auto" w:fill="auto"/>
            <w:vAlign w:val="center"/>
          </w:tcPr>
          <w:p w14:paraId="6B3654E6">
            <w:pPr>
              <w:spacing w:line="232" w:lineRule="exact"/>
              <w:jc w:val="center"/>
              <w:rPr>
                <w:rFonts w:asciiTheme="minorEastAsia" w:hAnsiTheme="minorEastAsia" w:eastAsiaTheme="minorEastAsia"/>
                <w:color w:val="auto"/>
                <w:sz w:val="15"/>
                <w:szCs w:val="15"/>
                <w:highlight w:val="none"/>
              </w:rPr>
            </w:pPr>
            <w:r>
              <w:rPr>
                <w:rFonts w:hint="default" w:asciiTheme="minorEastAsia" w:hAnsiTheme="minorEastAsia" w:eastAsiaTheme="minorEastAsia"/>
                <w:color w:val="auto"/>
                <w:sz w:val="15"/>
                <w:szCs w:val="15"/>
                <w:highlight w:val="none"/>
                <w:lang w:val="en-US"/>
              </w:rPr>
              <w:t>3</w:t>
            </w:r>
          </w:p>
        </w:tc>
        <w:tc>
          <w:tcPr>
            <w:tcW w:w="1830" w:type="dxa"/>
            <w:gridSpan w:val="3"/>
            <w:vMerge w:val="restart"/>
            <w:shd w:val="clear" w:color="auto" w:fill="auto"/>
            <w:vAlign w:val="center"/>
          </w:tcPr>
          <w:p w14:paraId="38AD02BC">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生产经营单位未按照规定设置安全生产管理机构或者配备安全生产管理人员</w:t>
            </w:r>
          </w:p>
        </w:tc>
        <w:tc>
          <w:tcPr>
            <w:tcW w:w="2789" w:type="dxa"/>
            <w:gridSpan w:val="2"/>
            <w:shd w:val="clear" w:color="auto" w:fill="auto"/>
            <w:vAlign w:val="center"/>
          </w:tcPr>
          <w:p w14:paraId="2C603791">
            <w:pPr>
              <w:keepNext w:val="0"/>
              <w:keepLines w:val="0"/>
              <w:pageBreakBefore w:val="0"/>
              <w:widowControl w:val="0"/>
              <w:kinsoku/>
              <w:wordWrap/>
              <w:overflowPunct/>
              <w:topLinePunct w:val="0"/>
              <w:autoSpaceDE/>
              <w:autoSpaceDN/>
              <w:bidi w:val="0"/>
              <w:adjustRightInd/>
              <w:snapToGrid/>
              <w:spacing w:line="240" w:lineRule="auto"/>
              <w:jc w:val="both"/>
              <w:textAlignment w:val="auto"/>
              <w:rPr>
                <w:color w:val="auto"/>
                <w:highlight w:val="none"/>
              </w:rPr>
            </w:pPr>
            <w:r>
              <w:rPr>
                <w:rFonts w:hint="eastAsia" w:asciiTheme="minorEastAsia" w:hAnsiTheme="minorEastAsia" w:eastAsiaTheme="minorEastAsia"/>
                <w:color w:val="auto"/>
                <w:sz w:val="15"/>
                <w:szCs w:val="15"/>
                <w:highlight w:val="none"/>
              </w:rPr>
              <w:t>违反条款：《中华人民共和国安全生产法》第二十四条第二款；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14:paraId="54B5B799">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14:paraId="3ABFA9E5">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strike/>
                <w:dstrike w:val="0"/>
                <w:color w:val="auto"/>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14:paraId="3F58F272">
            <w:pPr>
              <w:keepNext w:val="0"/>
              <w:keepLines w:val="0"/>
              <w:pageBreakBefore w:val="0"/>
              <w:kinsoku/>
              <w:wordWrap/>
              <w:overflowPunct/>
              <w:topLinePunct w:val="0"/>
              <w:autoSpaceDE/>
              <w:autoSpaceDN/>
              <w:bidi w:val="0"/>
              <w:adjustRightInd/>
              <w:snapToGrid/>
              <w:spacing w:line="240" w:lineRule="auto"/>
              <w:jc w:val="both"/>
              <w:textAlignment w:val="auto"/>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14:paraId="2FCF9812">
            <w:pPr>
              <w:keepNext w:val="0"/>
              <w:keepLines w:val="0"/>
              <w:pageBreakBefore w:val="0"/>
              <w:kinsoku/>
              <w:wordWrap/>
              <w:overflowPunct/>
              <w:topLinePunct w:val="0"/>
              <w:autoSpaceDE/>
              <w:autoSpaceDN/>
              <w:bidi w:val="0"/>
              <w:adjustRightInd/>
              <w:snapToGrid/>
              <w:spacing w:line="240" w:lineRule="auto"/>
              <w:jc w:val="both"/>
              <w:textAlignment w:val="auto"/>
              <w:rPr>
                <w:rFonts w:cs="宋体" w:asciiTheme="minorEastAsia" w:hAnsiTheme="minorEastAsia" w:eastAsiaTheme="minorEastAsia"/>
                <w:strike/>
                <w:dstrike w:val="0"/>
                <w:color w:val="auto"/>
                <w:kern w:val="0"/>
                <w:sz w:val="15"/>
                <w:szCs w:val="15"/>
                <w:highlight w:val="none"/>
              </w:rPr>
            </w:pPr>
          </w:p>
        </w:tc>
      </w:tr>
      <w:tr w14:paraId="069C7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58" w:hRule="atLeast"/>
          <w:jc w:val="center"/>
        </w:trPr>
        <w:tc>
          <w:tcPr>
            <w:tcW w:w="610" w:type="dxa"/>
            <w:vMerge w:val="continue"/>
            <w:shd w:val="clear" w:color="auto" w:fill="auto"/>
            <w:vAlign w:val="center"/>
          </w:tcPr>
          <w:p w14:paraId="1A95AF28">
            <w:pPr>
              <w:spacing w:line="232" w:lineRule="exact"/>
              <w:jc w:val="center"/>
              <w:rPr>
                <w:rFonts w:asciiTheme="minorEastAsia" w:hAnsiTheme="minorEastAsia" w:eastAsiaTheme="minorEastAsia"/>
                <w:color w:val="auto"/>
                <w:sz w:val="15"/>
                <w:szCs w:val="15"/>
                <w:highlight w:val="none"/>
              </w:rPr>
            </w:pPr>
          </w:p>
        </w:tc>
        <w:tc>
          <w:tcPr>
            <w:tcW w:w="1830" w:type="dxa"/>
            <w:gridSpan w:val="3"/>
            <w:vMerge w:val="continue"/>
            <w:shd w:val="clear" w:color="auto" w:fill="auto"/>
            <w:vAlign w:val="center"/>
          </w:tcPr>
          <w:p w14:paraId="54A71273">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14:paraId="6FA7BE0E">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违反条款：《北京市安全生产条例》第二十条； </w:t>
            </w:r>
          </w:p>
          <w:p w14:paraId="7DB4009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处罚条款：第五十八条第（一）款，责令限期改正，处十万元以下的罚款；逾期未改正的，责令停产停业整顿，并处十万元以上二十万元以下的罚款，对其直接负责的主管人员和其他直接责任人员处二万元以上五万元以下的罚款。 </w:t>
            </w:r>
          </w:p>
        </w:tc>
        <w:tc>
          <w:tcPr>
            <w:tcW w:w="6992" w:type="dxa"/>
            <w:gridSpan w:val="5"/>
            <w:shd w:val="clear" w:color="auto" w:fill="auto"/>
            <w:vAlign w:val="center"/>
          </w:tcPr>
          <w:p w14:paraId="26073768">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39E72121">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p>
        </w:tc>
      </w:tr>
      <w:tr w14:paraId="79613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07" w:hRule="atLeast"/>
          <w:jc w:val="center"/>
        </w:trPr>
        <w:tc>
          <w:tcPr>
            <w:tcW w:w="610" w:type="dxa"/>
            <w:shd w:val="clear" w:color="auto" w:fill="auto"/>
            <w:vAlign w:val="center"/>
          </w:tcPr>
          <w:p w14:paraId="505AD9D4">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4</w:t>
            </w:r>
          </w:p>
        </w:tc>
        <w:tc>
          <w:tcPr>
            <w:tcW w:w="1830" w:type="dxa"/>
            <w:gridSpan w:val="3"/>
            <w:shd w:val="clear" w:color="auto" w:fill="auto"/>
            <w:vAlign w:val="center"/>
          </w:tcPr>
          <w:p w14:paraId="53AEB077">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生产经营单位其他负责人和安全生产管理人员未履行本法规定的安全生产管理职责</w:t>
            </w:r>
          </w:p>
        </w:tc>
        <w:tc>
          <w:tcPr>
            <w:tcW w:w="2789" w:type="dxa"/>
            <w:gridSpan w:val="2"/>
            <w:shd w:val="clear" w:color="auto" w:fill="auto"/>
            <w:vAlign w:val="center"/>
          </w:tcPr>
          <w:p w14:paraId="799E873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违反条款：《中华人民共和国安全生产法》第二十五条第一款第（一）项至第（七）项（根据实际选择）；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处罚条款：第九十六条，责令限期改正，处一万元以上三万元以下的罚款；…构成犯罪的，依照刑法有关规定追究刑事责任。</w:t>
            </w:r>
          </w:p>
        </w:tc>
        <w:tc>
          <w:tcPr>
            <w:tcW w:w="6992" w:type="dxa"/>
            <w:gridSpan w:val="5"/>
            <w:shd w:val="clear" w:color="auto" w:fill="auto"/>
            <w:vAlign w:val="center"/>
          </w:tcPr>
          <w:p w14:paraId="734BC315">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14:paraId="32B1FC11">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cs="宋体" w:asciiTheme="minorEastAsia" w:hAnsiTheme="minorEastAsia" w:eastAsiaTheme="minorEastAsia"/>
                <w:strike/>
                <w:dstrike w:val="0"/>
                <w:color w:val="auto"/>
                <w:kern w:val="0"/>
                <w:sz w:val="15"/>
                <w:szCs w:val="15"/>
                <w:highlight w:val="none"/>
                <w:lang w:val="en-US" w:eastAsia="zh-CN" w:bidi="ar-SA"/>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385BE890">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525A3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407" w:hRule="atLeast"/>
          <w:jc w:val="center"/>
        </w:trPr>
        <w:tc>
          <w:tcPr>
            <w:tcW w:w="610" w:type="dxa"/>
            <w:shd w:val="clear" w:color="auto" w:fill="auto"/>
            <w:vAlign w:val="center"/>
          </w:tcPr>
          <w:p w14:paraId="6734A703">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5</w:t>
            </w:r>
          </w:p>
        </w:tc>
        <w:tc>
          <w:tcPr>
            <w:tcW w:w="1830" w:type="dxa"/>
            <w:gridSpan w:val="3"/>
            <w:shd w:val="clear" w:color="auto" w:fill="auto"/>
            <w:vAlign w:val="center"/>
          </w:tcPr>
          <w:p w14:paraId="1FF27314">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生产经营单位危险物品的生产、经营、储存单位以及建筑施工单位的主要负责人和安全生产管理人员未按照规定经考核合格</w:t>
            </w:r>
          </w:p>
        </w:tc>
        <w:tc>
          <w:tcPr>
            <w:tcW w:w="2789" w:type="dxa"/>
            <w:gridSpan w:val="2"/>
            <w:shd w:val="clear" w:color="auto" w:fill="auto"/>
            <w:vAlign w:val="center"/>
          </w:tcPr>
          <w:p w14:paraId="23947D1C">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违反条款：《中华人民共和国安全生产法》第二十七条第二款；</w:t>
            </w:r>
          </w:p>
          <w:p w14:paraId="10A792AC">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七条第（二）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14:paraId="77832DFF">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31B7D961">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25232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972" w:hRule="atLeast"/>
          <w:jc w:val="center"/>
        </w:trPr>
        <w:tc>
          <w:tcPr>
            <w:tcW w:w="610" w:type="dxa"/>
            <w:vMerge w:val="restart"/>
            <w:shd w:val="clear" w:color="auto" w:fill="auto"/>
            <w:vAlign w:val="center"/>
          </w:tcPr>
          <w:p w14:paraId="48E279B4">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6</w:t>
            </w:r>
          </w:p>
        </w:tc>
        <w:tc>
          <w:tcPr>
            <w:tcW w:w="1830" w:type="dxa"/>
            <w:gridSpan w:val="3"/>
            <w:vMerge w:val="restart"/>
            <w:shd w:val="clear" w:color="auto" w:fill="auto"/>
            <w:vAlign w:val="center"/>
          </w:tcPr>
          <w:p w14:paraId="6376AA06">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未按照规定对从业人员、被派遣劳动者、实习学生进行安全生产教育和培训</w:t>
            </w:r>
          </w:p>
        </w:tc>
        <w:tc>
          <w:tcPr>
            <w:tcW w:w="2789" w:type="dxa"/>
            <w:gridSpan w:val="2"/>
            <w:shd w:val="clear" w:color="auto" w:fill="auto"/>
            <w:vAlign w:val="center"/>
          </w:tcPr>
          <w:p w14:paraId="0A60231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违反条款：《中华人民共和国安全生产法》第二十八条第一款、第二款、第三款、第二十九条（根据实际选择）；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14:paraId="2CFDCDE4">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rPr>
            </w:pPr>
          </w:p>
          <w:p w14:paraId="5B54BFB8">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14:paraId="44C4E2EB">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14:paraId="7DB6344B">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tc>
      </w:tr>
      <w:tr w14:paraId="1A081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141" w:hRule="atLeast"/>
          <w:jc w:val="center"/>
        </w:trPr>
        <w:tc>
          <w:tcPr>
            <w:tcW w:w="610" w:type="dxa"/>
            <w:vMerge w:val="continue"/>
            <w:shd w:val="clear" w:color="auto" w:fill="auto"/>
            <w:vAlign w:val="center"/>
          </w:tcPr>
          <w:p w14:paraId="1B8C159B">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6BA78482">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14:paraId="0746E1F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b/>
                <w:bCs/>
                <w:color w:val="auto"/>
                <w:sz w:val="15"/>
                <w:szCs w:val="15"/>
                <w:highlight w:val="none"/>
              </w:rPr>
            </w:pPr>
            <w:r>
              <w:rPr>
                <w:rFonts w:hint="eastAsia" w:asciiTheme="minorEastAsia" w:hAnsiTheme="minorEastAsia" w:eastAsiaTheme="minorEastAsia"/>
                <w:b/>
                <w:bCs/>
                <w:color w:val="auto"/>
                <w:sz w:val="15"/>
                <w:szCs w:val="15"/>
                <w:highlight w:val="none"/>
              </w:rPr>
              <w:t>（适用于对从业人员开展安全生产教育培训）</w:t>
            </w:r>
          </w:p>
          <w:p w14:paraId="14D968AF">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违反条款：《北京市安全生产条例》</w:t>
            </w:r>
            <w:r>
              <w:rPr>
                <w:rFonts w:hint="eastAsia" w:asciiTheme="minorEastAsia" w:hAnsiTheme="minorEastAsia" w:eastAsiaTheme="minorEastAsia"/>
                <w:color w:val="auto"/>
                <w:sz w:val="15"/>
                <w:szCs w:val="15"/>
                <w:highlight w:val="none"/>
              </w:rPr>
              <w:t>第二十二条；</w:t>
            </w:r>
          </w:p>
          <w:p w14:paraId="54C4CA3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处罚条款：第五十八条第（二）</w:t>
            </w:r>
            <w:r>
              <w:rPr>
                <w:rFonts w:hint="eastAsia" w:asciiTheme="minorEastAsia" w:hAnsiTheme="minorEastAsia" w:eastAsiaTheme="minorEastAsia"/>
                <w:color w:val="auto"/>
                <w:sz w:val="15"/>
                <w:szCs w:val="15"/>
                <w:highlight w:val="none"/>
                <w:lang w:eastAsia="zh-CN"/>
              </w:rPr>
              <w:t>项</w:t>
            </w:r>
            <w:r>
              <w:rPr>
                <w:rFonts w:hint="eastAsia" w:asciiTheme="minorEastAsia" w:hAnsiTheme="minorEastAsia" w:eastAsiaTheme="minorEastAsia"/>
                <w:color w:val="auto"/>
                <w:sz w:val="15"/>
                <w:szCs w:val="15"/>
                <w:highlight w:val="none"/>
              </w:rPr>
              <w:t xml:space="preserve">，责令限期改正，处十万元以下的罚款；逾期未改正的，责令停产停业整顿，并处十万元以上二十万元以下的罚款，对其直接负责的主管人员和其他直接责任人员处二万元以上五万元以下的罚款。 </w:t>
            </w:r>
          </w:p>
        </w:tc>
        <w:tc>
          <w:tcPr>
            <w:tcW w:w="6992" w:type="dxa"/>
            <w:gridSpan w:val="5"/>
            <w:shd w:val="clear" w:color="auto" w:fill="auto"/>
            <w:vAlign w:val="center"/>
          </w:tcPr>
          <w:p w14:paraId="58F848A2">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09862F50">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color w:val="auto"/>
                <w:kern w:val="0"/>
                <w:sz w:val="15"/>
                <w:szCs w:val="15"/>
                <w:highlight w:val="none"/>
              </w:rPr>
            </w:pPr>
          </w:p>
        </w:tc>
      </w:tr>
      <w:tr w14:paraId="27ED2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667" w:hRule="atLeast"/>
          <w:jc w:val="center"/>
        </w:trPr>
        <w:tc>
          <w:tcPr>
            <w:tcW w:w="610" w:type="dxa"/>
            <w:shd w:val="clear" w:color="auto" w:fill="auto"/>
            <w:vAlign w:val="center"/>
          </w:tcPr>
          <w:p w14:paraId="1B76850A">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7</w:t>
            </w:r>
          </w:p>
        </w:tc>
        <w:tc>
          <w:tcPr>
            <w:tcW w:w="1830" w:type="dxa"/>
            <w:gridSpan w:val="3"/>
            <w:shd w:val="clear" w:color="auto" w:fill="auto"/>
            <w:vAlign w:val="center"/>
          </w:tcPr>
          <w:p w14:paraId="6645D529">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未如实记录安全生产教育和培训情况</w:t>
            </w:r>
          </w:p>
        </w:tc>
        <w:tc>
          <w:tcPr>
            <w:tcW w:w="2789" w:type="dxa"/>
            <w:gridSpan w:val="2"/>
            <w:shd w:val="clear" w:color="auto" w:fill="auto"/>
            <w:vAlign w:val="center"/>
          </w:tcPr>
          <w:p w14:paraId="2B057AA0">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违反条款：《中华人民共和国安全生产法》第二十八条第四款；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14:paraId="0DBB88D2">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14:paraId="5CFDEF15">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14:paraId="4A003C23">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14:paraId="2DFB53CF">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tc>
      </w:tr>
      <w:tr w14:paraId="02D4E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55" w:hRule="atLeast"/>
          <w:jc w:val="center"/>
        </w:trPr>
        <w:tc>
          <w:tcPr>
            <w:tcW w:w="610" w:type="dxa"/>
            <w:shd w:val="clear" w:color="auto" w:fill="auto"/>
            <w:vAlign w:val="center"/>
          </w:tcPr>
          <w:p w14:paraId="1FF43B2E">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8</w:t>
            </w:r>
          </w:p>
        </w:tc>
        <w:tc>
          <w:tcPr>
            <w:tcW w:w="1830" w:type="dxa"/>
            <w:gridSpan w:val="3"/>
            <w:shd w:val="clear" w:color="auto" w:fill="auto"/>
            <w:vAlign w:val="center"/>
          </w:tcPr>
          <w:p w14:paraId="430C7664">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生产经营单位特种作业人员未按照规定经专门的安全作业培训并取得相应资格，上岗作业</w:t>
            </w:r>
          </w:p>
        </w:tc>
        <w:tc>
          <w:tcPr>
            <w:tcW w:w="2789" w:type="dxa"/>
            <w:gridSpan w:val="2"/>
            <w:shd w:val="clear" w:color="auto" w:fill="auto"/>
            <w:vAlign w:val="center"/>
          </w:tcPr>
          <w:p w14:paraId="28DE5456">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违反条款：《中华人民共和国安全生产法》第三十条第一款；</w:t>
            </w:r>
          </w:p>
          <w:p w14:paraId="44741072">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七条第（七）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14:paraId="15268260">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1CDA2173">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127E9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55" w:hRule="atLeast"/>
          <w:jc w:val="center"/>
        </w:trPr>
        <w:tc>
          <w:tcPr>
            <w:tcW w:w="610" w:type="dxa"/>
            <w:shd w:val="clear" w:color="auto" w:fill="auto"/>
            <w:vAlign w:val="center"/>
          </w:tcPr>
          <w:p w14:paraId="17F9B8B0">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9</w:t>
            </w:r>
          </w:p>
        </w:tc>
        <w:tc>
          <w:tcPr>
            <w:tcW w:w="1830" w:type="dxa"/>
            <w:gridSpan w:val="3"/>
            <w:shd w:val="clear" w:color="auto" w:fill="auto"/>
            <w:vAlign w:val="center"/>
          </w:tcPr>
          <w:p w14:paraId="43BF541E">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用于生产、储存、装卸危险物品的建设项目安全设施设计未按照规定报经有关部门审查同意</w:t>
            </w:r>
          </w:p>
        </w:tc>
        <w:tc>
          <w:tcPr>
            <w:tcW w:w="2789" w:type="dxa"/>
            <w:gridSpan w:val="2"/>
            <w:shd w:val="clear" w:color="auto" w:fill="auto"/>
            <w:vAlign w:val="center"/>
          </w:tcPr>
          <w:p w14:paraId="3A311287">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违反条款：《中华人民共和国安全生产法》第三十三条第二款；</w:t>
            </w:r>
          </w:p>
          <w:p w14:paraId="18CA4AD1">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八条第（二）项，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tc>
        <w:tc>
          <w:tcPr>
            <w:tcW w:w="6992" w:type="dxa"/>
            <w:gridSpan w:val="5"/>
            <w:shd w:val="clear" w:color="auto" w:fill="auto"/>
            <w:vAlign w:val="center"/>
          </w:tcPr>
          <w:p w14:paraId="32BEF839">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139528BC">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31503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55" w:hRule="atLeast"/>
          <w:jc w:val="center"/>
        </w:trPr>
        <w:tc>
          <w:tcPr>
            <w:tcW w:w="610" w:type="dxa"/>
            <w:shd w:val="clear" w:color="auto" w:fill="auto"/>
            <w:vAlign w:val="center"/>
          </w:tcPr>
          <w:p w14:paraId="33ED8B1E">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10</w:t>
            </w:r>
          </w:p>
        </w:tc>
        <w:tc>
          <w:tcPr>
            <w:tcW w:w="1830" w:type="dxa"/>
            <w:gridSpan w:val="3"/>
            <w:shd w:val="clear" w:color="auto" w:fill="auto"/>
            <w:vAlign w:val="center"/>
          </w:tcPr>
          <w:p w14:paraId="1E87494D">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用于生产、储存、装卸危险物品的建设项目竣工投入生产或者使用前，安全设施未经验收合格</w:t>
            </w:r>
          </w:p>
        </w:tc>
        <w:tc>
          <w:tcPr>
            <w:tcW w:w="2789" w:type="dxa"/>
            <w:gridSpan w:val="2"/>
            <w:shd w:val="clear" w:color="auto" w:fill="auto"/>
            <w:vAlign w:val="center"/>
          </w:tcPr>
          <w:p w14:paraId="09643872">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违反条款：《中华人民共和国安全生产法》第三十四条第二款；</w:t>
            </w:r>
          </w:p>
          <w:p w14:paraId="398FAEB0">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八条第（四）项，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tc>
        <w:tc>
          <w:tcPr>
            <w:tcW w:w="6992" w:type="dxa"/>
            <w:gridSpan w:val="5"/>
            <w:shd w:val="clear" w:color="auto" w:fill="auto"/>
            <w:vAlign w:val="center"/>
          </w:tcPr>
          <w:p w14:paraId="30A7B7EE">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7083C667">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5D648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55" w:hRule="atLeast"/>
          <w:jc w:val="center"/>
        </w:trPr>
        <w:tc>
          <w:tcPr>
            <w:tcW w:w="610" w:type="dxa"/>
            <w:shd w:val="clear" w:color="auto" w:fill="auto"/>
            <w:vAlign w:val="center"/>
          </w:tcPr>
          <w:p w14:paraId="3E405680">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11</w:t>
            </w:r>
          </w:p>
        </w:tc>
        <w:tc>
          <w:tcPr>
            <w:tcW w:w="1830" w:type="dxa"/>
            <w:gridSpan w:val="3"/>
            <w:shd w:val="clear" w:color="auto" w:fill="auto"/>
            <w:vAlign w:val="center"/>
          </w:tcPr>
          <w:p w14:paraId="4849C141">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生产经营单位未在有较大危险因素的生产经营场所和有关设施、设备上设置明显的安全警示标志</w:t>
            </w:r>
          </w:p>
        </w:tc>
        <w:tc>
          <w:tcPr>
            <w:tcW w:w="2789" w:type="dxa"/>
            <w:gridSpan w:val="2"/>
            <w:shd w:val="clear" w:color="auto" w:fill="auto"/>
            <w:vAlign w:val="center"/>
          </w:tcPr>
          <w:p w14:paraId="7CBCDE50">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14:paraId="2CDEF720">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14:paraId="5FFFE885">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4A1BDDD2">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529E2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14:paraId="0D4C44C8">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12</w:t>
            </w:r>
          </w:p>
        </w:tc>
        <w:tc>
          <w:tcPr>
            <w:tcW w:w="1830" w:type="dxa"/>
            <w:gridSpan w:val="3"/>
            <w:shd w:val="clear" w:color="auto" w:fill="auto"/>
            <w:vAlign w:val="center"/>
          </w:tcPr>
          <w:p w14:paraId="1F93214B">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生产经营单位安全设备的安装、使用、检测、改造和报废不符合国家标准或者行业标准</w:t>
            </w:r>
          </w:p>
        </w:tc>
        <w:tc>
          <w:tcPr>
            <w:tcW w:w="2789" w:type="dxa"/>
            <w:gridSpan w:val="2"/>
            <w:shd w:val="clear" w:color="auto" w:fill="auto"/>
            <w:vAlign w:val="center"/>
          </w:tcPr>
          <w:p w14:paraId="791CD5BB">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违反条款：《中华人民共和国安全生产法》第三十六条第一款；</w:t>
            </w:r>
          </w:p>
          <w:p w14:paraId="5307FFB2">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九条第（二）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14:paraId="19D97A9D">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3C9E6517">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57C3B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70BED76C">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13</w:t>
            </w:r>
          </w:p>
        </w:tc>
        <w:tc>
          <w:tcPr>
            <w:tcW w:w="1830" w:type="dxa"/>
            <w:gridSpan w:val="3"/>
            <w:shd w:val="clear" w:color="auto" w:fill="auto"/>
            <w:vAlign w:val="center"/>
          </w:tcPr>
          <w:p w14:paraId="685A9561">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生产经营单位未对安全设备进行经常性维护、保养和定期检测</w:t>
            </w:r>
          </w:p>
        </w:tc>
        <w:tc>
          <w:tcPr>
            <w:tcW w:w="2789" w:type="dxa"/>
            <w:gridSpan w:val="2"/>
            <w:shd w:val="clear" w:color="auto" w:fill="auto"/>
            <w:vAlign w:val="center"/>
          </w:tcPr>
          <w:p w14:paraId="23B71F3B">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违反条款：《中华人民共和国安全生产法》第三十六条第二款；</w:t>
            </w:r>
          </w:p>
          <w:p w14:paraId="2B42F0DA">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九条第（三）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14:paraId="67055571">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0848FCB4">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3FB33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14:paraId="21EF1F34">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14</w:t>
            </w:r>
          </w:p>
        </w:tc>
        <w:tc>
          <w:tcPr>
            <w:tcW w:w="1830" w:type="dxa"/>
            <w:gridSpan w:val="3"/>
            <w:shd w:val="clear" w:color="auto" w:fill="auto"/>
            <w:vAlign w:val="center"/>
          </w:tcPr>
          <w:p w14:paraId="67633990">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生产经营单位关闭、破坏直接关系生产安全的监控、报警、防护、救生设备、设施，或者篡改、隐瞒、销毁其相关数据、信息</w:t>
            </w:r>
          </w:p>
        </w:tc>
        <w:tc>
          <w:tcPr>
            <w:tcW w:w="2789" w:type="dxa"/>
            <w:gridSpan w:val="2"/>
            <w:shd w:val="clear" w:color="auto" w:fill="auto"/>
            <w:vAlign w:val="center"/>
          </w:tcPr>
          <w:p w14:paraId="0E8526DE">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违反条款：《中华人民共和国安全生产法》第三十六条第三款；</w:t>
            </w:r>
          </w:p>
          <w:p w14:paraId="788710CA">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九条第（四）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14:paraId="481DE483">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5292DBDE">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53023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71D3A22A">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15</w:t>
            </w:r>
          </w:p>
        </w:tc>
        <w:tc>
          <w:tcPr>
            <w:tcW w:w="1830" w:type="dxa"/>
            <w:gridSpan w:val="3"/>
            <w:shd w:val="clear" w:color="auto" w:fill="auto"/>
            <w:vAlign w:val="center"/>
          </w:tcPr>
          <w:p w14:paraId="48AC7163">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生产经营单位使用的危险物品的容器未经具有专业资质的机构检测、检验合格，取得安全使用证或者安全标志，投入使用</w:t>
            </w:r>
          </w:p>
        </w:tc>
        <w:tc>
          <w:tcPr>
            <w:tcW w:w="2789" w:type="dxa"/>
            <w:gridSpan w:val="2"/>
            <w:shd w:val="clear" w:color="auto" w:fill="auto"/>
            <w:vAlign w:val="center"/>
          </w:tcPr>
          <w:p w14:paraId="31649099">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违反条款：《中华人民共和国安全生产法》第三十七条；</w:t>
            </w:r>
          </w:p>
          <w:p w14:paraId="7BC597A3">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九条第（六）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14:paraId="1F5FF4D9">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0AC32DB7">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2C7D6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14:paraId="56421738">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16</w:t>
            </w:r>
          </w:p>
        </w:tc>
        <w:tc>
          <w:tcPr>
            <w:tcW w:w="1830" w:type="dxa"/>
            <w:gridSpan w:val="3"/>
            <w:shd w:val="clear" w:color="auto" w:fill="auto"/>
            <w:vAlign w:val="center"/>
          </w:tcPr>
          <w:p w14:paraId="7FCEF31E">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生产经营单位使用应当淘汰的危及生产安全的工艺、设备</w:t>
            </w:r>
          </w:p>
        </w:tc>
        <w:tc>
          <w:tcPr>
            <w:tcW w:w="2789" w:type="dxa"/>
            <w:gridSpan w:val="2"/>
            <w:shd w:val="clear" w:color="auto" w:fill="auto"/>
            <w:vAlign w:val="center"/>
          </w:tcPr>
          <w:p w14:paraId="54254E53">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违反条款：《中华人民共和国安全生产法》第三十八条第三款；</w:t>
            </w:r>
          </w:p>
          <w:p w14:paraId="31A53D35">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14:paraId="322172B1">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67BBA171">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49FA6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14:paraId="2E3F6D67">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17</w:t>
            </w:r>
          </w:p>
        </w:tc>
        <w:tc>
          <w:tcPr>
            <w:tcW w:w="1830" w:type="dxa"/>
            <w:gridSpan w:val="3"/>
            <w:shd w:val="clear" w:color="auto" w:fill="auto"/>
            <w:vAlign w:val="center"/>
          </w:tcPr>
          <w:p w14:paraId="28BEA026">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未经依法批准，擅自生产、经营、储存危险物品</w:t>
            </w:r>
          </w:p>
        </w:tc>
        <w:tc>
          <w:tcPr>
            <w:tcW w:w="2789" w:type="dxa"/>
            <w:gridSpan w:val="2"/>
            <w:shd w:val="clear" w:color="auto" w:fill="auto"/>
            <w:vAlign w:val="center"/>
          </w:tcPr>
          <w:p w14:paraId="2066C730">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违反条款：《中华人民共和国安全生产法》第三十九条第一款；</w:t>
            </w:r>
          </w:p>
          <w:p w14:paraId="76D64C11">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条，未经依法批准，擅自生产、经营、运输、储存、使用危险物品或者处置废弃危险物品的，依照有关危险物品安全管理的法律、行政法规的规定予以处罚；构成犯罪的，依照刑法有关规定追究刑事责任。</w:t>
            </w:r>
          </w:p>
        </w:tc>
        <w:tc>
          <w:tcPr>
            <w:tcW w:w="6992" w:type="dxa"/>
            <w:gridSpan w:val="5"/>
            <w:shd w:val="clear" w:color="auto" w:fill="auto"/>
            <w:vAlign w:val="center"/>
          </w:tcPr>
          <w:p w14:paraId="0F8DA3D9">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13FEBD32">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262C5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14:paraId="2CF5F375">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18</w:t>
            </w:r>
          </w:p>
        </w:tc>
        <w:tc>
          <w:tcPr>
            <w:tcW w:w="1830" w:type="dxa"/>
            <w:gridSpan w:val="3"/>
            <w:shd w:val="clear" w:color="auto" w:fill="auto"/>
            <w:vAlign w:val="center"/>
          </w:tcPr>
          <w:p w14:paraId="1C7CF28F">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生产经营单位生产、经营、运输、储存、使用危险物品或者处置废弃危险物品，未建立专门安全管理制度、未采取可靠的安全措施</w:t>
            </w:r>
          </w:p>
        </w:tc>
        <w:tc>
          <w:tcPr>
            <w:tcW w:w="2789" w:type="dxa"/>
            <w:gridSpan w:val="2"/>
            <w:shd w:val="clear" w:color="auto" w:fill="auto"/>
            <w:vAlign w:val="center"/>
          </w:tcPr>
          <w:p w14:paraId="5466E51E">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违反条款：《中华人民共和国安全生产法》第三十九条第二款；</w:t>
            </w:r>
          </w:p>
          <w:p w14:paraId="0C25785B">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一百零一条第（一）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shd w:val="clear" w:color="auto" w:fill="auto"/>
            <w:vAlign w:val="center"/>
          </w:tcPr>
          <w:p w14:paraId="5591D8C8">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4146937D">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15B68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14:paraId="38766985">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19</w:t>
            </w:r>
          </w:p>
        </w:tc>
        <w:tc>
          <w:tcPr>
            <w:tcW w:w="1830" w:type="dxa"/>
            <w:gridSpan w:val="3"/>
            <w:shd w:val="clear" w:color="auto" w:fill="auto"/>
            <w:vAlign w:val="center"/>
          </w:tcPr>
          <w:p w14:paraId="54DC2672">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生产经营单位对重大危险源未登记建档，或者未进行评估、监控，或者未制定应急预案</w:t>
            </w:r>
          </w:p>
        </w:tc>
        <w:tc>
          <w:tcPr>
            <w:tcW w:w="2789" w:type="dxa"/>
            <w:gridSpan w:val="2"/>
            <w:shd w:val="clear" w:color="auto" w:fill="auto"/>
            <w:vAlign w:val="center"/>
          </w:tcPr>
          <w:p w14:paraId="7D678124">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违反条款：《中华人民共和国安全生产法》第四十条第一款；</w:t>
            </w:r>
          </w:p>
          <w:p w14:paraId="725CC001">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一百零一条第（二）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shd w:val="clear" w:color="auto" w:fill="auto"/>
            <w:vAlign w:val="center"/>
          </w:tcPr>
          <w:p w14:paraId="7CCC0CF3">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7BACA27E">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32BF1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78D4C967">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20</w:t>
            </w:r>
          </w:p>
        </w:tc>
        <w:tc>
          <w:tcPr>
            <w:tcW w:w="1830" w:type="dxa"/>
            <w:gridSpan w:val="3"/>
            <w:shd w:val="clear" w:color="auto" w:fill="auto"/>
            <w:vAlign w:val="center"/>
          </w:tcPr>
          <w:p w14:paraId="4A3BF3CA">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生产经营单位未建立安全风险分级管控制度或者未按照安全风险分级采取相应管控措施</w:t>
            </w:r>
          </w:p>
        </w:tc>
        <w:tc>
          <w:tcPr>
            <w:tcW w:w="2789" w:type="dxa"/>
            <w:gridSpan w:val="2"/>
            <w:shd w:val="clear" w:color="auto" w:fill="auto"/>
            <w:vAlign w:val="center"/>
          </w:tcPr>
          <w:p w14:paraId="115CD67C">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违反条款：《中华人民共和国安全生产法》第四十一条第一款；</w:t>
            </w:r>
          </w:p>
          <w:p w14:paraId="5C3294FE">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一条第（四）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shd w:val="clear" w:color="auto" w:fill="auto"/>
            <w:vAlign w:val="center"/>
          </w:tcPr>
          <w:p w14:paraId="71DBD511">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062B62F8">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1305E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18" w:hRule="atLeast"/>
          <w:jc w:val="center"/>
        </w:trPr>
        <w:tc>
          <w:tcPr>
            <w:tcW w:w="610" w:type="dxa"/>
            <w:shd w:val="clear" w:color="auto" w:fill="auto"/>
            <w:vAlign w:val="center"/>
          </w:tcPr>
          <w:p w14:paraId="790A6C4F">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21</w:t>
            </w:r>
          </w:p>
        </w:tc>
        <w:tc>
          <w:tcPr>
            <w:tcW w:w="1830" w:type="dxa"/>
            <w:gridSpan w:val="3"/>
            <w:shd w:val="clear" w:color="auto" w:fill="auto"/>
            <w:vAlign w:val="center"/>
          </w:tcPr>
          <w:p w14:paraId="39483BC9">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生产经营单位未建立事故隐患排查治理制度，或者重大事故隐患排查治理情况未按照规定报告</w:t>
            </w:r>
          </w:p>
        </w:tc>
        <w:tc>
          <w:tcPr>
            <w:tcW w:w="2789" w:type="dxa"/>
            <w:gridSpan w:val="2"/>
            <w:shd w:val="clear" w:color="auto" w:fill="auto"/>
            <w:vAlign w:val="center"/>
          </w:tcPr>
          <w:p w14:paraId="418F5D30">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违反条款：《中华人民共和国安全生产法》第四十一条第二款；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shd w:val="clear" w:color="auto" w:fill="auto"/>
            <w:vAlign w:val="center"/>
          </w:tcPr>
          <w:p w14:paraId="3B7EB238">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14:paraId="5505AD42">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350BD0D5">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7D6D0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9" w:hRule="atLeast"/>
          <w:jc w:val="center"/>
        </w:trPr>
        <w:tc>
          <w:tcPr>
            <w:tcW w:w="610" w:type="dxa"/>
            <w:shd w:val="clear" w:color="auto" w:fill="auto"/>
            <w:vAlign w:val="center"/>
          </w:tcPr>
          <w:p w14:paraId="6CB5BF8F">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22</w:t>
            </w:r>
          </w:p>
        </w:tc>
        <w:tc>
          <w:tcPr>
            <w:tcW w:w="1830" w:type="dxa"/>
            <w:gridSpan w:val="3"/>
            <w:shd w:val="clear" w:color="auto" w:fill="auto"/>
            <w:vAlign w:val="center"/>
          </w:tcPr>
          <w:p w14:paraId="1DA921DE">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val="0"/>
                <w:color w:val="auto"/>
                <w:sz w:val="15"/>
                <w:szCs w:val="15"/>
                <w:highlight w:val="none"/>
                <w:lang w:val="en-US" w:eastAsia="zh-CN"/>
              </w:rPr>
            </w:pPr>
            <w:r>
              <w:rPr>
                <w:rFonts w:hint="eastAsia" w:asciiTheme="minorEastAsia" w:hAnsiTheme="minorEastAsia" w:eastAsiaTheme="minorEastAsia"/>
                <w:strike w:val="0"/>
                <w:dstrike w:val="0"/>
                <w:color w:val="auto"/>
                <w:sz w:val="15"/>
                <w:szCs w:val="15"/>
                <w:highlight w:val="none"/>
                <w:lang w:val="en-US" w:eastAsia="zh-CN"/>
              </w:rPr>
              <w:t>生产经营单位未将事故隐患排查治理情况如实记录或者未向从业人员通报</w:t>
            </w:r>
          </w:p>
        </w:tc>
        <w:tc>
          <w:tcPr>
            <w:tcW w:w="2789" w:type="dxa"/>
            <w:gridSpan w:val="2"/>
            <w:shd w:val="clear" w:color="auto" w:fill="auto"/>
            <w:vAlign w:val="center"/>
          </w:tcPr>
          <w:p w14:paraId="2959078C">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14:paraId="378CD05D">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14:paraId="2608DA48">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163115DF">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2F72C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529" w:hRule="atLeast"/>
          <w:jc w:val="center"/>
        </w:trPr>
        <w:tc>
          <w:tcPr>
            <w:tcW w:w="610" w:type="dxa"/>
            <w:shd w:val="clear" w:color="auto" w:fill="auto"/>
            <w:vAlign w:val="center"/>
          </w:tcPr>
          <w:p w14:paraId="1AAFBE68">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23</w:t>
            </w:r>
          </w:p>
        </w:tc>
        <w:tc>
          <w:tcPr>
            <w:tcW w:w="1830" w:type="dxa"/>
            <w:gridSpan w:val="3"/>
            <w:shd w:val="clear" w:color="auto" w:fill="auto"/>
            <w:vAlign w:val="center"/>
          </w:tcPr>
          <w:p w14:paraId="57DA2349">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生产经营单位未采取措施消除事故隐患</w:t>
            </w:r>
          </w:p>
        </w:tc>
        <w:tc>
          <w:tcPr>
            <w:tcW w:w="2789" w:type="dxa"/>
            <w:gridSpan w:val="2"/>
            <w:shd w:val="clear" w:color="auto" w:fill="auto"/>
            <w:vAlign w:val="center"/>
          </w:tcPr>
          <w:p w14:paraId="2421C98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val="0"/>
                <w:color w:val="auto"/>
                <w:sz w:val="15"/>
                <w:szCs w:val="15"/>
                <w:highlight w:val="none"/>
                <w:lang w:eastAsia="zh-CN"/>
              </w:rPr>
            </w:pPr>
            <w:r>
              <w:rPr>
                <w:rFonts w:hint="eastAsia" w:asciiTheme="minorEastAsia" w:hAnsiTheme="minorEastAsia" w:eastAsiaTheme="minorEastAsia"/>
                <w:strike w:val="0"/>
                <w:color w:val="auto"/>
                <w:sz w:val="15"/>
                <w:szCs w:val="15"/>
                <w:highlight w:val="none"/>
                <w:lang w:eastAsia="zh-CN"/>
              </w:rPr>
              <w:t>违反条款：《中华人民共和国安全生产法》第四十一条第二款；</w:t>
            </w:r>
          </w:p>
          <w:p w14:paraId="5540ABD6">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val="0"/>
                <w:color w:val="auto"/>
                <w:sz w:val="15"/>
                <w:szCs w:val="15"/>
                <w:highlight w:val="none"/>
                <w:lang w:eastAsia="zh-CN"/>
              </w:rPr>
            </w:pPr>
            <w:r>
              <w:rPr>
                <w:rFonts w:hint="eastAsia" w:asciiTheme="minorEastAsia" w:hAnsiTheme="minorEastAsia" w:eastAsiaTheme="minorEastAsia"/>
                <w:strike w:val="0"/>
                <w:color w:val="auto"/>
                <w:sz w:val="15"/>
                <w:szCs w:val="15"/>
                <w:highlight w:val="none"/>
                <w:lang w:eastAsia="zh-CN"/>
              </w:rPr>
              <w:t>处罚条款：第一百零二条，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tc>
        <w:tc>
          <w:tcPr>
            <w:tcW w:w="6992" w:type="dxa"/>
            <w:gridSpan w:val="5"/>
            <w:shd w:val="clear" w:color="auto" w:fill="auto"/>
            <w:vAlign w:val="center"/>
          </w:tcPr>
          <w:p w14:paraId="4709FED0">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361609F4">
            <w:pPr>
              <w:keepNext w:val="0"/>
              <w:keepLines w:val="0"/>
              <w:pageBreakBefore w:val="0"/>
              <w:widowControl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5E770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56B514B8">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24</w:t>
            </w:r>
          </w:p>
        </w:tc>
        <w:tc>
          <w:tcPr>
            <w:tcW w:w="1830" w:type="dxa"/>
            <w:gridSpan w:val="3"/>
            <w:shd w:val="clear" w:color="auto" w:fill="auto"/>
            <w:vAlign w:val="center"/>
          </w:tcPr>
          <w:p w14:paraId="764880C4">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生产、经营、储存、使用危险物品的车间、商店、仓库与员工宿舍在同一座建筑内，或者与员工宿舍的距离不符合安全要求</w:t>
            </w:r>
          </w:p>
        </w:tc>
        <w:tc>
          <w:tcPr>
            <w:tcW w:w="2789" w:type="dxa"/>
            <w:gridSpan w:val="2"/>
            <w:shd w:val="clear" w:color="auto" w:fill="auto"/>
            <w:vAlign w:val="center"/>
          </w:tcPr>
          <w:p w14:paraId="78A729B5">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违反条款：《中华人民共和国安全生产法》第四十二条第一款；</w:t>
            </w:r>
          </w:p>
          <w:p w14:paraId="7D2B4298">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一百零五条第（一）项，责令限期改正，处五万元以下的罚款，对其直接负责的主管人员和其他直接责任人员处一万元以下的罚款；逾期未改正的，责令停产停业整顿；构成犯罪的，依照刑法有关规定追究刑事责任。</w:t>
            </w:r>
          </w:p>
        </w:tc>
        <w:tc>
          <w:tcPr>
            <w:tcW w:w="6992" w:type="dxa"/>
            <w:gridSpan w:val="5"/>
            <w:shd w:val="clear" w:color="auto" w:fill="auto"/>
            <w:vAlign w:val="center"/>
          </w:tcPr>
          <w:p w14:paraId="027914D5">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5ECD84EB">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214AD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99" w:hRule="atLeast"/>
          <w:jc w:val="center"/>
        </w:trPr>
        <w:tc>
          <w:tcPr>
            <w:tcW w:w="610" w:type="dxa"/>
            <w:shd w:val="clear" w:color="auto" w:fill="auto"/>
            <w:vAlign w:val="center"/>
          </w:tcPr>
          <w:p w14:paraId="4F05FE96">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25</w:t>
            </w:r>
          </w:p>
        </w:tc>
        <w:tc>
          <w:tcPr>
            <w:tcW w:w="1830" w:type="dxa"/>
            <w:gridSpan w:val="3"/>
            <w:shd w:val="clear" w:color="auto" w:fill="auto"/>
            <w:vAlign w:val="center"/>
          </w:tcPr>
          <w:p w14:paraId="6FF3EF26">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strike/>
                <w:dstrike w:val="0"/>
                <w:color w:val="auto"/>
                <w:sz w:val="15"/>
                <w:szCs w:val="15"/>
                <w:highlight w:val="none"/>
              </w:rPr>
            </w:pPr>
            <w:r>
              <w:rPr>
                <w:rFonts w:hint="eastAsia" w:asciiTheme="minorEastAsia" w:hAnsiTheme="minorEastAsia" w:eastAsiaTheme="minorEastAsia"/>
                <w:color w:val="auto"/>
                <w:sz w:val="15"/>
                <w:szCs w:val="15"/>
                <w:highlight w:val="none"/>
              </w:rPr>
              <w:t>生产经营场所和员工宿舍未设有符合紧急疏散需要、标志明显、保持畅通的出口，或者封闭、堵塞生产经营场所或者员工宿舍出口</w:t>
            </w:r>
          </w:p>
        </w:tc>
        <w:tc>
          <w:tcPr>
            <w:tcW w:w="2789" w:type="dxa"/>
            <w:gridSpan w:val="2"/>
            <w:shd w:val="clear" w:color="auto" w:fill="auto"/>
            <w:vAlign w:val="center"/>
          </w:tcPr>
          <w:p w14:paraId="5207D805">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违反条款：《中华人民共和国安全生产法》第四十二条第二款：</w:t>
            </w:r>
          </w:p>
          <w:p w14:paraId="40CBBE08">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一百零五条第（二）项，责令限期改正，处五万元以下的罚款，对其直接负责的主管人员和其他直接责任人员处一万元以下的罚款；逾期未改正的，责令停产停业整顿；构成犯罪的，依照刑法有关规定追究刑事责任。</w:t>
            </w:r>
          </w:p>
        </w:tc>
        <w:tc>
          <w:tcPr>
            <w:tcW w:w="6992" w:type="dxa"/>
            <w:gridSpan w:val="5"/>
            <w:shd w:val="clear" w:color="auto" w:fill="auto"/>
            <w:vAlign w:val="center"/>
          </w:tcPr>
          <w:p w14:paraId="5756A920">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42B2F085">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34348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99" w:hRule="atLeast"/>
          <w:jc w:val="center"/>
        </w:trPr>
        <w:tc>
          <w:tcPr>
            <w:tcW w:w="610" w:type="dxa"/>
            <w:shd w:val="clear" w:color="auto" w:fill="auto"/>
            <w:vAlign w:val="center"/>
          </w:tcPr>
          <w:p w14:paraId="02BA1276">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26</w:t>
            </w:r>
          </w:p>
        </w:tc>
        <w:tc>
          <w:tcPr>
            <w:tcW w:w="1830" w:type="dxa"/>
            <w:gridSpan w:val="3"/>
            <w:shd w:val="clear" w:color="auto" w:fill="auto"/>
            <w:vAlign w:val="center"/>
          </w:tcPr>
          <w:p w14:paraId="0CF1C205">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生产经营单位进行危险作业未安排专门管理人员进行现场安全管理</w:t>
            </w:r>
          </w:p>
        </w:tc>
        <w:tc>
          <w:tcPr>
            <w:tcW w:w="2789" w:type="dxa"/>
            <w:gridSpan w:val="2"/>
            <w:shd w:val="clear" w:color="auto" w:fill="auto"/>
            <w:vAlign w:val="center"/>
          </w:tcPr>
          <w:p w14:paraId="7AF31EE5">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违反条款：《中华人民共和国安全生产法》第四十三条；</w:t>
            </w:r>
          </w:p>
          <w:p w14:paraId="1AD320C3">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一条第（三）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6992" w:type="dxa"/>
            <w:gridSpan w:val="5"/>
            <w:shd w:val="clear" w:color="auto" w:fill="auto"/>
            <w:vAlign w:val="center"/>
          </w:tcPr>
          <w:p w14:paraId="4FB06648">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6ED375B8">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1FD32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874" w:hRule="atLeast"/>
          <w:jc w:val="center"/>
        </w:trPr>
        <w:tc>
          <w:tcPr>
            <w:tcW w:w="610" w:type="dxa"/>
            <w:vMerge w:val="restart"/>
            <w:shd w:val="clear" w:color="auto" w:fill="auto"/>
            <w:vAlign w:val="center"/>
          </w:tcPr>
          <w:p w14:paraId="6375D40F">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27</w:t>
            </w:r>
          </w:p>
        </w:tc>
        <w:tc>
          <w:tcPr>
            <w:tcW w:w="1830" w:type="dxa"/>
            <w:gridSpan w:val="3"/>
            <w:vMerge w:val="restart"/>
            <w:shd w:val="clear" w:color="auto" w:fill="auto"/>
            <w:vAlign w:val="center"/>
          </w:tcPr>
          <w:p w14:paraId="3902263E">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生产经营单位未按照规定向从业人员如实告知有关的安全生产事项</w:t>
            </w:r>
          </w:p>
        </w:tc>
        <w:tc>
          <w:tcPr>
            <w:tcW w:w="2789" w:type="dxa"/>
            <w:gridSpan w:val="2"/>
            <w:shd w:val="clear" w:color="auto" w:fill="auto"/>
            <w:vAlign w:val="center"/>
          </w:tcPr>
          <w:p w14:paraId="44B3934B">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违反条款：《中华人民共和国安全生产法》第四十四条第一款；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14:paraId="356DDD24">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p w14:paraId="60DBECF1">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14:paraId="42B94498">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0741C14D">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asciiTheme="minorEastAsia" w:hAnsiTheme="minorEastAsia" w:eastAsiaTheme="minorEastAsia" w:cstheme="minorEastAsia"/>
                <w:color w:val="auto"/>
                <w:spacing w:val="-4"/>
                <w:sz w:val="15"/>
                <w:szCs w:val="15"/>
                <w:highlight w:val="none"/>
                <w:lang w:val="en-US" w:eastAsia="zh-CN"/>
              </w:rPr>
            </w:pPr>
          </w:p>
        </w:tc>
      </w:tr>
      <w:tr w14:paraId="0E989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088" w:hRule="atLeast"/>
          <w:jc w:val="center"/>
        </w:trPr>
        <w:tc>
          <w:tcPr>
            <w:tcW w:w="610" w:type="dxa"/>
            <w:vMerge w:val="continue"/>
            <w:shd w:val="clear" w:color="auto" w:fill="auto"/>
            <w:vAlign w:val="center"/>
          </w:tcPr>
          <w:p w14:paraId="74F6E115">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18747680">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p>
        </w:tc>
        <w:tc>
          <w:tcPr>
            <w:tcW w:w="2789" w:type="dxa"/>
            <w:gridSpan w:val="2"/>
            <w:shd w:val="clear" w:color="auto" w:fill="auto"/>
            <w:vAlign w:val="center"/>
          </w:tcPr>
          <w:p w14:paraId="302A42B9">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违反条款：《北京市安全生产条例》第三十七条第一款</w:t>
            </w:r>
            <w:r>
              <w:rPr>
                <w:rFonts w:hint="eastAsia" w:asciiTheme="minorEastAsia" w:hAnsiTheme="minorEastAsia" w:eastAsiaTheme="minorEastAsia"/>
                <w:color w:val="auto"/>
                <w:sz w:val="15"/>
                <w:szCs w:val="15"/>
                <w:highlight w:val="none"/>
                <w:lang w:eastAsia="zh-CN"/>
              </w:rPr>
              <w:t>；</w:t>
            </w:r>
          </w:p>
          <w:p w14:paraId="548684EB">
            <w:pPr>
              <w:keepNext w:val="0"/>
              <w:keepLines w:val="0"/>
              <w:pageBreakBefore w:val="0"/>
              <w:kinsoku/>
              <w:wordWrap/>
              <w:overflowPunct/>
              <w:topLinePunct w:val="0"/>
              <w:autoSpaceDE/>
              <w:autoSpaceDN/>
              <w:bidi w:val="0"/>
              <w:adjustRightInd/>
              <w:snapToGrid/>
              <w:spacing w:line="240" w:lineRule="auto"/>
              <w:jc w:val="both"/>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14:paraId="647A6791">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36E2C099">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p>
        </w:tc>
      </w:tr>
      <w:tr w14:paraId="60C67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14:paraId="626D7913">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28</w:t>
            </w:r>
          </w:p>
        </w:tc>
        <w:tc>
          <w:tcPr>
            <w:tcW w:w="1830" w:type="dxa"/>
            <w:gridSpan w:val="3"/>
            <w:shd w:val="clear" w:color="auto" w:fill="auto"/>
            <w:vAlign w:val="center"/>
          </w:tcPr>
          <w:p w14:paraId="77002EDB">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生产经营单位未为从业人员提供符合国家标准或者行业标准的劳动防护用品</w:t>
            </w:r>
          </w:p>
        </w:tc>
        <w:tc>
          <w:tcPr>
            <w:tcW w:w="2789" w:type="dxa"/>
            <w:gridSpan w:val="2"/>
            <w:shd w:val="clear" w:color="auto" w:fill="auto"/>
            <w:vAlign w:val="center"/>
          </w:tcPr>
          <w:p w14:paraId="2272952B">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违反条款：《中华人民共和国安全生产法》第四十五条；</w:t>
            </w:r>
          </w:p>
          <w:p w14:paraId="332B97D8">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九条第五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6992" w:type="dxa"/>
            <w:gridSpan w:val="5"/>
            <w:shd w:val="clear" w:color="auto" w:fill="auto"/>
            <w:vAlign w:val="center"/>
          </w:tcPr>
          <w:p w14:paraId="396D30D9">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1BFA374D">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49649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14:paraId="336565B9">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29</w:t>
            </w:r>
          </w:p>
        </w:tc>
        <w:tc>
          <w:tcPr>
            <w:tcW w:w="1830" w:type="dxa"/>
            <w:gridSpan w:val="3"/>
            <w:shd w:val="clear" w:color="auto" w:fill="auto"/>
            <w:vAlign w:val="center"/>
          </w:tcPr>
          <w:p w14:paraId="54D090F4">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两个以上生产经营单位在同一作业区域内进行可能危及对方安全生产的生产经营活动，未签订安全生产管理协议或者未指定专职安全生产管理人员进行安全检查与协调</w:t>
            </w:r>
          </w:p>
        </w:tc>
        <w:tc>
          <w:tcPr>
            <w:tcW w:w="2789" w:type="dxa"/>
            <w:gridSpan w:val="2"/>
            <w:shd w:val="clear" w:color="auto" w:fill="auto"/>
            <w:vAlign w:val="center"/>
          </w:tcPr>
          <w:p w14:paraId="3F290F5D">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违反条款：《中华人民共和国安全生产法》第四十八条；</w:t>
            </w:r>
          </w:p>
          <w:p w14:paraId="71119A2E">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处罚条款：第一百零四条，责令限期改正，处五万元以下的罚款，对其直接负责的主管人员和其他直接责任人员处一万元以下的罚款；逾期未改正的，责令停产停业。</w:t>
            </w:r>
          </w:p>
        </w:tc>
        <w:tc>
          <w:tcPr>
            <w:tcW w:w="6992" w:type="dxa"/>
            <w:gridSpan w:val="5"/>
            <w:shd w:val="clear" w:color="auto" w:fill="auto"/>
            <w:vAlign w:val="center"/>
          </w:tcPr>
          <w:p w14:paraId="13888143">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4A57D266">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31B0A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871" w:hRule="atLeast"/>
          <w:jc w:val="center"/>
        </w:trPr>
        <w:tc>
          <w:tcPr>
            <w:tcW w:w="610" w:type="dxa"/>
            <w:vMerge w:val="restart"/>
            <w:shd w:val="clear" w:color="auto" w:fill="auto"/>
            <w:vAlign w:val="center"/>
          </w:tcPr>
          <w:p w14:paraId="5804CE48">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30</w:t>
            </w:r>
          </w:p>
        </w:tc>
        <w:tc>
          <w:tcPr>
            <w:tcW w:w="1830" w:type="dxa"/>
            <w:gridSpan w:val="3"/>
            <w:vMerge w:val="restart"/>
            <w:shd w:val="clear" w:color="auto" w:fill="auto"/>
            <w:vAlign w:val="center"/>
          </w:tcPr>
          <w:p w14:paraId="5418131C">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生产经营单位将生产经营项目、场所、设备发包或者出租给不具备安全生产条件或者相应资质的单位或者个人</w:t>
            </w:r>
          </w:p>
        </w:tc>
        <w:tc>
          <w:tcPr>
            <w:tcW w:w="2789" w:type="dxa"/>
            <w:gridSpan w:val="2"/>
            <w:shd w:val="clear" w:color="auto" w:fill="auto"/>
            <w:vAlign w:val="center"/>
          </w:tcPr>
          <w:p w14:paraId="0D8386FA">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违反条款：《中华人民共和国安全生产法》第四十九条第一款；</w:t>
            </w:r>
          </w:p>
          <w:p w14:paraId="2731AE69">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Theme="minorEastAsia" w:hAnsiTheme="minorEastAsia" w:eastAsiaTheme="minorEastAsia"/>
                <w:color w:val="auto"/>
                <w:sz w:val="15"/>
                <w:szCs w:val="15"/>
                <w:highlight w:val="none"/>
                <w:lang w:val="en-US"/>
              </w:rPr>
            </w:pPr>
            <w:r>
              <w:rPr>
                <w:rFonts w:hint="eastAsia" w:asciiTheme="minorEastAsia" w:hAnsiTheme="minorEastAsia" w:eastAsiaTheme="minorEastAsia"/>
                <w:color w:val="auto"/>
                <w:sz w:val="15"/>
                <w:szCs w:val="15"/>
                <w:highlight w:val="none"/>
                <w:lang w:val="en-US" w:eastAsia="zh-CN"/>
              </w:rPr>
              <w:t>处罚条款：第一百零三条第一款，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tc>
        <w:tc>
          <w:tcPr>
            <w:tcW w:w="6992" w:type="dxa"/>
            <w:gridSpan w:val="5"/>
            <w:shd w:val="clear" w:color="auto" w:fill="auto"/>
            <w:vAlign w:val="center"/>
          </w:tcPr>
          <w:p w14:paraId="5447DD3F">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2D876FB9">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3A2D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vMerge w:val="continue"/>
            <w:shd w:val="clear" w:color="auto" w:fill="auto"/>
            <w:vAlign w:val="center"/>
          </w:tcPr>
          <w:p w14:paraId="3B263E6B">
            <w:pPr>
              <w:spacing w:line="232" w:lineRule="exact"/>
              <w:ind w:left="6" w:hanging="21"/>
              <w:jc w:val="center"/>
              <w:rPr>
                <w:rFonts w:hint="eastAsia"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4E2E87CB">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p>
        </w:tc>
        <w:tc>
          <w:tcPr>
            <w:tcW w:w="2789" w:type="dxa"/>
            <w:gridSpan w:val="2"/>
            <w:shd w:val="clear" w:color="auto" w:fill="auto"/>
            <w:vAlign w:val="center"/>
          </w:tcPr>
          <w:p w14:paraId="7FE60C19">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违反条款：《建设工程安全生产管理条例》第十一条第一款：</w:t>
            </w:r>
          </w:p>
          <w:p w14:paraId="6B89792B">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处罚条款：第五十五条第（三）项，责令限期改正，处20万元以上50万元以下的罚款；造成重大安全事故，构成犯罪的，对直接责任人员，依照刑法有关规定追究刑事责任；造成损失的，依法承担赔偿责任。</w:t>
            </w:r>
          </w:p>
        </w:tc>
        <w:tc>
          <w:tcPr>
            <w:tcW w:w="6992" w:type="dxa"/>
            <w:gridSpan w:val="5"/>
            <w:shd w:val="clear" w:color="auto" w:fill="auto"/>
            <w:vAlign w:val="center"/>
          </w:tcPr>
          <w:p w14:paraId="648C6BEA">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0D86DCD5">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23A36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37" w:hRule="atLeast"/>
          <w:jc w:val="center"/>
        </w:trPr>
        <w:tc>
          <w:tcPr>
            <w:tcW w:w="610" w:type="dxa"/>
            <w:shd w:val="clear" w:color="auto" w:fill="auto"/>
            <w:vAlign w:val="center"/>
          </w:tcPr>
          <w:p w14:paraId="26D1B5A2">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31</w:t>
            </w:r>
          </w:p>
        </w:tc>
        <w:tc>
          <w:tcPr>
            <w:tcW w:w="1830" w:type="dxa"/>
            <w:gridSpan w:val="3"/>
            <w:shd w:val="clear" w:color="auto" w:fill="auto"/>
            <w:vAlign w:val="center"/>
          </w:tcPr>
          <w:p w14:paraId="09863B42">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生产经营单位未与承包单位、承租单位签订专门的安全生产管理协议或者未在承包合同、租赁合同中明确各自的安全生产管理职责，或者未对承包单位、承租单位的安全生产统一协调、管理</w:t>
            </w:r>
          </w:p>
        </w:tc>
        <w:tc>
          <w:tcPr>
            <w:tcW w:w="2789" w:type="dxa"/>
            <w:gridSpan w:val="2"/>
            <w:shd w:val="clear" w:color="auto" w:fill="auto"/>
            <w:vAlign w:val="center"/>
          </w:tcPr>
          <w:p w14:paraId="3B28BE0A">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违反条款：《中华人民共和国安全生产法》第四十九条第二款；</w:t>
            </w:r>
          </w:p>
          <w:p w14:paraId="205FC3B8">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处罚条款：第一百零三条第二款，责令限期改正，处五万元以下的罚款，对其直接负责的主管人员和其他直接责任人员处一万元以下的罚款；逾期未改正的，责令停产停业整顿。</w:t>
            </w:r>
          </w:p>
        </w:tc>
        <w:tc>
          <w:tcPr>
            <w:tcW w:w="6992" w:type="dxa"/>
            <w:gridSpan w:val="5"/>
            <w:shd w:val="clear" w:color="auto" w:fill="auto"/>
            <w:vAlign w:val="center"/>
          </w:tcPr>
          <w:p w14:paraId="7DD652DC">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0590B8EA">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090CE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86" w:hRule="atLeast"/>
          <w:jc w:val="center"/>
        </w:trPr>
        <w:tc>
          <w:tcPr>
            <w:tcW w:w="610" w:type="dxa"/>
            <w:shd w:val="clear" w:color="auto" w:fill="auto"/>
            <w:vAlign w:val="center"/>
          </w:tcPr>
          <w:p w14:paraId="0CFBAF1B">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32</w:t>
            </w:r>
          </w:p>
        </w:tc>
        <w:tc>
          <w:tcPr>
            <w:tcW w:w="1830" w:type="dxa"/>
            <w:gridSpan w:val="3"/>
            <w:shd w:val="clear" w:color="auto" w:fill="auto"/>
            <w:vAlign w:val="center"/>
          </w:tcPr>
          <w:p w14:paraId="76F8C45D">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用于生产、储存、装卸危险物品的建设项目的施工单位未按照规定对施工项目进行安全管理的或者倒卖、出租、出借、挂靠或者以其他形式非法转让施工资质</w:t>
            </w:r>
          </w:p>
        </w:tc>
        <w:tc>
          <w:tcPr>
            <w:tcW w:w="2789" w:type="dxa"/>
            <w:gridSpan w:val="2"/>
            <w:shd w:val="clear" w:color="auto" w:fill="auto"/>
            <w:vAlign w:val="center"/>
          </w:tcPr>
          <w:p w14:paraId="2D4CE73B">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违反条款：《中华人民共和国安全生产法》第四十九条第三款；</w:t>
            </w:r>
          </w:p>
          <w:p w14:paraId="0CB4702E">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三条第三款，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tc>
        <w:tc>
          <w:tcPr>
            <w:tcW w:w="6992" w:type="dxa"/>
            <w:gridSpan w:val="5"/>
            <w:shd w:val="clear" w:color="auto" w:fill="auto"/>
            <w:vAlign w:val="center"/>
          </w:tcPr>
          <w:p w14:paraId="5DCBE86E">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189D019E">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78FF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86" w:hRule="atLeast"/>
          <w:jc w:val="center"/>
        </w:trPr>
        <w:tc>
          <w:tcPr>
            <w:tcW w:w="610" w:type="dxa"/>
            <w:vMerge w:val="restart"/>
            <w:shd w:val="clear" w:color="auto" w:fill="auto"/>
            <w:vAlign w:val="center"/>
          </w:tcPr>
          <w:p w14:paraId="2BA38A64">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33</w:t>
            </w:r>
          </w:p>
        </w:tc>
        <w:tc>
          <w:tcPr>
            <w:tcW w:w="1830" w:type="dxa"/>
            <w:gridSpan w:val="3"/>
            <w:vMerge w:val="restart"/>
            <w:shd w:val="clear" w:color="auto" w:fill="auto"/>
            <w:vAlign w:val="center"/>
          </w:tcPr>
          <w:p w14:paraId="0A582984">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高危行业、领域的生产经营单位未按照国家规定投保安全生产责任保险</w:t>
            </w:r>
          </w:p>
        </w:tc>
        <w:tc>
          <w:tcPr>
            <w:tcW w:w="2789" w:type="dxa"/>
            <w:gridSpan w:val="2"/>
            <w:shd w:val="clear" w:color="auto" w:fill="auto"/>
            <w:vAlign w:val="center"/>
          </w:tcPr>
          <w:p w14:paraId="453A39DA">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违反条款：《中华人民共和国安全生产法》第五十一条第二款；</w:t>
            </w:r>
          </w:p>
          <w:p w14:paraId="663D639E">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处罚条款：第一百零九条，责令限期改正，处五万元以上十万元以下的罚款；逾期未改正的，处十万元以上二十万元以下的罚款。</w:t>
            </w:r>
          </w:p>
        </w:tc>
        <w:tc>
          <w:tcPr>
            <w:tcW w:w="6992" w:type="dxa"/>
            <w:gridSpan w:val="5"/>
            <w:shd w:val="clear" w:color="auto" w:fill="auto"/>
            <w:vAlign w:val="center"/>
          </w:tcPr>
          <w:p w14:paraId="243454AA">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472AA447">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40DFB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86" w:hRule="atLeast"/>
          <w:jc w:val="center"/>
        </w:trPr>
        <w:tc>
          <w:tcPr>
            <w:tcW w:w="610" w:type="dxa"/>
            <w:vMerge w:val="continue"/>
            <w:shd w:val="clear" w:color="auto" w:fill="auto"/>
            <w:vAlign w:val="center"/>
          </w:tcPr>
          <w:p w14:paraId="4D421501">
            <w:pPr>
              <w:spacing w:line="232" w:lineRule="exact"/>
              <w:ind w:left="6" w:hanging="21"/>
              <w:jc w:val="center"/>
              <w:rPr>
                <w:rFonts w:hint="eastAsia"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78EBEEE6">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p>
        </w:tc>
        <w:tc>
          <w:tcPr>
            <w:tcW w:w="2789" w:type="dxa"/>
            <w:gridSpan w:val="2"/>
            <w:shd w:val="clear" w:color="auto" w:fill="auto"/>
            <w:vAlign w:val="center"/>
          </w:tcPr>
          <w:p w14:paraId="0AEC7364">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违反条款：《北京市安全生产条例》第三十六条第二款；</w:t>
            </w:r>
          </w:p>
          <w:p w14:paraId="7820DCE1">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处罚条款：第五十九条，责令限期改正，处五万元以上十万元以下的罚款；逾期未改正的，处十万元以上二十万元以下的罚款。</w:t>
            </w:r>
          </w:p>
        </w:tc>
        <w:tc>
          <w:tcPr>
            <w:tcW w:w="6992" w:type="dxa"/>
            <w:gridSpan w:val="5"/>
            <w:shd w:val="clear" w:color="auto" w:fill="auto"/>
            <w:vAlign w:val="center"/>
          </w:tcPr>
          <w:p w14:paraId="24209FF2">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08ADE556">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36CEF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86" w:hRule="atLeast"/>
          <w:jc w:val="center"/>
        </w:trPr>
        <w:tc>
          <w:tcPr>
            <w:tcW w:w="610" w:type="dxa"/>
            <w:shd w:val="clear" w:color="auto" w:fill="auto"/>
            <w:vAlign w:val="center"/>
          </w:tcPr>
          <w:p w14:paraId="762BA94F">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34</w:t>
            </w:r>
          </w:p>
        </w:tc>
        <w:tc>
          <w:tcPr>
            <w:tcW w:w="1830" w:type="dxa"/>
            <w:gridSpan w:val="3"/>
            <w:shd w:val="clear" w:color="auto" w:fill="auto"/>
            <w:vAlign w:val="center"/>
          </w:tcPr>
          <w:p w14:paraId="488DF52B">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生产经营单位与从业人员订立协议，免除或者减轻其对从业人员因生产安全事故伤亡依法应承担的责任</w:t>
            </w:r>
          </w:p>
        </w:tc>
        <w:tc>
          <w:tcPr>
            <w:tcW w:w="2789" w:type="dxa"/>
            <w:gridSpan w:val="2"/>
            <w:shd w:val="clear" w:color="auto" w:fill="auto"/>
            <w:vAlign w:val="center"/>
          </w:tcPr>
          <w:p w14:paraId="5EC8F821">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违反条款：《中华人民共和国安全生产法》第五十二条第二款；</w:t>
            </w:r>
          </w:p>
          <w:p w14:paraId="3A8B431D">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处罚条款：第一百零六条，该协议无效；对生产经营单位的主要负责人、个人经营的投资人处二万元以上十万元以下的罚款。</w:t>
            </w:r>
          </w:p>
        </w:tc>
        <w:tc>
          <w:tcPr>
            <w:tcW w:w="6992" w:type="dxa"/>
            <w:gridSpan w:val="5"/>
            <w:shd w:val="clear" w:color="auto" w:fill="auto"/>
            <w:vAlign w:val="center"/>
          </w:tcPr>
          <w:p w14:paraId="1F1B6659">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0A881F81">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66138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14:paraId="763A8FC4">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35</w:t>
            </w:r>
          </w:p>
        </w:tc>
        <w:tc>
          <w:tcPr>
            <w:tcW w:w="1830" w:type="dxa"/>
            <w:gridSpan w:val="3"/>
            <w:shd w:val="clear" w:color="auto" w:fill="auto"/>
            <w:vAlign w:val="center"/>
          </w:tcPr>
          <w:p w14:paraId="12803492">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生产经营单位拒绝、阻碍负有安全生产监督管理职责的部门依法实施监督检查的，责令改正；拒不改正</w:t>
            </w:r>
          </w:p>
        </w:tc>
        <w:tc>
          <w:tcPr>
            <w:tcW w:w="2789" w:type="dxa"/>
            <w:gridSpan w:val="2"/>
            <w:shd w:val="clear" w:color="auto" w:fill="auto"/>
            <w:vAlign w:val="center"/>
          </w:tcPr>
          <w:p w14:paraId="53EA7DDC">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违反条款：《中华人民共和国安全生产法》第六十六条；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6992" w:type="dxa"/>
            <w:gridSpan w:val="5"/>
            <w:shd w:val="clear" w:color="auto" w:fill="auto"/>
            <w:vAlign w:val="center"/>
          </w:tcPr>
          <w:p w14:paraId="53A5F5E8">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dstrike w:val="0"/>
                <w:color w:val="auto"/>
                <w:kern w:val="0"/>
                <w:sz w:val="15"/>
                <w:szCs w:val="15"/>
                <w:highlight w:val="none"/>
              </w:rPr>
            </w:pPr>
          </w:p>
          <w:p w14:paraId="326C6809">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14:paraId="6D01D07A">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c>
          <w:tcPr>
            <w:tcW w:w="1982" w:type="dxa"/>
            <w:gridSpan w:val="2"/>
            <w:shd w:val="clear" w:color="auto" w:fill="auto"/>
            <w:vAlign w:val="center"/>
          </w:tcPr>
          <w:p w14:paraId="6117C061">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3C91D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12" w:hRule="atLeast"/>
          <w:jc w:val="center"/>
        </w:trPr>
        <w:tc>
          <w:tcPr>
            <w:tcW w:w="610" w:type="dxa"/>
            <w:shd w:val="clear" w:color="auto" w:fill="auto"/>
            <w:vAlign w:val="center"/>
          </w:tcPr>
          <w:p w14:paraId="39929DE7">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36</w:t>
            </w:r>
          </w:p>
        </w:tc>
        <w:tc>
          <w:tcPr>
            <w:tcW w:w="1830" w:type="dxa"/>
            <w:gridSpan w:val="3"/>
            <w:shd w:val="clear" w:color="auto" w:fill="auto"/>
            <w:vAlign w:val="center"/>
          </w:tcPr>
          <w:p w14:paraId="63A42AD5">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承担安全评价、认证、检测、检验职责的机构租借资质、挂靠、出具虚假报告</w:t>
            </w:r>
          </w:p>
        </w:tc>
        <w:tc>
          <w:tcPr>
            <w:tcW w:w="2789" w:type="dxa"/>
            <w:gridSpan w:val="2"/>
            <w:shd w:val="clear" w:color="auto" w:fill="auto"/>
            <w:vAlign w:val="center"/>
          </w:tcPr>
          <w:p w14:paraId="2BFCFDFA">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违反条款：</w:t>
            </w:r>
            <w:r>
              <w:rPr>
                <w:rFonts w:hint="eastAsia" w:asciiTheme="minorEastAsia" w:hAnsiTheme="minorEastAsia" w:eastAsiaTheme="minorEastAsia"/>
                <w:color w:val="auto"/>
                <w:sz w:val="15"/>
                <w:szCs w:val="15"/>
                <w:highlight w:val="none"/>
              </w:rPr>
              <w:t>《中华人民共和国安全生产法》第七十二条第二款：</w:t>
            </w:r>
          </w:p>
          <w:p w14:paraId="5EBC1AFA">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处罚条款：第九十二条第二款，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tc>
        <w:tc>
          <w:tcPr>
            <w:tcW w:w="6992" w:type="dxa"/>
            <w:gridSpan w:val="5"/>
            <w:shd w:val="clear" w:color="auto" w:fill="auto"/>
            <w:vAlign w:val="center"/>
          </w:tcPr>
          <w:p w14:paraId="20680AFA">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6F0A1582">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3AC09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vMerge w:val="restart"/>
            <w:shd w:val="clear" w:color="auto" w:fill="auto"/>
            <w:vAlign w:val="center"/>
          </w:tcPr>
          <w:p w14:paraId="28C45D21">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37</w:t>
            </w:r>
          </w:p>
        </w:tc>
        <w:tc>
          <w:tcPr>
            <w:tcW w:w="1830" w:type="dxa"/>
            <w:gridSpan w:val="3"/>
            <w:vMerge w:val="restart"/>
            <w:shd w:val="clear" w:color="auto" w:fill="auto"/>
            <w:vAlign w:val="center"/>
          </w:tcPr>
          <w:p w14:paraId="09D46E60">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生产经营单位未按照规定制定生产安全事故应急救援预案或者未定期组织演练</w:t>
            </w:r>
          </w:p>
        </w:tc>
        <w:tc>
          <w:tcPr>
            <w:tcW w:w="2789" w:type="dxa"/>
            <w:gridSpan w:val="2"/>
            <w:shd w:val="clear" w:color="auto" w:fill="auto"/>
            <w:vAlign w:val="center"/>
          </w:tcPr>
          <w:p w14:paraId="60420A0C">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违反条款：《中华人民共和国安全生产法》第八十一条；</w:t>
            </w:r>
          </w:p>
          <w:p w14:paraId="55147C13">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九十七条第（六）项，责令限期改正，处十万元以下的罚款；逾期未改正的，责令停产停业整顿，并处十万元以上二十万元以下的罚款，对其直接负责的主管人员和其他直接责任人员处二万元以上五万元以下的罚款。</w:t>
            </w:r>
          </w:p>
        </w:tc>
        <w:tc>
          <w:tcPr>
            <w:tcW w:w="6992" w:type="dxa"/>
            <w:gridSpan w:val="5"/>
            <w:shd w:val="clear" w:color="auto" w:fill="auto"/>
            <w:vAlign w:val="center"/>
          </w:tcPr>
          <w:p w14:paraId="265CFC91">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6DA5B469">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2F83D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vMerge w:val="continue"/>
            <w:shd w:val="clear" w:color="auto" w:fill="auto"/>
            <w:vAlign w:val="center"/>
          </w:tcPr>
          <w:p w14:paraId="61C71C81">
            <w:pPr>
              <w:spacing w:line="232" w:lineRule="exact"/>
              <w:ind w:left="6" w:hanging="21"/>
              <w:jc w:val="center"/>
              <w:rPr>
                <w:rFonts w:hint="eastAsia" w:cs="宋体" w:asciiTheme="minorEastAsia" w:hAnsiTheme="minorEastAsia" w:eastAsiaTheme="minorEastAsia"/>
                <w:color w:val="auto"/>
                <w:kern w:val="0"/>
                <w:sz w:val="15"/>
                <w:szCs w:val="15"/>
                <w:highlight w:val="none"/>
              </w:rPr>
            </w:pPr>
          </w:p>
        </w:tc>
        <w:tc>
          <w:tcPr>
            <w:tcW w:w="1830" w:type="dxa"/>
            <w:gridSpan w:val="3"/>
            <w:vMerge w:val="continue"/>
            <w:shd w:val="clear" w:color="auto" w:fill="auto"/>
            <w:vAlign w:val="center"/>
          </w:tcPr>
          <w:p w14:paraId="574D7078">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p>
        </w:tc>
        <w:tc>
          <w:tcPr>
            <w:tcW w:w="2789" w:type="dxa"/>
            <w:gridSpan w:val="2"/>
            <w:shd w:val="clear" w:color="auto" w:fill="auto"/>
            <w:vAlign w:val="center"/>
          </w:tcPr>
          <w:p w14:paraId="7DD7FD16">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违反条款：《生产安全事故应急条例》第五条第二款、第八条第二款；</w:t>
            </w:r>
          </w:p>
          <w:p w14:paraId="457D2A3B">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生产安全事故应急条例》第三十条，生产经营单位未制定生产安全事故应急救援预案、未定期组织应急救援预案演练、未对从业人员进行应急教育和培训，生产经营单位的主要负责人在本单位发生生产安全事故时不立即组织抢救的，由县级以上人民政府负有安全生产监督管理职责的部门依照《中华人民共和国安全生产法》有关规定追究法律责任</w:t>
            </w:r>
          </w:p>
        </w:tc>
        <w:tc>
          <w:tcPr>
            <w:tcW w:w="6992" w:type="dxa"/>
            <w:gridSpan w:val="5"/>
            <w:shd w:val="clear" w:color="auto" w:fill="auto"/>
            <w:vAlign w:val="center"/>
          </w:tcPr>
          <w:p w14:paraId="0ABDC796">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780DFA67">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4493A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322" w:hRule="atLeast"/>
          <w:jc w:val="center"/>
        </w:trPr>
        <w:tc>
          <w:tcPr>
            <w:tcW w:w="610" w:type="dxa"/>
            <w:shd w:val="clear" w:color="auto" w:fill="auto"/>
            <w:vAlign w:val="center"/>
          </w:tcPr>
          <w:p w14:paraId="7504E8BE">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38</w:t>
            </w:r>
          </w:p>
        </w:tc>
        <w:tc>
          <w:tcPr>
            <w:tcW w:w="1830" w:type="dxa"/>
            <w:gridSpan w:val="3"/>
            <w:shd w:val="clear" w:color="auto" w:fill="auto"/>
            <w:vAlign w:val="center"/>
          </w:tcPr>
          <w:p w14:paraId="34EC04C8">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承担安全评价、认证、检测、检验职责的机构出具失实报告</w:t>
            </w:r>
          </w:p>
        </w:tc>
        <w:tc>
          <w:tcPr>
            <w:tcW w:w="2789" w:type="dxa"/>
            <w:gridSpan w:val="2"/>
            <w:shd w:val="clear" w:color="auto" w:fill="auto"/>
            <w:vAlign w:val="center"/>
          </w:tcPr>
          <w:p w14:paraId="6698C095">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违反条款：《中华人民共和国安全生产法》第七十二条第一款；</w:t>
            </w:r>
          </w:p>
          <w:p w14:paraId="57B4E3C8">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处罚条款：第九十二条第一款，责令停业整顿，并处三万元以上十万元以下的罚款；给他人造成损害的，依法承担赔偿责任。</w:t>
            </w:r>
          </w:p>
        </w:tc>
        <w:tc>
          <w:tcPr>
            <w:tcW w:w="6992" w:type="dxa"/>
            <w:gridSpan w:val="5"/>
            <w:shd w:val="clear" w:color="auto" w:fill="auto"/>
            <w:vAlign w:val="center"/>
          </w:tcPr>
          <w:p w14:paraId="6965570F">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3E345CCA">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4BFE3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14:paraId="32EFA9EB">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39</w:t>
            </w:r>
          </w:p>
        </w:tc>
        <w:tc>
          <w:tcPr>
            <w:tcW w:w="1830" w:type="dxa"/>
            <w:gridSpan w:val="3"/>
            <w:shd w:val="clear" w:color="auto" w:fill="auto"/>
            <w:vAlign w:val="center"/>
          </w:tcPr>
          <w:p w14:paraId="45E22484">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生产经营单位存在重大事故隐患，一百八十日内三次或者一年内四次受到《中华人民共和国安全生产法》规定的行政处罚</w:t>
            </w:r>
          </w:p>
        </w:tc>
        <w:tc>
          <w:tcPr>
            <w:tcW w:w="2789" w:type="dxa"/>
            <w:gridSpan w:val="2"/>
            <w:shd w:val="clear" w:color="auto" w:fill="auto"/>
            <w:vAlign w:val="center"/>
          </w:tcPr>
          <w:p w14:paraId="7A3970D2">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违反条款：《中华人民共和国安全生产法》第一百一十三条第（一）项；</w:t>
            </w:r>
          </w:p>
          <w:p w14:paraId="20681619">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一百一十三条第（一）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6992" w:type="dxa"/>
            <w:gridSpan w:val="5"/>
            <w:shd w:val="clear" w:color="auto" w:fill="auto"/>
            <w:vAlign w:val="center"/>
          </w:tcPr>
          <w:p w14:paraId="195015C7">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0D5C35E8">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3EF2C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14:paraId="44116B50">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40</w:t>
            </w:r>
          </w:p>
        </w:tc>
        <w:tc>
          <w:tcPr>
            <w:tcW w:w="1830" w:type="dxa"/>
            <w:gridSpan w:val="3"/>
            <w:shd w:val="clear" w:color="auto" w:fill="auto"/>
            <w:vAlign w:val="center"/>
          </w:tcPr>
          <w:p w14:paraId="41DF33CB">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生产经营单位经停产停业整顿，仍不具备法律、行政法规和国家标准或者行业标准规定的安全生产条件</w:t>
            </w:r>
          </w:p>
        </w:tc>
        <w:tc>
          <w:tcPr>
            <w:tcW w:w="2789" w:type="dxa"/>
            <w:gridSpan w:val="2"/>
            <w:shd w:val="clear" w:color="auto" w:fill="auto"/>
            <w:vAlign w:val="center"/>
          </w:tcPr>
          <w:p w14:paraId="297A03BE">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违反条款：《中华人民共和国安全生产法》第一百一十三条第二项；</w:t>
            </w:r>
          </w:p>
          <w:p w14:paraId="1B9B291B">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处罚条款：第一百一十三条第（二）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6992" w:type="dxa"/>
            <w:gridSpan w:val="5"/>
            <w:shd w:val="clear" w:color="auto" w:fill="auto"/>
            <w:vAlign w:val="center"/>
          </w:tcPr>
          <w:p w14:paraId="014D7C21">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1D931BBB">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4A82E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782" w:hRule="atLeast"/>
          <w:jc w:val="center"/>
        </w:trPr>
        <w:tc>
          <w:tcPr>
            <w:tcW w:w="610" w:type="dxa"/>
            <w:shd w:val="clear" w:color="auto" w:fill="auto"/>
            <w:vAlign w:val="center"/>
          </w:tcPr>
          <w:p w14:paraId="5EF4515A">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41</w:t>
            </w:r>
          </w:p>
        </w:tc>
        <w:tc>
          <w:tcPr>
            <w:tcW w:w="1830" w:type="dxa"/>
            <w:gridSpan w:val="3"/>
            <w:shd w:val="clear" w:color="auto" w:fill="auto"/>
            <w:vAlign w:val="center"/>
          </w:tcPr>
          <w:p w14:paraId="02FFF3C8">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生产经营单位拒不执行负有安全生产监督管理职责的部门作出的停产停业整顿决定</w:t>
            </w:r>
          </w:p>
        </w:tc>
        <w:tc>
          <w:tcPr>
            <w:tcW w:w="2789" w:type="dxa"/>
            <w:gridSpan w:val="2"/>
            <w:shd w:val="clear" w:color="auto" w:fill="auto"/>
            <w:vAlign w:val="center"/>
          </w:tcPr>
          <w:p w14:paraId="1000E74D">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违反条款：《中华人民共和国安全生产法》第一百一十三条第四项；</w:t>
            </w:r>
          </w:p>
          <w:p w14:paraId="157FBC96">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处罚条款：第一百一十三条第（四）项，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tc>
        <w:tc>
          <w:tcPr>
            <w:tcW w:w="6992" w:type="dxa"/>
            <w:gridSpan w:val="5"/>
            <w:shd w:val="clear" w:color="auto" w:fill="auto"/>
            <w:vAlign w:val="center"/>
          </w:tcPr>
          <w:p w14:paraId="390433DF">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3CB781C3">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588BD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90" w:hRule="atLeast"/>
          <w:jc w:val="center"/>
        </w:trPr>
        <w:tc>
          <w:tcPr>
            <w:tcW w:w="610" w:type="dxa"/>
            <w:shd w:val="clear" w:color="auto" w:fill="auto"/>
            <w:vAlign w:val="center"/>
          </w:tcPr>
          <w:p w14:paraId="35E76804">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42</w:t>
            </w:r>
          </w:p>
        </w:tc>
        <w:tc>
          <w:tcPr>
            <w:tcW w:w="1830" w:type="dxa"/>
            <w:gridSpan w:val="3"/>
            <w:shd w:val="clear" w:color="auto" w:fill="auto"/>
            <w:vAlign w:val="center"/>
          </w:tcPr>
          <w:p w14:paraId="46EC93C9">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生产经营单位未执行专项安全生产管理措施逾期未改正</w:t>
            </w:r>
          </w:p>
        </w:tc>
        <w:tc>
          <w:tcPr>
            <w:tcW w:w="2789" w:type="dxa"/>
            <w:gridSpan w:val="2"/>
            <w:shd w:val="clear" w:color="auto" w:fill="auto"/>
            <w:vAlign w:val="center"/>
          </w:tcPr>
          <w:p w14:paraId="29AB4D45">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违反条款：《北京市安全生产条例》第四十四条第一款</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 xml:space="preserve"> </w:t>
            </w:r>
          </w:p>
          <w:p w14:paraId="2C094564">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处罚条款：第六十一条，责令限期改正；逾期未改正的，责令停止生产经营活动。</w:t>
            </w:r>
          </w:p>
        </w:tc>
        <w:tc>
          <w:tcPr>
            <w:tcW w:w="6992" w:type="dxa"/>
            <w:gridSpan w:val="5"/>
            <w:shd w:val="clear" w:color="auto" w:fill="auto"/>
            <w:vAlign w:val="center"/>
          </w:tcPr>
          <w:p w14:paraId="6CF1BB03">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430D2EE2">
            <w:pPr>
              <w:keepNext w:val="0"/>
              <w:keepLines w:val="0"/>
              <w:pageBreakBefore w:val="0"/>
              <w:kinsoku/>
              <w:wordWrap/>
              <w:overflowPunct/>
              <w:topLinePunct w:val="0"/>
              <w:autoSpaceDE/>
              <w:autoSpaceDN/>
              <w:bidi w:val="0"/>
              <w:adjustRightInd/>
              <w:snapToGrid/>
              <w:spacing w:line="240" w:lineRule="auto"/>
              <w:ind w:left="6" w:leftChars="0" w:hanging="21" w:firstLineChars="0"/>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5CA16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72" w:hRule="atLeast"/>
          <w:jc w:val="center"/>
        </w:trPr>
        <w:tc>
          <w:tcPr>
            <w:tcW w:w="610" w:type="dxa"/>
            <w:shd w:val="clear" w:color="auto" w:fill="auto"/>
            <w:vAlign w:val="center"/>
          </w:tcPr>
          <w:p w14:paraId="366E07F0">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43</w:t>
            </w:r>
          </w:p>
        </w:tc>
        <w:tc>
          <w:tcPr>
            <w:tcW w:w="1830" w:type="dxa"/>
            <w:gridSpan w:val="3"/>
            <w:shd w:val="clear" w:color="auto" w:fill="auto"/>
            <w:vAlign w:val="center"/>
          </w:tcPr>
          <w:p w14:paraId="58566A23">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生产经营单位开展危险化学品生产经营活动，未执行本市危险化学品禁止、限制、控制措施</w:t>
            </w:r>
          </w:p>
        </w:tc>
        <w:tc>
          <w:tcPr>
            <w:tcW w:w="2789" w:type="dxa"/>
            <w:gridSpan w:val="2"/>
            <w:shd w:val="clear" w:color="auto" w:fill="auto"/>
            <w:vAlign w:val="center"/>
          </w:tcPr>
          <w:p w14:paraId="139866A3">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违反条款：《北京市安全生产条例》第四十七条第二款；</w:t>
            </w:r>
          </w:p>
          <w:p w14:paraId="6DE91A37">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处罚条款：第六十二条，责令改正；拒不改正的，处二万元以上十万元以下的罚款。</w:t>
            </w:r>
          </w:p>
        </w:tc>
        <w:tc>
          <w:tcPr>
            <w:tcW w:w="6992" w:type="dxa"/>
            <w:gridSpan w:val="5"/>
            <w:shd w:val="clear" w:color="auto" w:fill="auto"/>
            <w:vAlign w:val="center"/>
          </w:tcPr>
          <w:p w14:paraId="3E32DA0F">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4D878FC4">
            <w:pPr>
              <w:keepNext w:val="0"/>
              <w:keepLines w:val="0"/>
              <w:pageBreakBefore w:val="0"/>
              <w:kinsoku/>
              <w:wordWrap/>
              <w:overflowPunct/>
              <w:topLinePunct w:val="0"/>
              <w:autoSpaceDE/>
              <w:autoSpaceDN/>
              <w:bidi w:val="0"/>
              <w:adjustRightInd/>
              <w:snapToGrid/>
              <w:spacing w:line="240" w:lineRule="auto"/>
              <w:ind w:left="6" w:hanging="21"/>
              <w:jc w:val="both"/>
              <w:textAlignment w:val="auto"/>
              <w:rPr>
                <w:rFonts w:hint="eastAsia" w:cs="宋体" w:asciiTheme="minorEastAsia" w:hAnsiTheme="minorEastAsia" w:eastAsiaTheme="minorEastAsia"/>
                <w:strike w:val="0"/>
                <w:dstrike w:val="0"/>
                <w:color w:val="auto"/>
                <w:kern w:val="0"/>
                <w:sz w:val="15"/>
                <w:szCs w:val="15"/>
                <w:highlight w:val="none"/>
                <w:lang w:eastAsia="zh-CN"/>
              </w:rPr>
            </w:pPr>
          </w:p>
        </w:tc>
      </w:tr>
      <w:tr w14:paraId="5CDB9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387" w:hRule="atLeast"/>
          <w:jc w:val="center"/>
        </w:trPr>
        <w:tc>
          <w:tcPr>
            <w:tcW w:w="14203" w:type="dxa"/>
            <w:gridSpan w:val="13"/>
            <w:shd w:val="clear" w:color="auto" w:fill="auto"/>
            <w:vAlign w:val="center"/>
          </w:tcPr>
          <w:p w14:paraId="56C37839">
            <w:pPr>
              <w:pStyle w:val="3"/>
              <w:keepNext w:val="0"/>
              <w:keepLines w:val="0"/>
              <w:pageBreakBefore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94" w:name="_Toc44928791"/>
            <w:r>
              <w:rPr>
                <w:rFonts w:hint="eastAsia" w:ascii="宋体" w:hAnsi="宋体" w:eastAsia="宋体" w:cs="宋体"/>
                <w:color w:val="auto"/>
                <w:sz w:val="21"/>
                <w:szCs w:val="21"/>
                <w:highlight w:val="none"/>
              </w:rPr>
              <w:t>《北京市生产安全事故隐患排查治理办法》</w:t>
            </w:r>
            <w:r>
              <w:rPr>
                <w:rFonts w:hint="eastAsia" w:ascii="宋体" w:hAnsi="宋体" w:eastAsia="宋体" w:cs="宋体"/>
                <w:color w:val="auto"/>
                <w:sz w:val="21"/>
                <w:szCs w:val="21"/>
                <w:highlight w:val="none"/>
                <w:lang w:eastAsia="zh-Hans"/>
              </w:rPr>
              <w:t>案由</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lang w:eastAsia="zh-Hans"/>
              </w:rPr>
              <w:t>项</w:t>
            </w:r>
            <w:bookmarkEnd w:id="194"/>
          </w:p>
        </w:tc>
      </w:tr>
      <w:tr w14:paraId="02A96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056" w:hRule="atLeast"/>
          <w:jc w:val="center"/>
        </w:trPr>
        <w:tc>
          <w:tcPr>
            <w:tcW w:w="610" w:type="dxa"/>
            <w:shd w:val="clear" w:color="auto" w:fill="auto"/>
            <w:vAlign w:val="center"/>
          </w:tcPr>
          <w:p w14:paraId="2FA2F92F">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w:t>
            </w:r>
          </w:p>
        </w:tc>
        <w:tc>
          <w:tcPr>
            <w:tcW w:w="1830" w:type="dxa"/>
            <w:gridSpan w:val="3"/>
            <w:shd w:val="clear" w:color="auto" w:fill="auto"/>
            <w:vAlign w:val="center"/>
          </w:tcPr>
          <w:p w14:paraId="0C5731A4">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生产经营单位主要负责人未履行规定的事故隐患排查治理职责且逾期不改正</w:t>
            </w:r>
          </w:p>
        </w:tc>
        <w:tc>
          <w:tcPr>
            <w:tcW w:w="2789" w:type="dxa"/>
            <w:gridSpan w:val="2"/>
            <w:shd w:val="clear" w:color="auto" w:fill="auto"/>
            <w:vAlign w:val="center"/>
          </w:tcPr>
          <w:p w14:paraId="1BADD448">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Hans"/>
              </w:rPr>
              <w:t>第</w:t>
            </w:r>
            <w:r>
              <w:rPr>
                <w:rFonts w:hint="eastAsia" w:asciiTheme="minorEastAsia" w:hAnsiTheme="minorEastAsia" w:eastAsiaTheme="minorEastAsia"/>
                <w:color w:val="auto"/>
                <w:sz w:val="15"/>
                <w:szCs w:val="15"/>
                <w:highlight w:val="none"/>
              </w:rPr>
              <w:t>七条；</w:t>
            </w:r>
          </w:p>
          <w:p w14:paraId="35B93D4C">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处罚条款：第二十六条，责令限期改正；逾期未改正的，处2万元以上5万元以下罚款。</w:t>
            </w:r>
          </w:p>
        </w:tc>
        <w:tc>
          <w:tcPr>
            <w:tcW w:w="6992" w:type="dxa"/>
            <w:gridSpan w:val="5"/>
            <w:shd w:val="clear" w:color="auto" w:fill="auto"/>
            <w:vAlign w:val="center"/>
          </w:tcPr>
          <w:p w14:paraId="29CE86B2">
            <w:pPr>
              <w:keepNext w:val="0"/>
              <w:keepLines w:val="0"/>
              <w:pageBreakBefore w:val="0"/>
              <w:kinsoku/>
              <w:wordWrap/>
              <w:overflowPunct/>
              <w:topLinePunct w:val="0"/>
              <w:autoSpaceDE/>
              <w:autoSpaceDN/>
              <w:bidi w:val="0"/>
              <w:adjustRightInd/>
              <w:snapToGrid/>
              <w:spacing w:line="240" w:lineRule="auto"/>
              <w:ind w:left="6" w:hanging="21"/>
              <w:textAlignment w:val="auto"/>
              <w:rPr>
                <w:rFonts w:hint="eastAsia" w:cs="宋体" w:asciiTheme="minorEastAsia" w:hAnsiTheme="minorEastAsia" w:eastAsiaTheme="minorEastAsia"/>
                <w:strike/>
                <w:dstrike w:val="0"/>
                <w:color w:val="auto"/>
                <w:kern w:val="0"/>
                <w:sz w:val="15"/>
                <w:szCs w:val="15"/>
                <w:highlight w:val="none"/>
              </w:rPr>
            </w:pPr>
          </w:p>
          <w:p w14:paraId="1E2C8EE5">
            <w:pPr>
              <w:keepNext w:val="0"/>
              <w:keepLines w:val="0"/>
              <w:pageBreakBefore w:val="0"/>
              <w:kinsoku/>
              <w:wordWrap/>
              <w:overflowPunct/>
              <w:topLinePunct w:val="0"/>
              <w:autoSpaceDE/>
              <w:autoSpaceDN/>
              <w:bidi w:val="0"/>
              <w:adjustRightInd/>
              <w:snapToGrid/>
              <w:spacing w:line="240" w:lineRule="auto"/>
              <w:textAlignment w:val="auto"/>
              <w:rPr>
                <w:rFonts w:hint="eastAsia" w:cs="Times New Roman" w:asciiTheme="minorEastAsia" w:hAnsiTheme="minorEastAsia" w:eastAsiaTheme="minorEastAsia"/>
                <w:strike/>
                <w:dstrike w:val="0"/>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14:paraId="467F886E">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14:paraId="667664CF">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p>
        </w:tc>
      </w:tr>
      <w:tr w14:paraId="7BD67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90" w:hRule="atLeast"/>
          <w:jc w:val="center"/>
        </w:trPr>
        <w:tc>
          <w:tcPr>
            <w:tcW w:w="610" w:type="dxa"/>
            <w:shd w:val="clear" w:color="auto" w:fill="auto"/>
            <w:vAlign w:val="center"/>
          </w:tcPr>
          <w:p w14:paraId="1F4F6243">
            <w:pPr>
              <w:spacing w:line="232" w:lineRule="exact"/>
              <w:ind w:left="6" w:hanging="21"/>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w:t>
            </w:r>
          </w:p>
        </w:tc>
        <w:tc>
          <w:tcPr>
            <w:tcW w:w="1830" w:type="dxa"/>
            <w:gridSpan w:val="3"/>
            <w:shd w:val="clear" w:color="auto" w:fill="auto"/>
            <w:vAlign w:val="center"/>
          </w:tcPr>
          <w:p w14:paraId="2F7461DC">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生产经营单位未定期通报事故隐患排查治理情况，或者未公示重大事故隐患的危害程度、影响范围和应急措施</w:t>
            </w:r>
          </w:p>
        </w:tc>
        <w:tc>
          <w:tcPr>
            <w:tcW w:w="2789" w:type="dxa"/>
            <w:gridSpan w:val="2"/>
            <w:shd w:val="clear" w:color="auto" w:fill="auto"/>
            <w:vAlign w:val="center"/>
          </w:tcPr>
          <w:p w14:paraId="5B9D7724">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违反条款：第十一条；</w:t>
            </w:r>
          </w:p>
          <w:p w14:paraId="4ECAD88F">
            <w:pPr>
              <w:keepNext w:val="0"/>
              <w:keepLines w:val="0"/>
              <w:pageBreakBefore w:val="0"/>
              <w:kinsoku/>
              <w:wordWrap/>
              <w:overflowPunct/>
              <w:topLinePunct w:val="0"/>
              <w:autoSpaceDE/>
              <w:autoSpaceDN/>
              <w:bidi w:val="0"/>
              <w:adjustRightInd/>
              <w:snapToGrid/>
              <w:spacing w:line="240" w:lineRule="auto"/>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处罚条款：第二十八条，责令限期改正，可以处5万元以下罚款；逾期未改正的，责令停产停业整顿，并处5万元以上10万元以下罚款。</w:t>
            </w:r>
          </w:p>
        </w:tc>
        <w:tc>
          <w:tcPr>
            <w:tcW w:w="6992" w:type="dxa"/>
            <w:gridSpan w:val="5"/>
            <w:shd w:val="clear" w:color="auto" w:fill="auto"/>
            <w:vAlign w:val="center"/>
          </w:tcPr>
          <w:p w14:paraId="3CDCF063">
            <w:pPr>
              <w:keepNext w:val="0"/>
              <w:keepLines w:val="0"/>
              <w:pageBreakBefore w:val="0"/>
              <w:kinsoku/>
              <w:wordWrap/>
              <w:overflowPunct/>
              <w:topLinePunct w:val="0"/>
              <w:autoSpaceDE/>
              <w:autoSpaceDN/>
              <w:bidi w:val="0"/>
              <w:adjustRightInd/>
              <w:snapToGrid/>
              <w:spacing w:line="240" w:lineRule="auto"/>
              <w:ind w:left="6" w:hanging="21"/>
              <w:textAlignment w:val="auto"/>
              <w:rPr>
                <w:rFonts w:hint="eastAsia" w:cs="宋体" w:asciiTheme="minorEastAsia" w:hAnsiTheme="minorEastAsia" w:eastAsiaTheme="minorEastAsia"/>
                <w:strike/>
                <w:dstrike w:val="0"/>
                <w:color w:val="auto"/>
                <w:kern w:val="0"/>
                <w:sz w:val="15"/>
                <w:szCs w:val="15"/>
                <w:highlight w:val="none"/>
              </w:rPr>
            </w:pPr>
          </w:p>
          <w:p w14:paraId="4B895DC3">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p w14:paraId="2A76E527">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p>
        </w:tc>
        <w:tc>
          <w:tcPr>
            <w:tcW w:w="1982" w:type="dxa"/>
            <w:gridSpan w:val="2"/>
            <w:shd w:val="clear" w:color="auto" w:fill="auto"/>
            <w:vAlign w:val="center"/>
          </w:tcPr>
          <w:p w14:paraId="4E3BC701">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p>
        </w:tc>
      </w:tr>
      <w:tr w14:paraId="71413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33" w:hRule="atLeast"/>
          <w:jc w:val="center"/>
        </w:trPr>
        <w:tc>
          <w:tcPr>
            <w:tcW w:w="610" w:type="dxa"/>
            <w:shd w:val="clear" w:color="auto" w:fill="auto"/>
            <w:vAlign w:val="center"/>
          </w:tcPr>
          <w:p w14:paraId="0A10BA4D">
            <w:pPr>
              <w:spacing w:line="232" w:lineRule="exact"/>
              <w:ind w:left="6" w:leftChars="0" w:hanging="21" w:firstLineChars="0"/>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3</w:t>
            </w:r>
          </w:p>
        </w:tc>
        <w:tc>
          <w:tcPr>
            <w:tcW w:w="1830" w:type="dxa"/>
            <w:gridSpan w:val="3"/>
            <w:shd w:val="clear" w:color="auto" w:fill="auto"/>
            <w:vAlign w:val="center"/>
          </w:tcPr>
          <w:p w14:paraId="1EF783F0">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生产经营单位未将无法及时消除并可能危及公共安全的事故隐患，向所在地负有安全生产监督管理职责的部门报告</w:t>
            </w:r>
          </w:p>
        </w:tc>
        <w:tc>
          <w:tcPr>
            <w:tcW w:w="2789" w:type="dxa"/>
            <w:gridSpan w:val="2"/>
            <w:shd w:val="clear" w:color="auto" w:fill="auto"/>
            <w:vAlign w:val="center"/>
          </w:tcPr>
          <w:p w14:paraId="35510A75">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违反条款：第十二条第一款第一项：</w:t>
            </w:r>
          </w:p>
          <w:p w14:paraId="3284CC5B">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处罚条款：第二十九条，处5万元以下罚款。</w:t>
            </w:r>
          </w:p>
        </w:tc>
        <w:tc>
          <w:tcPr>
            <w:tcW w:w="6992" w:type="dxa"/>
            <w:gridSpan w:val="5"/>
            <w:shd w:val="clear" w:color="auto" w:fill="auto"/>
            <w:vAlign w:val="center"/>
          </w:tcPr>
          <w:p w14:paraId="69369F49">
            <w:pPr>
              <w:keepNext w:val="0"/>
              <w:keepLines w:val="0"/>
              <w:pageBreakBefore w:val="0"/>
              <w:kinsoku/>
              <w:wordWrap/>
              <w:overflowPunct/>
              <w:topLinePunct w:val="0"/>
              <w:autoSpaceDE/>
              <w:autoSpaceDN/>
              <w:bidi w:val="0"/>
              <w:adjustRightInd/>
              <w:snapToGrid/>
              <w:spacing w:line="240" w:lineRule="auto"/>
              <w:ind w:left="6" w:leftChars="0" w:hanging="21" w:firstLineChars="0"/>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71011625">
            <w:pPr>
              <w:keepNext w:val="0"/>
              <w:keepLines w:val="0"/>
              <w:pageBreakBefore w:val="0"/>
              <w:kinsoku/>
              <w:wordWrap/>
              <w:overflowPunct/>
              <w:topLinePunct w:val="0"/>
              <w:autoSpaceDE/>
              <w:autoSpaceDN/>
              <w:bidi w:val="0"/>
              <w:adjustRightInd/>
              <w:snapToGrid/>
              <w:spacing w:line="240" w:lineRule="auto"/>
              <w:ind w:left="6" w:leftChars="0" w:hanging="21" w:firstLineChars="0"/>
              <w:textAlignment w:val="auto"/>
              <w:rPr>
                <w:rFonts w:cs="宋体" w:asciiTheme="minorEastAsia" w:hAnsiTheme="minorEastAsia" w:eastAsiaTheme="minorEastAsia"/>
                <w:strike/>
                <w:dstrike w:val="0"/>
                <w:color w:val="auto"/>
                <w:kern w:val="0"/>
                <w:sz w:val="15"/>
                <w:szCs w:val="15"/>
                <w:highlight w:val="none"/>
              </w:rPr>
            </w:pPr>
          </w:p>
        </w:tc>
      </w:tr>
      <w:tr w14:paraId="0E8E9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1188" w:hRule="atLeast"/>
          <w:jc w:val="center"/>
        </w:trPr>
        <w:tc>
          <w:tcPr>
            <w:tcW w:w="610" w:type="dxa"/>
            <w:shd w:val="clear" w:color="auto" w:fill="auto"/>
            <w:vAlign w:val="center"/>
          </w:tcPr>
          <w:p w14:paraId="2C00CA4C">
            <w:pPr>
              <w:spacing w:line="232" w:lineRule="exact"/>
              <w:ind w:left="6" w:hanging="21"/>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4</w:t>
            </w:r>
          </w:p>
        </w:tc>
        <w:tc>
          <w:tcPr>
            <w:tcW w:w="1830" w:type="dxa"/>
            <w:gridSpan w:val="3"/>
            <w:shd w:val="clear" w:color="auto" w:fill="auto"/>
            <w:vAlign w:val="center"/>
          </w:tcPr>
          <w:p w14:paraId="0520A37E">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生产经营单位未按照要求使用生产安全事故隐患排查治理信息系统，如实记录隐患排查治理情况</w:t>
            </w:r>
          </w:p>
        </w:tc>
        <w:tc>
          <w:tcPr>
            <w:tcW w:w="2789" w:type="dxa"/>
            <w:gridSpan w:val="2"/>
            <w:shd w:val="clear" w:color="auto" w:fill="auto"/>
            <w:vAlign w:val="top"/>
          </w:tcPr>
          <w:p w14:paraId="41B63CEF">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违反条款：第十六条；</w:t>
            </w:r>
          </w:p>
          <w:p w14:paraId="2169E118">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处罚条款：第三十条， 责令限期改正，可以处5万元以下罚款；逾期未改正的，责令停产停业整顿，并处5万元以上10万元以下罚款。</w:t>
            </w:r>
          </w:p>
        </w:tc>
        <w:tc>
          <w:tcPr>
            <w:tcW w:w="6992" w:type="dxa"/>
            <w:gridSpan w:val="5"/>
            <w:shd w:val="clear" w:color="auto" w:fill="auto"/>
            <w:vAlign w:val="center"/>
          </w:tcPr>
          <w:p w14:paraId="50C3C14A">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6C1B941E">
            <w:pPr>
              <w:keepNext w:val="0"/>
              <w:keepLines w:val="0"/>
              <w:pageBreakBefore w:val="0"/>
              <w:kinsoku/>
              <w:wordWrap/>
              <w:overflowPunct/>
              <w:topLinePunct w:val="0"/>
              <w:autoSpaceDE/>
              <w:autoSpaceDN/>
              <w:bidi w:val="0"/>
              <w:adjustRightInd/>
              <w:snapToGrid/>
              <w:spacing w:line="240" w:lineRule="auto"/>
              <w:ind w:left="6" w:hanging="21"/>
              <w:textAlignment w:val="auto"/>
              <w:rPr>
                <w:rFonts w:cs="宋体" w:asciiTheme="minorEastAsia" w:hAnsiTheme="minorEastAsia" w:eastAsiaTheme="minorEastAsia"/>
                <w:strike/>
                <w:dstrike w:val="0"/>
                <w:color w:val="auto"/>
                <w:kern w:val="0"/>
                <w:sz w:val="15"/>
                <w:szCs w:val="15"/>
                <w:highlight w:val="none"/>
              </w:rPr>
            </w:pPr>
          </w:p>
        </w:tc>
      </w:tr>
      <w:tr w14:paraId="71953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565" w:hRule="atLeast"/>
          <w:jc w:val="center"/>
        </w:trPr>
        <w:tc>
          <w:tcPr>
            <w:tcW w:w="14203" w:type="dxa"/>
            <w:gridSpan w:val="13"/>
            <w:shd w:val="clear" w:color="auto" w:fill="auto"/>
            <w:vAlign w:val="center"/>
          </w:tcPr>
          <w:p w14:paraId="49BA399A">
            <w:pPr>
              <w:pStyle w:val="3"/>
              <w:bidi w:val="0"/>
              <w:jc w:val="center"/>
              <w:rPr>
                <w:rFonts w:hint="default" w:cs="宋体" w:asciiTheme="minorEastAsia" w:hAnsiTheme="minorEastAsia" w:eastAsiaTheme="minorEastAsia"/>
                <w:color w:val="auto"/>
                <w:kern w:val="0"/>
                <w:sz w:val="15"/>
                <w:szCs w:val="15"/>
                <w:highlight w:val="none"/>
                <w:lang w:val="en-US"/>
              </w:rPr>
            </w:pPr>
            <w:bookmarkStart w:id="195" w:name="_Toc962514194"/>
            <w:r>
              <w:rPr>
                <w:rFonts w:hint="eastAsia" w:ascii="宋体" w:hAnsi="宋体" w:eastAsia="宋体" w:cs="宋体"/>
                <w:color w:val="auto"/>
                <w:sz w:val="21"/>
                <w:szCs w:val="21"/>
                <w:highlight w:val="none"/>
                <w:lang w:val="en-US" w:eastAsia="zh-CN"/>
              </w:rPr>
              <w:t>《北京市生产经营单位安全生产主体责任规定》案由2项</w:t>
            </w:r>
            <w:bookmarkEnd w:id="195"/>
          </w:p>
        </w:tc>
      </w:tr>
      <w:tr w14:paraId="19689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845" w:hRule="atLeast"/>
          <w:jc w:val="center"/>
        </w:trPr>
        <w:tc>
          <w:tcPr>
            <w:tcW w:w="610" w:type="dxa"/>
            <w:shd w:val="clear" w:color="auto" w:fill="auto"/>
            <w:vAlign w:val="center"/>
          </w:tcPr>
          <w:p w14:paraId="752452FD">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1</w:t>
            </w:r>
          </w:p>
        </w:tc>
        <w:tc>
          <w:tcPr>
            <w:tcW w:w="1830" w:type="dxa"/>
            <w:gridSpan w:val="3"/>
            <w:shd w:val="clear" w:color="auto" w:fill="auto"/>
            <w:vAlign w:val="center"/>
          </w:tcPr>
          <w:p w14:paraId="584E4C2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危险物品的生产经营单位未按照规定配备注册安全工程师</w:t>
            </w:r>
          </w:p>
        </w:tc>
        <w:tc>
          <w:tcPr>
            <w:tcW w:w="2789" w:type="dxa"/>
            <w:gridSpan w:val="2"/>
            <w:shd w:val="clear" w:color="auto" w:fill="auto"/>
            <w:vAlign w:val="center"/>
          </w:tcPr>
          <w:p w14:paraId="59142C52">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违反条款：十四条第一款；</w:t>
            </w:r>
          </w:p>
          <w:p w14:paraId="7C097D2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处罚条款：第三十七条， 责令改正，可以处5000元以上2万元以下罚款。</w:t>
            </w:r>
          </w:p>
        </w:tc>
        <w:tc>
          <w:tcPr>
            <w:tcW w:w="6992" w:type="dxa"/>
            <w:gridSpan w:val="5"/>
            <w:shd w:val="clear" w:color="auto" w:fill="auto"/>
            <w:vAlign w:val="center"/>
          </w:tcPr>
          <w:p w14:paraId="3C42A7A3">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left"/>
              <w:textAlignment w:val="auto"/>
              <w:rPr>
                <w:rFonts w:cs="宋体" w:asciiTheme="minorEastAsia" w:hAnsiTheme="minorEastAsia" w:eastAsiaTheme="minorEastAsia"/>
                <w:strike/>
                <w:dstrike w:val="0"/>
                <w:color w:val="auto"/>
                <w:kern w:val="0"/>
                <w:sz w:val="15"/>
                <w:szCs w:val="15"/>
                <w:highlight w:val="none"/>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43B101EB">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left"/>
              <w:textAlignment w:val="auto"/>
              <w:rPr>
                <w:rFonts w:cs="宋体" w:asciiTheme="minorEastAsia" w:hAnsiTheme="minorEastAsia" w:eastAsiaTheme="minorEastAsia"/>
                <w:strike/>
                <w:dstrike w:val="0"/>
                <w:color w:val="auto"/>
                <w:kern w:val="0"/>
                <w:sz w:val="15"/>
                <w:szCs w:val="15"/>
                <w:highlight w:val="none"/>
              </w:rPr>
            </w:pPr>
          </w:p>
        </w:tc>
      </w:tr>
      <w:tr w14:paraId="3FD89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gridAfter w:val="2"/>
          <w:wAfter w:w="134" w:type="dxa"/>
          <w:trHeight w:val="2459" w:hRule="atLeast"/>
          <w:jc w:val="center"/>
        </w:trPr>
        <w:tc>
          <w:tcPr>
            <w:tcW w:w="610" w:type="dxa"/>
            <w:shd w:val="clear" w:color="auto" w:fill="auto"/>
            <w:vAlign w:val="center"/>
          </w:tcPr>
          <w:p w14:paraId="1F51899F">
            <w:pPr>
              <w:spacing w:line="232" w:lineRule="exact"/>
              <w:ind w:left="6" w:leftChars="0" w:hanging="21" w:firstLineChars="0"/>
              <w:jc w:val="center"/>
              <w:rPr>
                <w:rFonts w:hint="default" w:cs="宋体" w:asciiTheme="minorEastAsia" w:hAnsiTheme="minorEastAsia" w:eastAsiaTheme="minorEastAsia"/>
                <w:color w:val="auto"/>
                <w:kern w:val="0"/>
                <w:sz w:val="15"/>
                <w:szCs w:val="15"/>
                <w:highlight w:val="none"/>
                <w:lang w:val="en-US"/>
              </w:rPr>
            </w:pPr>
            <w:r>
              <w:rPr>
                <w:rFonts w:hint="default" w:cs="宋体" w:asciiTheme="minorEastAsia" w:hAnsiTheme="minorEastAsia" w:eastAsiaTheme="minorEastAsia"/>
                <w:color w:val="auto"/>
                <w:kern w:val="0"/>
                <w:sz w:val="15"/>
                <w:szCs w:val="15"/>
                <w:highlight w:val="none"/>
                <w:lang w:val="en-US"/>
              </w:rPr>
              <w:t>2</w:t>
            </w:r>
          </w:p>
        </w:tc>
        <w:tc>
          <w:tcPr>
            <w:tcW w:w="1830" w:type="dxa"/>
            <w:gridSpan w:val="3"/>
            <w:shd w:val="clear" w:color="auto" w:fill="auto"/>
            <w:vAlign w:val="center"/>
          </w:tcPr>
          <w:p w14:paraId="59F0880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产经营单位进行爆破、吊装、挖掘、悬吊、建设工程拆除、油罐清洗等危险作业，以及在有限空间内作业、动火作业、高处作业、带电作业、临近高压输电线路作业，未制定作业方案，或未按照本单位内部批准权限审批，拒不改正</w:t>
            </w:r>
          </w:p>
        </w:tc>
        <w:tc>
          <w:tcPr>
            <w:tcW w:w="2789" w:type="dxa"/>
            <w:gridSpan w:val="2"/>
            <w:shd w:val="clear" w:color="auto" w:fill="auto"/>
            <w:vAlign w:val="center"/>
          </w:tcPr>
          <w:p w14:paraId="7D28A37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违反条款：第二十五条第一项；</w:t>
            </w:r>
          </w:p>
          <w:p w14:paraId="2593EB5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处罚条款：第四十六条， 责令改正；拒不改正的，责令停产停业整顿，可以处2万元以上10万元以下罚款。</w:t>
            </w:r>
          </w:p>
        </w:tc>
        <w:tc>
          <w:tcPr>
            <w:tcW w:w="6992" w:type="dxa"/>
            <w:gridSpan w:val="5"/>
            <w:shd w:val="clear" w:color="auto" w:fill="auto"/>
            <w:vAlign w:val="center"/>
          </w:tcPr>
          <w:p w14:paraId="746AD3C2">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left"/>
              <w:textAlignment w:val="auto"/>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p>
        </w:tc>
        <w:tc>
          <w:tcPr>
            <w:tcW w:w="1982" w:type="dxa"/>
            <w:gridSpan w:val="2"/>
            <w:shd w:val="clear" w:color="auto" w:fill="auto"/>
            <w:vAlign w:val="center"/>
          </w:tcPr>
          <w:p w14:paraId="75238024">
            <w:pPr>
              <w:keepNext w:val="0"/>
              <w:keepLines w:val="0"/>
              <w:pageBreakBefore w:val="0"/>
              <w:widowControl w:val="0"/>
              <w:kinsoku/>
              <w:wordWrap/>
              <w:overflowPunct/>
              <w:topLinePunct w:val="0"/>
              <w:autoSpaceDE/>
              <w:autoSpaceDN/>
              <w:bidi w:val="0"/>
              <w:adjustRightInd/>
              <w:snapToGrid/>
              <w:spacing w:line="240" w:lineRule="auto"/>
              <w:ind w:left="6" w:leftChars="0" w:hanging="21" w:firstLineChars="0"/>
              <w:jc w:val="left"/>
              <w:textAlignment w:val="auto"/>
              <w:rPr>
                <w:rFonts w:cs="宋体" w:asciiTheme="minorEastAsia" w:hAnsiTheme="minorEastAsia" w:eastAsiaTheme="minorEastAsia"/>
                <w:strike/>
                <w:dstrike w:val="0"/>
                <w:color w:val="auto"/>
                <w:kern w:val="0"/>
                <w:sz w:val="15"/>
                <w:szCs w:val="15"/>
                <w:highlight w:val="none"/>
              </w:rPr>
            </w:pPr>
          </w:p>
        </w:tc>
      </w:tr>
      <w:tr w14:paraId="79F272C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613" w:hRule="atLeast"/>
        </w:trPr>
        <w:tc>
          <w:tcPr>
            <w:tcW w:w="14204"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14:paraId="55AE8540">
            <w:pPr>
              <w:widowControl/>
              <w:jc w:val="center"/>
              <w:outlineLvl w:val="0"/>
              <w:rPr>
                <w:rFonts w:ascii="Times New Roman" w:hAnsi="Times New Roman" w:eastAsia="黑体" w:cs="Times New Roman"/>
                <w:color w:val="auto"/>
                <w:kern w:val="0"/>
                <w:sz w:val="28"/>
                <w:szCs w:val="28"/>
                <w:highlight w:val="none"/>
              </w:rPr>
            </w:pPr>
            <w:bookmarkStart w:id="196" w:name="_Toc218468823"/>
            <w:bookmarkStart w:id="197" w:name="_Toc1260737422"/>
            <w:r>
              <w:rPr>
                <w:rFonts w:hint="eastAsia" w:ascii="黑体" w:hAnsi="黑体" w:eastAsia="黑体" w:cs="黑体"/>
                <w:color w:val="auto"/>
                <w:kern w:val="0"/>
                <w:sz w:val="28"/>
                <w:szCs w:val="28"/>
                <w:highlight w:val="none"/>
              </w:rPr>
              <w:t>节约用水管理方面</w:t>
            </w:r>
            <w:bookmarkEnd w:id="196"/>
            <w:bookmarkEnd w:id="197"/>
          </w:p>
        </w:tc>
      </w:tr>
      <w:tr w14:paraId="5A81A6E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524" w:hRule="atLeast"/>
        </w:trPr>
        <w:tc>
          <w:tcPr>
            <w:tcW w:w="14204" w:type="dxa"/>
            <w:gridSpan w:val="14"/>
            <w:tcBorders>
              <w:top w:val="single" w:color="auto" w:sz="4" w:space="0"/>
              <w:left w:val="single" w:color="auto" w:sz="4" w:space="0"/>
              <w:bottom w:val="single" w:color="auto" w:sz="4" w:space="0"/>
              <w:right w:val="single" w:color="auto" w:sz="4" w:space="0"/>
            </w:tcBorders>
            <w:shd w:val="clear" w:color="auto" w:fill="auto"/>
            <w:vAlign w:val="center"/>
          </w:tcPr>
          <w:p w14:paraId="19D2BB23">
            <w:pPr>
              <w:widowControl/>
              <w:jc w:val="center"/>
              <w:outlineLvl w:val="1"/>
              <w:rPr>
                <w:rFonts w:hint="eastAsia" w:asciiTheme="minorEastAsia" w:hAnsiTheme="minorEastAsia" w:eastAsiaTheme="minorEastAsia" w:cstheme="minorEastAsia"/>
                <w:color w:val="auto"/>
                <w:kern w:val="0"/>
                <w:szCs w:val="21"/>
                <w:highlight w:val="none"/>
              </w:rPr>
            </w:pPr>
            <w:bookmarkStart w:id="198" w:name="_Toc218468824"/>
            <w:bookmarkStart w:id="199" w:name="_Toc2139566837"/>
            <w:r>
              <w:rPr>
                <w:rFonts w:hint="eastAsia" w:asciiTheme="minorEastAsia" w:hAnsiTheme="minorEastAsia" w:eastAsiaTheme="minorEastAsia" w:cstheme="minorEastAsia"/>
                <w:b/>
                <w:bCs/>
                <w:color w:val="auto"/>
                <w:kern w:val="0"/>
                <w:szCs w:val="21"/>
                <w:highlight w:val="none"/>
              </w:rPr>
              <w:t>《中华人民共和国水法》《节约用水条例》案由4项</w:t>
            </w:r>
            <w:bookmarkEnd w:id="198"/>
            <w:bookmarkEnd w:id="199"/>
          </w:p>
        </w:tc>
      </w:tr>
      <w:tr w14:paraId="62C8E27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335CAB7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796F744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建设项目的节水设施没有建成或者没有达到国家规定的要求，擅自投入使用</w:t>
            </w:r>
          </w:p>
        </w:tc>
        <w:tc>
          <w:tcPr>
            <w:tcW w:w="2793" w:type="dxa"/>
            <w:gridSpan w:val="2"/>
            <w:tcBorders>
              <w:top w:val="nil"/>
              <w:left w:val="nil"/>
              <w:bottom w:val="single" w:color="auto" w:sz="4" w:space="0"/>
              <w:right w:val="single" w:color="auto" w:sz="4" w:space="0"/>
            </w:tcBorders>
            <w:shd w:val="clear" w:color="auto" w:fill="auto"/>
            <w:vAlign w:val="center"/>
          </w:tcPr>
          <w:p w14:paraId="3E1B876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违反条款：《水法》第五十三条；《条例》第十九条；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处罚条款：《水法》第七十一条，责令停止使用，限期改正，处五万元以上十万元以下的罚款；《条例》第四十七条，依照《水法》有关规定给予处罚。</w:t>
            </w:r>
          </w:p>
        </w:tc>
        <w:tc>
          <w:tcPr>
            <w:tcW w:w="864" w:type="dxa"/>
            <w:gridSpan w:val="2"/>
            <w:tcBorders>
              <w:top w:val="nil"/>
              <w:left w:val="nil"/>
              <w:bottom w:val="single" w:color="auto" w:sz="4" w:space="0"/>
              <w:right w:val="single" w:color="auto" w:sz="4" w:space="0"/>
            </w:tcBorders>
            <w:shd w:val="clear" w:color="auto" w:fill="auto"/>
            <w:vAlign w:val="center"/>
          </w:tcPr>
          <w:p w14:paraId="3B0980A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14:paraId="769BB6A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2F261B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持续时间＜60天或累计用水量＜5000立方米，系数为0；2.60天≤违法行为持续时间＜180天或5000立方米≤累计用水量＜10000立方米，系数为0.5；3.180天≤违法行为持续时间或10000立方米≤累计用水量，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C0351E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shd w:val="clear" w:color="auto" w:fill="auto"/>
            <w:vAlign w:val="center"/>
          </w:tcPr>
          <w:p w14:paraId="6C9DA53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74356E0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27E7002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73B7E79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侵占、损毁、擅自移动用水计量设施，或者干扰用水计量</w:t>
            </w:r>
          </w:p>
        </w:tc>
        <w:tc>
          <w:tcPr>
            <w:tcW w:w="2793" w:type="dxa"/>
            <w:gridSpan w:val="2"/>
            <w:tcBorders>
              <w:top w:val="nil"/>
              <w:left w:val="nil"/>
              <w:bottom w:val="single" w:color="auto" w:sz="4" w:space="0"/>
              <w:right w:val="single" w:color="auto" w:sz="4" w:space="0"/>
            </w:tcBorders>
            <w:shd w:val="clear" w:color="auto" w:fill="auto"/>
            <w:vAlign w:val="center"/>
          </w:tcPr>
          <w:p w14:paraId="370962E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违反条款：《条例》第十四条第三款；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处罚条款：《条例》第四十六条，责令停止违法行为，限期采取补救措施，处1万元以上10万元以下的罚款；造成损失的，依法承担赔偿责任。</w:t>
            </w:r>
          </w:p>
        </w:tc>
        <w:tc>
          <w:tcPr>
            <w:tcW w:w="864" w:type="dxa"/>
            <w:gridSpan w:val="2"/>
            <w:tcBorders>
              <w:top w:val="nil"/>
              <w:left w:val="nil"/>
              <w:bottom w:val="single" w:color="auto" w:sz="4" w:space="0"/>
              <w:right w:val="single" w:color="auto" w:sz="4" w:space="0"/>
            </w:tcBorders>
            <w:shd w:val="clear" w:color="auto" w:fill="auto"/>
            <w:vAlign w:val="center"/>
          </w:tcPr>
          <w:p w14:paraId="2E31E77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p>
        </w:tc>
        <w:tc>
          <w:tcPr>
            <w:tcW w:w="840" w:type="dxa"/>
            <w:tcBorders>
              <w:top w:val="nil"/>
              <w:left w:val="nil"/>
              <w:bottom w:val="single" w:color="auto" w:sz="4" w:space="0"/>
              <w:right w:val="single" w:color="auto" w:sz="4" w:space="0"/>
            </w:tcBorders>
            <w:shd w:val="clear" w:color="auto" w:fill="auto"/>
            <w:vAlign w:val="center"/>
          </w:tcPr>
          <w:p w14:paraId="1555A62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tcBorders>
              <w:top w:val="nil"/>
              <w:left w:val="nil"/>
              <w:bottom w:val="single" w:color="auto" w:sz="4" w:space="0"/>
              <w:right w:val="single" w:color="auto" w:sz="4" w:space="0"/>
            </w:tcBorders>
            <w:shd w:val="clear" w:color="auto" w:fill="auto"/>
            <w:vAlign w:val="center"/>
          </w:tcPr>
          <w:p w14:paraId="7DB3612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100立方米或违法行为持续时间＜60天，系数为0；2.100立方米≤日用水量＜200立方米或60天≤违法行为持续时间＜120天，系数为2；3.200立方米≤日用水量＜300立方米或120天≤违法行为持续时间＜150天，系数为4；4.300立方米≤日用水量＜500立方米或150天≤违法行为持续时间＜180天，系数为6；5.500立方米≤日用水量或180天≤违法行为持续时间，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BBF831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shd w:val="clear" w:color="auto" w:fill="auto"/>
            <w:vAlign w:val="center"/>
          </w:tcPr>
          <w:p w14:paraId="502F2F3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0159FE6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940" w:hRule="atLeast"/>
        </w:trPr>
        <w:tc>
          <w:tcPr>
            <w:tcW w:w="612" w:type="dxa"/>
            <w:gridSpan w:val="2"/>
            <w:vMerge w:val="restart"/>
            <w:tcBorders>
              <w:top w:val="nil"/>
              <w:left w:val="single" w:color="auto" w:sz="4" w:space="0"/>
              <w:right w:val="single" w:color="auto" w:sz="4" w:space="0"/>
            </w:tcBorders>
            <w:shd w:val="clear" w:color="auto" w:fill="auto"/>
            <w:vAlign w:val="center"/>
          </w:tcPr>
          <w:p w14:paraId="503CF85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 </w:t>
            </w:r>
          </w:p>
        </w:tc>
        <w:tc>
          <w:tcPr>
            <w:tcW w:w="1811" w:type="dxa"/>
            <w:vMerge w:val="restart"/>
            <w:tcBorders>
              <w:top w:val="nil"/>
              <w:left w:val="nil"/>
              <w:right w:val="single" w:color="auto" w:sz="4" w:space="0"/>
            </w:tcBorders>
            <w:shd w:val="clear" w:color="auto" w:fill="auto"/>
            <w:vAlign w:val="center"/>
          </w:tcPr>
          <w:p w14:paraId="113CCE4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工业企业的生产设备冷却水、空调冷却水、锅炉冷凝水未回收利用</w:t>
            </w:r>
          </w:p>
        </w:tc>
        <w:tc>
          <w:tcPr>
            <w:tcW w:w="2793" w:type="dxa"/>
            <w:gridSpan w:val="2"/>
            <w:vMerge w:val="restart"/>
            <w:tcBorders>
              <w:top w:val="nil"/>
              <w:left w:val="nil"/>
              <w:right w:val="single" w:color="auto" w:sz="4" w:space="0"/>
            </w:tcBorders>
            <w:shd w:val="clear" w:color="auto" w:fill="auto"/>
            <w:vAlign w:val="center"/>
          </w:tcPr>
          <w:p w14:paraId="2F55BB6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处罚条款：《条例》第四十九条，责令改正，可以处5万元以下的罚款；拒不改正的，处5万元以上10万元以下的罚款。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0A227D5C">
            <w:pPr>
              <w:widowControl/>
              <w:jc w:val="center"/>
              <w:rPr>
                <w:rFonts w:hint="default"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5000</w:t>
            </w:r>
          </w:p>
        </w:tc>
        <w:tc>
          <w:tcPr>
            <w:tcW w:w="840" w:type="dxa"/>
            <w:tcBorders>
              <w:top w:val="nil"/>
              <w:left w:val="nil"/>
              <w:bottom w:val="single" w:color="auto" w:sz="4" w:space="0"/>
              <w:right w:val="single" w:color="auto" w:sz="4" w:space="0"/>
            </w:tcBorders>
            <w:shd w:val="clear" w:color="auto" w:fill="auto"/>
            <w:vAlign w:val="center"/>
          </w:tcPr>
          <w:p w14:paraId="5B2875E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tcBorders>
              <w:top w:val="nil"/>
              <w:left w:val="nil"/>
              <w:bottom w:val="single" w:color="auto" w:sz="4" w:space="0"/>
              <w:right w:val="single" w:color="auto" w:sz="4" w:space="0"/>
            </w:tcBorders>
            <w:shd w:val="clear" w:color="auto" w:fill="auto"/>
            <w:vAlign w:val="center"/>
          </w:tcPr>
          <w:p w14:paraId="44E5FA3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限期改正，处以下罚款：1.日用水量＜400立方米或工业企业建筑面积＜3000平方米，系数为0；2.400立方米≤日用水量＜600立方米或3000平方米≤工业企业建筑面积＜5000平方米，系数为2；3.600立方米≤日用水量＜800立方米或5000平方米≤工业企业建筑面积＜7000平方米，系数为4；4.800立方米≤日用水量＜1000立方米或7000平方米≤工业企业建筑面积＜10000平方米，系数为6；5.1000立方米≤日用水量或10000平方米≤工业企业建筑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8AB351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shd w:val="clear" w:color="auto" w:fill="auto"/>
            <w:vAlign w:val="center"/>
          </w:tcPr>
          <w:p w14:paraId="337906E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w:t>
            </w:r>
            <w:r>
              <w:rPr>
                <w:rFonts w:hint="eastAsia" w:asciiTheme="minorEastAsia" w:hAnsiTheme="minorEastAsia" w:eastAsiaTheme="minorEastAsia" w:cstheme="minorEastAsia"/>
                <w:color w:val="auto"/>
                <w:kern w:val="0"/>
                <w:sz w:val="15"/>
                <w:szCs w:val="15"/>
                <w:highlight w:val="none"/>
                <w:lang w:val="en-US" w:eastAsia="zh-CN"/>
              </w:rPr>
              <w:t>5000</w:t>
            </w:r>
            <w:r>
              <w:rPr>
                <w:rFonts w:hint="eastAsia" w:asciiTheme="minorEastAsia" w:hAnsiTheme="minorEastAsia" w:eastAsiaTheme="minorEastAsia" w:cstheme="minorEastAsia"/>
                <w:color w:val="auto"/>
                <w:kern w:val="0"/>
                <w:sz w:val="15"/>
                <w:szCs w:val="15"/>
                <w:highlight w:val="none"/>
              </w:rPr>
              <w:t>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p>
        </w:tc>
      </w:tr>
      <w:tr w14:paraId="67312A8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900" w:hRule="atLeast"/>
        </w:trPr>
        <w:tc>
          <w:tcPr>
            <w:tcW w:w="612" w:type="dxa"/>
            <w:gridSpan w:val="2"/>
            <w:vMerge w:val="continue"/>
            <w:tcBorders>
              <w:left w:val="single" w:color="auto" w:sz="4" w:space="0"/>
              <w:bottom w:val="single" w:color="auto" w:sz="4" w:space="0"/>
              <w:right w:val="single" w:color="auto" w:sz="4" w:space="0"/>
            </w:tcBorders>
            <w:shd w:val="clear" w:color="auto" w:fill="auto"/>
            <w:vAlign w:val="center"/>
          </w:tcPr>
          <w:p w14:paraId="0ECA56F1">
            <w:pPr>
              <w:widowControl/>
              <w:jc w:val="center"/>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left w:val="nil"/>
              <w:bottom w:val="single" w:color="auto" w:sz="4" w:space="0"/>
              <w:right w:val="single" w:color="auto" w:sz="4" w:space="0"/>
            </w:tcBorders>
            <w:shd w:val="clear" w:color="auto" w:fill="auto"/>
            <w:vAlign w:val="center"/>
          </w:tcPr>
          <w:p w14:paraId="7B9EA61B">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left w:val="nil"/>
              <w:bottom w:val="single" w:color="auto" w:sz="4" w:space="0"/>
              <w:right w:val="single" w:color="auto" w:sz="4" w:space="0"/>
            </w:tcBorders>
            <w:shd w:val="clear" w:color="auto" w:fill="auto"/>
            <w:vAlign w:val="center"/>
          </w:tcPr>
          <w:p w14:paraId="48DACECD">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32DB1C5D">
            <w:pPr>
              <w:widowControl/>
              <w:jc w:val="center"/>
              <w:rPr>
                <w:rFonts w:hint="default"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50000</w:t>
            </w:r>
          </w:p>
        </w:tc>
        <w:tc>
          <w:tcPr>
            <w:tcW w:w="840" w:type="dxa"/>
            <w:tcBorders>
              <w:top w:val="nil"/>
              <w:left w:val="nil"/>
              <w:bottom w:val="single" w:color="auto" w:sz="4" w:space="0"/>
              <w:right w:val="single" w:color="auto" w:sz="4" w:space="0"/>
            </w:tcBorders>
            <w:shd w:val="clear" w:color="auto" w:fill="auto"/>
            <w:vAlign w:val="center"/>
          </w:tcPr>
          <w:p w14:paraId="60E0731B">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shd w:val="clear" w:color="auto" w:fill="auto"/>
            <w:vAlign w:val="center"/>
          </w:tcPr>
          <w:p w14:paraId="58B1EDC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拒不改正的，处以下罚款：1.日用水量＜400立方米或工业企业建筑面积＜3000平方米，系数为0；2.400立方米≤日用水量＜1000立方米或3000平方米≤工业企业建筑面积＜10000平方米，系数为0.5；3.1000立方米≤日用水量或10000平方米≤工业企业建筑面积，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1DFF81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0000×（1+情节系数）</w:t>
            </w:r>
          </w:p>
        </w:tc>
        <w:tc>
          <w:tcPr>
            <w:tcW w:w="1973" w:type="dxa"/>
            <w:gridSpan w:val="2"/>
            <w:tcBorders>
              <w:top w:val="nil"/>
              <w:left w:val="nil"/>
              <w:bottom w:val="single" w:color="auto" w:sz="4" w:space="0"/>
              <w:right w:val="single" w:color="auto" w:sz="4" w:space="0"/>
            </w:tcBorders>
            <w:shd w:val="clear" w:color="auto" w:fill="auto"/>
            <w:vAlign w:val="center"/>
          </w:tcPr>
          <w:p w14:paraId="1CE1A0E8">
            <w:pPr>
              <w:widowControl/>
              <w:jc w:val="left"/>
              <w:rPr>
                <w:rFonts w:hint="eastAsia" w:asciiTheme="minorEastAsia" w:hAnsiTheme="minorEastAsia" w:eastAsiaTheme="minorEastAsia" w:cstheme="minorEastAsia"/>
                <w:color w:val="auto"/>
                <w:kern w:val="0"/>
                <w:sz w:val="15"/>
                <w:szCs w:val="15"/>
                <w:highlight w:val="none"/>
              </w:rPr>
            </w:pPr>
          </w:p>
        </w:tc>
      </w:tr>
      <w:tr w14:paraId="4FFD377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136"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744AB72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0B0AB34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对高耗水工业企业用水水平超过用水定额，未在规定的期限内进行节水改造</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68ADDDF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违反条款：《条例》第二十七条第一款；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处罚条款：《条例》第四十八条，责令改正，可以处10万元以下的罚款；拒不改正的，处10万元以上50万元以下的罚款，情节严重的，采取限制用水措施或者吊销其取水许可证。</w:t>
            </w:r>
          </w:p>
        </w:tc>
        <w:tc>
          <w:tcPr>
            <w:tcW w:w="864" w:type="dxa"/>
            <w:gridSpan w:val="2"/>
            <w:tcBorders>
              <w:top w:val="nil"/>
              <w:left w:val="nil"/>
              <w:bottom w:val="single" w:color="auto" w:sz="4" w:space="0"/>
              <w:right w:val="single" w:color="auto" w:sz="4" w:space="0"/>
            </w:tcBorders>
            <w:shd w:val="clear" w:color="auto" w:fill="auto"/>
            <w:vAlign w:val="center"/>
          </w:tcPr>
          <w:p w14:paraId="1E96736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p>
        </w:tc>
        <w:tc>
          <w:tcPr>
            <w:tcW w:w="840" w:type="dxa"/>
            <w:tcBorders>
              <w:top w:val="nil"/>
              <w:left w:val="nil"/>
              <w:bottom w:val="single" w:color="auto" w:sz="4" w:space="0"/>
              <w:right w:val="single" w:color="auto" w:sz="4" w:space="0"/>
            </w:tcBorders>
            <w:shd w:val="clear" w:color="auto" w:fill="auto"/>
            <w:vAlign w:val="center"/>
          </w:tcPr>
          <w:p w14:paraId="30DA833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tcBorders>
              <w:top w:val="nil"/>
              <w:left w:val="nil"/>
              <w:bottom w:val="single" w:color="auto" w:sz="4" w:space="0"/>
              <w:right w:val="single" w:color="auto" w:sz="4" w:space="0"/>
            </w:tcBorders>
            <w:shd w:val="clear" w:color="auto" w:fill="auto"/>
            <w:vAlign w:val="center"/>
          </w:tcPr>
          <w:p w14:paraId="68AF2EB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限期改正，处以下罚款：1.企业用水水平超过用水定额＜50%，系数为0；2.50%≤企业用水水平超过用水定额＜90%，系数为2；3.90%≤企业用水水平超过用水定额＜120%，系数为4；4.120%≤企业用水水平超过用水定额＜150%，系数为6；5.150%≤企业用水水平超过用水定额＜180%，系数为8；6.180%≤企业用水水平超过用水定额，系数为9。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B79EB5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71213E9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（一）拒不改正且企业用水水平超过用水定额＞100%，视为情节严重。拟作出限制用水措施或吊销取水许可证的，在作出处罚决定前，要邀请行业主管部门共同会商。</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（二）需要作出10000元以下罚款决定的，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0478046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3015"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29E3B9B3">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22211D58">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4673257D">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41E45C2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p>
        </w:tc>
        <w:tc>
          <w:tcPr>
            <w:tcW w:w="840" w:type="dxa"/>
            <w:tcBorders>
              <w:top w:val="nil"/>
              <w:left w:val="nil"/>
              <w:bottom w:val="single" w:color="auto" w:sz="4" w:space="0"/>
              <w:right w:val="single" w:color="auto" w:sz="4" w:space="0"/>
            </w:tcBorders>
            <w:shd w:val="clear" w:color="auto" w:fill="auto"/>
            <w:vAlign w:val="center"/>
          </w:tcPr>
          <w:p w14:paraId="3140CAC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tcBorders>
              <w:top w:val="nil"/>
              <w:left w:val="nil"/>
              <w:bottom w:val="single" w:color="auto" w:sz="4" w:space="0"/>
              <w:right w:val="single" w:color="auto" w:sz="4" w:space="0"/>
            </w:tcBorders>
            <w:shd w:val="clear" w:color="auto" w:fill="auto"/>
            <w:vAlign w:val="center"/>
          </w:tcPr>
          <w:p w14:paraId="5C58074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拒不改正的，处以下罚款：1.企业用水水平超过用水定额＜50%，系数为0；2.50%≤企业用水水平超过用水定额＜70%，系数为0.5；3.70%≤企业用水水平超过用水定额＜90%，系数为1；4.90%≤企业用水水平超过用水定额＜110%，系数为1.5；5.110%≤企业用水水平超过用水定额＜130%，系数为2；6.130%≤企业用水水平超过用水定额＜150%，系数为2.5；7.150%≤企业用水水平超过用水定额＜170%，系数为3；8.170%≤企业用水水平超过用水定额＜190%，系数为3.5；9.190%≤企业用水水平超过用水定额，系数为4；10.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63E18F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3" w:type="dxa"/>
            <w:gridSpan w:val="2"/>
            <w:vMerge w:val="continue"/>
            <w:tcBorders>
              <w:top w:val="nil"/>
              <w:left w:val="single" w:color="auto" w:sz="4" w:space="0"/>
              <w:bottom w:val="single" w:color="auto" w:sz="4" w:space="0"/>
              <w:right w:val="single" w:color="auto" w:sz="4" w:space="0"/>
            </w:tcBorders>
            <w:vAlign w:val="center"/>
          </w:tcPr>
          <w:p w14:paraId="182124F7">
            <w:pPr>
              <w:widowControl/>
              <w:jc w:val="left"/>
              <w:rPr>
                <w:rFonts w:hint="eastAsia" w:asciiTheme="minorEastAsia" w:hAnsiTheme="minorEastAsia" w:eastAsiaTheme="minorEastAsia" w:cstheme="minorEastAsia"/>
                <w:color w:val="auto"/>
                <w:kern w:val="0"/>
                <w:sz w:val="15"/>
                <w:szCs w:val="15"/>
                <w:highlight w:val="none"/>
              </w:rPr>
            </w:pPr>
          </w:p>
        </w:tc>
      </w:tr>
      <w:tr w14:paraId="56A64CB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514" w:hRule="atLeast"/>
        </w:trPr>
        <w:tc>
          <w:tcPr>
            <w:tcW w:w="14204" w:type="dxa"/>
            <w:gridSpan w:val="14"/>
            <w:tcBorders>
              <w:top w:val="nil"/>
              <w:left w:val="single" w:color="auto" w:sz="4" w:space="0"/>
              <w:bottom w:val="single" w:color="auto" w:sz="4" w:space="0"/>
              <w:right w:val="single" w:color="auto" w:sz="4" w:space="0"/>
            </w:tcBorders>
            <w:vAlign w:val="center"/>
          </w:tcPr>
          <w:p w14:paraId="27DD4DFF">
            <w:pPr>
              <w:widowControl/>
              <w:jc w:val="center"/>
              <w:outlineLvl w:val="1"/>
              <w:rPr>
                <w:rFonts w:hint="eastAsia" w:asciiTheme="minorEastAsia" w:hAnsiTheme="minorEastAsia" w:eastAsiaTheme="minorEastAsia" w:cstheme="minorEastAsia"/>
                <w:color w:val="auto"/>
                <w:kern w:val="0"/>
                <w:szCs w:val="21"/>
                <w:highlight w:val="none"/>
              </w:rPr>
            </w:pPr>
            <w:bookmarkStart w:id="200" w:name="_Toc218468825"/>
            <w:bookmarkStart w:id="201" w:name="_Toc14207568"/>
            <w:r>
              <w:rPr>
                <w:rFonts w:hint="eastAsia" w:asciiTheme="minorEastAsia" w:hAnsiTheme="minorEastAsia" w:eastAsiaTheme="minorEastAsia" w:cstheme="minorEastAsia"/>
                <w:b/>
                <w:bCs/>
                <w:color w:val="auto"/>
                <w:kern w:val="0"/>
                <w:szCs w:val="21"/>
                <w:highlight w:val="none"/>
              </w:rPr>
              <w:t>《城市房屋便器水箱应用监督管理办法》案由4项</w:t>
            </w:r>
            <w:bookmarkEnd w:id="200"/>
            <w:bookmarkEnd w:id="201"/>
          </w:p>
        </w:tc>
      </w:tr>
      <w:tr w14:paraId="48302FD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0733B31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7701344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将安装有淘汰便器水箱和配件的新建房屋验收交付使用</w:t>
            </w:r>
          </w:p>
        </w:tc>
        <w:tc>
          <w:tcPr>
            <w:tcW w:w="2793" w:type="dxa"/>
            <w:gridSpan w:val="2"/>
            <w:tcBorders>
              <w:top w:val="nil"/>
              <w:left w:val="nil"/>
              <w:bottom w:val="single" w:color="auto" w:sz="4" w:space="0"/>
              <w:right w:val="single" w:color="auto" w:sz="4" w:space="0"/>
            </w:tcBorders>
            <w:shd w:val="clear" w:color="auto" w:fill="auto"/>
            <w:vAlign w:val="center"/>
          </w:tcPr>
          <w:p w14:paraId="29DE835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处罚条款：第九条第一款第（一）项，责令限期改正，并可按每套便器水箱配件处以30-100元的罚款，最高不超过30000元。</w:t>
            </w:r>
          </w:p>
        </w:tc>
        <w:tc>
          <w:tcPr>
            <w:tcW w:w="864" w:type="dxa"/>
            <w:gridSpan w:val="2"/>
            <w:tcBorders>
              <w:top w:val="nil"/>
              <w:left w:val="nil"/>
              <w:bottom w:val="single" w:color="auto" w:sz="4" w:space="0"/>
              <w:right w:val="single" w:color="auto" w:sz="4" w:space="0"/>
            </w:tcBorders>
            <w:shd w:val="clear" w:color="auto" w:fill="auto"/>
            <w:vAlign w:val="center"/>
          </w:tcPr>
          <w:p w14:paraId="6D593E5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 </w:t>
            </w:r>
          </w:p>
        </w:tc>
        <w:tc>
          <w:tcPr>
            <w:tcW w:w="840" w:type="dxa"/>
            <w:tcBorders>
              <w:top w:val="nil"/>
              <w:left w:val="nil"/>
              <w:bottom w:val="single" w:color="auto" w:sz="4" w:space="0"/>
              <w:right w:val="single" w:color="auto" w:sz="4" w:space="0"/>
            </w:tcBorders>
            <w:shd w:val="clear" w:color="auto" w:fill="auto"/>
            <w:vAlign w:val="center"/>
          </w:tcPr>
          <w:p w14:paraId="5EEA25F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AFBC76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8D7C56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shd w:val="clear" w:color="auto" w:fill="auto"/>
            <w:vAlign w:val="center"/>
          </w:tcPr>
          <w:p w14:paraId="4B7C1F7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45BE1E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7034ABF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2C3202C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未按更新改造计划更换淘汰便器水箱和配件</w:t>
            </w:r>
          </w:p>
        </w:tc>
        <w:tc>
          <w:tcPr>
            <w:tcW w:w="2793" w:type="dxa"/>
            <w:gridSpan w:val="2"/>
            <w:tcBorders>
              <w:top w:val="nil"/>
              <w:left w:val="nil"/>
              <w:bottom w:val="single" w:color="auto" w:sz="4" w:space="0"/>
              <w:right w:val="single" w:color="auto" w:sz="4" w:space="0"/>
            </w:tcBorders>
            <w:shd w:val="clear" w:color="auto" w:fill="auto"/>
            <w:vAlign w:val="center"/>
          </w:tcPr>
          <w:p w14:paraId="647B1C3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处罚条款：第九条第一款第（二）项，责令限期改正，并可按每套便器水箱配件处以30-100元的罚款，最高不超过30000元。</w:t>
            </w:r>
          </w:p>
        </w:tc>
        <w:tc>
          <w:tcPr>
            <w:tcW w:w="864" w:type="dxa"/>
            <w:gridSpan w:val="2"/>
            <w:tcBorders>
              <w:top w:val="nil"/>
              <w:left w:val="nil"/>
              <w:bottom w:val="single" w:color="auto" w:sz="4" w:space="0"/>
              <w:right w:val="single" w:color="auto" w:sz="4" w:space="0"/>
            </w:tcBorders>
            <w:shd w:val="clear" w:color="auto" w:fill="auto"/>
            <w:vAlign w:val="center"/>
          </w:tcPr>
          <w:p w14:paraId="692181E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 </w:t>
            </w:r>
          </w:p>
        </w:tc>
        <w:tc>
          <w:tcPr>
            <w:tcW w:w="840" w:type="dxa"/>
            <w:tcBorders>
              <w:top w:val="nil"/>
              <w:left w:val="nil"/>
              <w:bottom w:val="single" w:color="auto" w:sz="4" w:space="0"/>
              <w:right w:val="single" w:color="auto" w:sz="4" w:space="0"/>
            </w:tcBorders>
            <w:shd w:val="clear" w:color="auto" w:fill="auto"/>
            <w:vAlign w:val="center"/>
          </w:tcPr>
          <w:p w14:paraId="6EA1673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04D2C8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88808A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shd w:val="clear" w:color="auto" w:fill="auto"/>
            <w:vAlign w:val="center"/>
          </w:tcPr>
          <w:p w14:paraId="6F062F6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FA02D6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24652C5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6940337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在限定的期限内未更换淘汰便器水箱和配件</w:t>
            </w:r>
          </w:p>
        </w:tc>
        <w:tc>
          <w:tcPr>
            <w:tcW w:w="2793" w:type="dxa"/>
            <w:gridSpan w:val="2"/>
            <w:tcBorders>
              <w:top w:val="nil"/>
              <w:left w:val="nil"/>
              <w:bottom w:val="single" w:color="auto" w:sz="4" w:space="0"/>
              <w:right w:val="single" w:color="auto" w:sz="4" w:space="0"/>
            </w:tcBorders>
            <w:shd w:val="clear" w:color="auto" w:fill="auto"/>
            <w:vAlign w:val="center"/>
          </w:tcPr>
          <w:p w14:paraId="6867275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处罚条款：第九条第一款第（三）项，责令限期改正，并可按每套便器水箱配件处以30-100元的罚款，最高不超过30000元。</w:t>
            </w:r>
          </w:p>
        </w:tc>
        <w:tc>
          <w:tcPr>
            <w:tcW w:w="864" w:type="dxa"/>
            <w:gridSpan w:val="2"/>
            <w:tcBorders>
              <w:top w:val="nil"/>
              <w:left w:val="nil"/>
              <w:bottom w:val="single" w:color="auto" w:sz="4" w:space="0"/>
              <w:right w:val="single" w:color="auto" w:sz="4" w:space="0"/>
            </w:tcBorders>
            <w:shd w:val="clear" w:color="auto" w:fill="auto"/>
            <w:vAlign w:val="center"/>
          </w:tcPr>
          <w:p w14:paraId="15D0715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 </w:t>
            </w:r>
          </w:p>
        </w:tc>
        <w:tc>
          <w:tcPr>
            <w:tcW w:w="840" w:type="dxa"/>
            <w:tcBorders>
              <w:top w:val="nil"/>
              <w:left w:val="nil"/>
              <w:bottom w:val="single" w:color="auto" w:sz="4" w:space="0"/>
              <w:right w:val="single" w:color="auto" w:sz="4" w:space="0"/>
            </w:tcBorders>
            <w:shd w:val="clear" w:color="auto" w:fill="auto"/>
            <w:vAlign w:val="center"/>
          </w:tcPr>
          <w:p w14:paraId="07A2FCD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3757AD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0EDD4A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shd w:val="clear" w:color="auto" w:fill="auto"/>
            <w:vAlign w:val="center"/>
          </w:tcPr>
          <w:p w14:paraId="09F045E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7D77082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3BD0A3B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14:paraId="70C171E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漏水严重的房屋便器水箱和配件未按期进行维修或者更新</w:t>
            </w:r>
          </w:p>
        </w:tc>
        <w:tc>
          <w:tcPr>
            <w:tcW w:w="2793" w:type="dxa"/>
            <w:gridSpan w:val="2"/>
            <w:tcBorders>
              <w:top w:val="nil"/>
              <w:left w:val="nil"/>
              <w:bottom w:val="single" w:color="auto" w:sz="4" w:space="0"/>
              <w:right w:val="single" w:color="auto" w:sz="4" w:space="0"/>
            </w:tcBorders>
            <w:shd w:val="clear" w:color="auto" w:fill="auto"/>
            <w:vAlign w:val="center"/>
          </w:tcPr>
          <w:p w14:paraId="7944BA7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处罚条款：第九条第一款第（四）项，责令限期改正，并可按每套便器水箱配件处以30-100元的罚款，最高不超过30000元。</w:t>
            </w:r>
          </w:p>
        </w:tc>
        <w:tc>
          <w:tcPr>
            <w:tcW w:w="864" w:type="dxa"/>
            <w:gridSpan w:val="2"/>
            <w:tcBorders>
              <w:top w:val="nil"/>
              <w:left w:val="nil"/>
              <w:bottom w:val="single" w:color="auto" w:sz="4" w:space="0"/>
              <w:right w:val="single" w:color="auto" w:sz="4" w:space="0"/>
            </w:tcBorders>
            <w:shd w:val="clear" w:color="auto" w:fill="auto"/>
            <w:vAlign w:val="center"/>
          </w:tcPr>
          <w:p w14:paraId="01CC9E9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 </w:t>
            </w:r>
          </w:p>
        </w:tc>
        <w:tc>
          <w:tcPr>
            <w:tcW w:w="840" w:type="dxa"/>
            <w:tcBorders>
              <w:top w:val="nil"/>
              <w:left w:val="nil"/>
              <w:bottom w:val="single" w:color="auto" w:sz="4" w:space="0"/>
              <w:right w:val="single" w:color="auto" w:sz="4" w:space="0"/>
            </w:tcBorders>
            <w:shd w:val="clear" w:color="auto" w:fill="auto"/>
            <w:vAlign w:val="center"/>
          </w:tcPr>
          <w:p w14:paraId="38706C6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D7D357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使用淘汰的便器水箱和配件总和＜100件，系数为0；2.100件≤使用淘汰的便器水箱和配件总和＜200件，系数为1；3.200件≤使用淘汰的便器水箱和配件总和，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7DD4BA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罚款金额=30×（1+情节系数）×淘汰的便器水箱和配件总和</w:t>
            </w:r>
          </w:p>
        </w:tc>
        <w:tc>
          <w:tcPr>
            <w:tcW w:w="1973" w:type="dxa"/>
            <w:gridSpan w:val="2"/>
            <w:tcBorders>
              <w:top w:val="nil"/>
              <w:left w:val="nil"/>
              <w:bottom w:val="single" w:color="auto" w:sz="4" w:space="0"/>
              <w:right w:val="single" w:color="auto" w:sz="4" w:space="0"/>
            </w:tcBorders>
            <w:shd w:val="clear" w:color="auto" w:fill="auto"/>
            <w:vAlign w:val="center"/>
          </w:tcPr>
          <w:p w14:paraId="27340E0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7FA0126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14:paraId="7FBB1A18">
            <w:pPr>
              <w:widowControl/>
              <w:jc w:val="center"/>
              <w:outlineLvl w:val="1"/>
              <w:rPr>
                <w:rFonts w:hint="eastAsia" w:asciiTheme="minorEastAsia" w:hAnsiTheme="minorEastAsia" w:eastAsiaTheme="minorEastAsia" w:cstheme="minorEastAsia"/>
                <w:color w:val="auto"/>
                <w:kern w:val="0"/>
                <w:szCs w:val="21"/>
                <w:highlight w:val="none"/>
              </w:rPr>
            </w:pPr>
            <w:bookmarkStart w:id="202" w:name="_Toc603926826"/>
            <w:bookmarkStart w:id="203" w:name="_Toc218468826"/>
            <w:r>
              <w:rPr>
                <w:rFonts w:hint="eastAsia" w:asciiTheme="minorEastAsia" w:hAnsiTheme="minorEastAsia" w:eastAsiaTheme="minorEastAsia" w:cstheme="minorEastAsia"/>
                <w:b/>
                <w:bCs/>
                <w:color w:val="auto"/>
                <w:kern w:val="0"/>
                <w:szCs w:val="21"/>
                <w:highlight w:val="none"/>
              </w:rPr>
              <w:t>《北京市节水条例》《北京市水污染防治条例》案由14项</w:t>
            </w:r>
            <w:bookmarkEnd w:id="202"/>
            <w:bookmarkEnd w:id="203"/>
          </w:p>
        </w:tc>
      </w:tr>
      <w:tr w14:paraId="4A26D31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60B7C7A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71FD66F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园林绿化用水未采用节水灌溉方式或者未采取其他节水措施，造成浪费用水的</w:t>
            </w:r>
          </w:p>
        </w:tc>
        <w:tc>
          <w:tcPr>
            <w:tcW w:w="2793" w:type="dxa"/>
            <w:gridSpan w:val="2"/>
            <w:tcBorders>
              <w:top w:val="nil"/>
              <w:left w:val="nil"/>
              <w:bottom w:val="single" w:color="auto" w:sz="4" w:space="0"/>
              <w:right w:val="single" w:color="auto" w:sz="4" w:space="0"/>
            </w:tcBorders>
            <w:shd w:val="clear" w:color="auto" w:fill="auto"/>
            <w:vAlign w:val="center"/>
          </w:tcPr>
          <w:p w14:paraId="6C65B4A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违反条款：《节水条例》第三十五条第二款；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处罚条款：《节水条例》第六十四条第一款，责令限期改正；逾期不改正的，处一万元以上五万元以下罚款。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29616E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2257B49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F2D077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单次用水量＜10立方米或未采用节水措施的绿化面积＜1000平方米，系数为0；2.10立方米≤单次用水量＜30立方米或1000平方米≤未采用节水措施的绿化面积＜3000平方米，系数为2；3.30立方米≤单次用水量或3000平方米≤未采用节水措施的绿化面积，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99D71E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4AE2DD1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69349B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422CCD4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0E68D80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纯净水生产企业产水率不符合国家和本市有关规定</w:t>
            </w:r>
          </w:p>
        </w:tc>
        <w:tc>
          <w:tcPr>
            <w:tcW w:w="2793" w:type="dxa"/>
            <w:gridSpan w:val="2"/>
            <w:tcBorders>
              <w:top w:val="nil"/>
              <w:left w:val="nil"/>
              <w:bottom w:val="single" w:color="auto" w:sz="4" w:space="0"/>
              <w:right w:val="single" w:color="auto" w:sz="4" w:space="0"/>
            </w:tcBorders>
            <w:shd w:val="clear" w:color="auto" w:fill="auto"/>
            <w:vAlign w:val="center"/>
          </w:tcPr>
          <w:p w14:paraId="7530BBF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违反条款：《节水条例》第三十六条第二款；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处罚条款：《节水条例》第六十五条第一款，责令限期改正，处一万元以上十万元以下罚款。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64859FF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39A8189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903BBD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本市相关标准的95%≤纯净水生产企业产水率＜本市相关标准，系数为0；2.本市相关标准的90%≤纯净水生产企业产水率＜本市相关标准的95%，系数为2；3.本市相关标准的85%≤纯净水生产企业产水率＜本市相关标准的90%，系数为4；4.本市相关标准的80%≤纯净水生产企业产水率＜本市相关标准的85%，系数为6；5.纯净水生产企业产水率＜本市相关标准的80%，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AA29F1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067ABEE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作出立案决定前，应与水务部门会商相关标准意见</w:t>
            </w:r>
          </w:p>
        </w:tc>
      </w:tr>
      <w:tr w14:paraId="4DD8FC0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4"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007745D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540C215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工业用水的重复利用率未达到强制性标准且未及时进行技术改造</w:t>
            </w:r>
          </w:p>
        </w:tc>
        <w:tc>
          <w:tcPr>
            <w:tcW w:w="2793" w:type="dxa"/>
            <w:gridSpan w:val="2"/>
            <w:tcBorders>
              <w:top w:val="nil"/>
              <w:left w:val="nil"/>
              <w:bottom w:val="single" w:color="auto" w:sz="4" w:space="0"/>
              <w:right w:val="single" w:color="auto" w:sz="4" w:space="0"/>
            </w:tcBorders>
            <w:shd w:val="clear" w:color="auto" w:fill="auto"/>
            <w:vAlign w:val="center"/>
          </w:tcPr>
          <w:p w14:paraId="4E0BFF8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违反条款：《节水条例》第三十六条第一款；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处罚条款：《节水条例》第六十五条第一款，责令限期改正，处一万元以上十万元以下罚款。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A39A68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0BE4900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189171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强制性标准的95%≤工业用水的重复利用率＜强制性标准，系数为0；2.强制性标准的90%≤工业用水的重复利用率＜强制性标准的95%，系数为2；3.强制性标准的85%≤工业用水的重复利用率＜强制性标准的90%，系数为4；4.强制性标准的80%≤工业用水的重复利用率＜强制性标准的85%，系数为6；5.工业用水的重复利用率＜强制性标准的80%，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B6EA65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40E5B3F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作出立案决定前，应与水务部门会商相关标准意见</w:t>
            </w:r>
          </w:p>
        </w:tc>
      </w:tr>
      <w:tr w14:paraId="03A2CB9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3C909FA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14:paraId="1B91DD6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农村生活用水免费供水或者实行包费制</w:t>
            </w:r>
          </w:p>
        </w:tc>
        <w:tc>
          <w:tcPr>
            <w:tcW w:w="2793" w:type="dxa"/>
            <w:gridSpan w:val="2"/>
            <w:tcBorders>
              <w:top w:val="nil"/>
              <w:left w:val="nil"/>
              <w:bottom w:val="single" w:color="auto" w:sz="4" w:space="0"/>
              <w:right w:val="single" w:color="auto" w:sz="4" w:space="0"/>
            </w:tcBorders>
            <w:shd w:val="clear" w:color="auto" w:fill="auto"/>
            <w:vAlign w:val="center"/>
          </w:tcPr>
          <w:p w14:paraId="14286E5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违反条款：《节水条例》第二十八条第三款；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处罚条款：《节水条例》第六十条第二款，责令限期改正，给予警告；逾期不改正的，可以按照每户二百元以上五百元以下的标准处以罚款。</w:t>
            </w:r>
          </w:p>
        </w:tc>
        <w:tc>
          <w:tcPr>
            <w:tcW w:w="864" w:type="dxa"/>
            <w:gridSpan w:val="2"/>
            <w:tcBorders>
              <w:top w:val="nil"/>
              <w:left w:val="nil"/>
              <w:bottom w:val="single" w:color="auto" w:sz="4" w:space="0"/>
              <w:right w:val="single" w:color="auto" w:sz="4" w:space="0"/>
            </w:tcBorders>
            <w:shd w:val="clear" w:color="auto" w:fill="auto"/>
            <w:vAlign w:val="center"/>
          </w:tcPr>
          <w:p w14:paraId="595D1A6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 </w:t>
            </w:r>
          </w:p>
        </w:tc>
        <w:tc>
          <w:tcPr>
            <w:tcW w:w="840" w:type="dxa"/>
            <w:tcBorders>
              <w:top w:val="nil"/>
              <w:left w:val="nil"/>
              <w:bottom w:val="single" w:color="auto" w:sz="4" w:space="0"/>
              <w:right w:val="single" w:color="auto" w:sz="4" w:space="0"/>
            </w:tcBorders>
            <w:shd w:val="clear" w:color="auto" w:fill="auto"/>
            <w:vAlign w:val="center"/>
          </w:tcPr>
          <w:p w14:paraId="6CE720D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380ADA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涉及户数＜200户或违法行为持续时间＜1年，系数为0；2.200户≤涉及户数＜1000户或1年≤违法行为持续时间＜2年，系数为0.5；3.1000户≤涉及户数＜2000户或2年≤违法行为持续时间＜3年，系数为1；4.2000户≤涉及户数或3年≤违法行为持续时间，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8C2643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罚款金额=200×（1+情节系数）×供水户数</w:t>
            </w:r>
          </w:p>
        </w:tc>
        <w:tc>
          <w:tcPr>
            <w:tcW w:w="1972" w:type="dxa"/>
            <w:tcBorders>
              <w:top w:val="nil"/>
              <w:left w:val="nil"/>
              <w:bottom w:val="single" w:color="auto" w:sz="4" w:space="0"/>
              <w:right w:val="single" w:color="auto" w:sz="4" w:space="0"/>
            </w:tcBorders>
            <w:shd w:val="clear" w:color="auto" w:fill="auto"/>
            <w:vAlign w:val="center"/>
          </w:tcPr>
          <w:p w14:paraId="6BF9F55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3A408D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022"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26723BE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536B6F6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从园林绿化、环境卫生、消防等公共用水设施非法用水</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719008C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违反条款：《节水条例》第三十九条第一款；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处罚条款：《节水条例》第六十八条，责令停止违法行为，对单位处一万元以上十万元以下罚款，对个人处一千元以上一万元以下罚款。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145C85C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14:paraId="001E969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08322C0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公共用水设施管径＜DN10或单次取水量＜10立方米，系数为0；2.DN10≤公共用水设施管径＜DN30或10立方米≤单次取水量＜30立方米，系数为2；3.DN30≤公共用水设施管径＜DN60或30立方米≤单次取水量＜100立方米，系数为4；4.DN60≤公共用水设施管径＜DN150或100立方米≤单次取水量＜200立方米，系数为6；5.DN150≤公共用水设施管径或200立方米≤单次取水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9D40D8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69D3E55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使用两个以上取水口的，以公共用水设施管径对应的系数进行累加计算。</w:t>
            </w:r>
          </w:p>
        </w:tc>
      </w:tr>
      <w:tr w14:paraId="0DFB073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72395549">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2F12621F">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20CFFA47">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57DF2F7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5EE3E29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continue"/>
            <w:tcBorders>
              <w:top w:val="nil"/>
              <w:left w:val="single" w:color="auto" w:sz="4" w:space="0"/>
              <w:bottom w:val="single" w:color="auto" w:sz="4" w:space="0"/>
              <w:right w:val="single" w:color="auto" w:sz="4" w:space="0"/>
            </w:tcBorders>
            <w:vAlign w:val="center"/>
          </w:tcPr>
          <w:p w14:paraId="7FCD3FA2">
            <w:pPr>
              <w:widowControl/>
              <w:jc w:val="left"/>
              <w:rPr>
                <w:rFonts w:hint="eastAsia" w:asciiTheme="minorEastAsia" w:hAnsiTheme="minorEastAsia" w:eastAsiaTheme="minorEastAsia" w:cstheme="minorEastAsia"/>
                <w:color w:val="auto"/>
                <w:kern w:val="0"/>
                <w:sz w:val="15"/>
                <w:szCs w:val="15"/>
                <w:highlight w:val="none"/>
              </w:rPr>
            </w:pPr>
          </w:p>
        </w:tc>
        <w:tc>
          <w:tcPr>
            <w:tcW w:w="1881" w:type="dxa"/>
            <w:gridSpan w:val="2"/>
            <w:tcBorders>
              <w:top w:val="nil"/>
              <w:left w:val="nil"/>
              <w:bottom w:val="single" w:color="auto" w:sz="4" w:space="0"/>
              <w:right w:val="single" w:color="auto" w:sz="4" w:space="0"/>
            </w:tcBorders>
            <w:shd w:val="clear" w:color="auto" w:fill="auto"/>
            <w:vAlign w:val="center"/>
          </w:tcPr>
          <w:p w14:paraId="628D657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vMerge w:val="continue"/>
            <w:tcBorders>
              <w:top w:val="nil"/>
              <w:left w:val="single" w:color="auto" w:sz="4" w:space="0"/>
              <w:bottom w:val="single" w:color="auto" w:sz="4" w:space="0"/>
              <w:right w:val="single" w:color="auto" w:sz="4" w:space="0"/>
            </w:tcBorders>
            <w:vAlign w:val="center"/>
          </w:tcPr>
          <w:p w14:paraId="106753E1">
            <w:pPr>
              <w:widowControl/>
              <w:jc w:val="left"/>
              <w:rPr>
                <w:rFonts w:hint="eastAsia" w:asciiTheme="minorEastAsia" w:hAnsiTheme="minorEastAsia" w:eastAsiaTheme="minorEastAsia" w:cstheme="minorEastAsia"/>
                <w:color w:val="auto"/>
                <w:kern w:val="0"/>
                <w:sz w:val="15"/>
                <w:szCs w:val="15"/>
                <w:highlight w:val="none"/>
              </w:rPr>
            </w:pPr>
          </w:p>
        </w:tc>
      </w:tr>
      <w:tr w14:paraId="62ABE59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6CD39E6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14:paraId="401A3F9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用水单位未依法取得临时用水指标擅自用水</w:t>
            </w:r>
          </w:p>
        </w:tc>
        <w:tc>
          <w:tcPr>
            <w:tcW w:w="2793" w:type="dxa"/>
            <w:gridSpan w:val="2"/>
            <w:tcBorders>
              <w:top w:val="nil"/>
              <w:left w:val="nil"/>
              <w:bottom w:val="single" w:color="auto" w:sz="4" w:space="0"/>
              <w:right w:val="single" w:color="auto" w:sz="4" w:space="0"/>
            </w:tcBorders>
            <w:shd w:val="clear" w:color="auto" w:fill="auto"/>
            <w:vAlign w:val="center"/>
          </w:tcPr>
          <w:p w14:paraId="03725F4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违反条款：《节水条例》第二十九条第三款；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处罚条款：《节水条例》第六十一条，责令限期改正，处二万元以上十万元以下罚款。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70FEAA5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35A43C0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8011CA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持续用水天数＜30天或单次用水量＜100立方米，系数为0；2.30天≤持续用水天数＜45天或100立方米≤单次用水量＜200立方米，系数为1；3.45天≤持续用水天数＜60天或200立方米≤单次用水量＜300立方米，系数为2；4.60天≤持续用水天数＜75天或300立方米≤单次用水量＜400立方米，系数为3；5.75天≤持续用水天数或400立方米≤单次用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02FA8E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32BA3FD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园林绿化、环境卫生临时用水的，优先选择“单次用水量”；建筑施工临时用水的，优先选择“持续用水天数”。</w:t>
            </w:r>
          </w:p>
        </w:tc>
      </w:tr>
      <w:tr w14:paraId="4DFBDA0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0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76968B9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14:paraId="59DDCF3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服务业用水单位未按照规定安装、使用循环用水设施</w:t>
            </w:r>
          </w:p>
        </w:tc>
        <w:tc>
          <w:tcPr>
            <w:tcW w:w="2793" w:type="dxa"/>
            <w:gridSpan w:val="2"/>
            <w:tcBorders>
              <w:top w:val="nil"/>
              <w:left w:val="nil"/>
              <w:bottom w:val="single" w:color="auto" w:sz="4" w:space="0"/>
              <w:right w:val="single" w:color="auto" w:sz="4" w:space="0"/>
            </w:tcBorders>
            <w:shd w:val="clear" w:color="auto" w:fill="auto"/>
            <w:vAlign w:val="center"/>
          </w:tcPr>
          <w:p w14:paraId="3C7B9E3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违反条款：《节水条例》第三十七条第一款；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处罚条款：《节水条例》第六十六条，责令限期改正；逾期不改正的，处一千元以上一万元以下罚款。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778DC60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14:paraId="58BA55A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9ED07D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100立方米或违法行为持续时间＜60天或建筑面积＜300平方米，系数为0；2.100立方米≤日用水量＜200立方米或60天≤违法行为持续时间＜90天或300平方米≤建筑面积＜500平方米，系数为2；3.200立方米≤日用水量＜300立方米或90天≤违法行为持续时间＜120天或500平方米≤建筑面积＜800平方米，系数为4；4.300立方米≤日用水量＜500立方米或120天≤违法行为持续时间＜180天或800平方米≤建筑面积＜2000平方米，系数为6；5.500立方米≤日用水量或180天≤违法行为持续时间或2000平方米≤建筑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863DD4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14:paraId="21B87D3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44944ED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2DBC13C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14:paraId="77DC727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以水为主要原料生成高纯度制剂的单位未回收利用生产后的尾水</w:t>
            </w:r>
          </w:p>
        </w:tc>
        <w:tc>
          <w:tcPr>
            <w:tcW w:w="2793" w:type="dxa"/>
            <w:gridSpan w:val="2"/>
            <w:tcBorders>
              <w:top w:val="nil"/>
              <w:left w:val="nil"/>
              <w:bottom w:val="single" w:color="auto" w:sz="4" w:space="0"/>
              <w:right w:val="single" w:color="auto" w:sz="4" w:space="0"/>
            </w:tcBorders>
            <w:shd w:val="clear" w:color="auto" w:fill="auto"/>
            <w:vAlign w:val="center"/>
          </w:tcPr>
          <w:p w14:paraId="6C92E6E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违反条款：《节水条例》第三十六条第三款；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处罚条款：《节水条例》第六十五条第二款，责令限期改正，处一万元以上十万元以下罚款。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0C9866C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5F1F2F2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04971F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违法行为持续时间＜5天或日用水量＜100立方米，系数为0；2.5天≤违法行为持续时间＜10天或100立方米≤日用水量＜200立方米，系数为2；3.10天≤违法行为持续时间＜30天或200立方米≤日用水量＜300立方米，系数为4；4.30天≤违法行为持续时间＜60天或300立方米≤日用水量＜500立方米，系数为6；5.60天≤违法行为持续时间或500立方米≤日用水量，系数为9。6.存在基准2.1.3规定情形的，系数按照相关规定确定（基准2.1.3.5不适用）。 </w:t>
            </w:r>
          </w:p>
        </w:tc>
        <w:tc>
          <w:tcPr>
            <w:tcW w:w="1881" w:type="dxa"/>
            <w:gridSpan w:val="2"/>
            <w:tcBorders>
              <w:top w:val="nil"/>
              <w:left w:val="nil"/>
              <w:bottom w:val="single" w:color="auto" w:sz="4" w:space="0"/>
              <w:right w:val="single" w:color="auto" w:sz="4" w:space="0"/>
            </w:tcBorders>
            <w:shd w:val="clear" w:color="auto" w:fill="auto"/>
            <w:vAlign w:val="center"/>
          </w:tcPr>
          <w:p w14:paraId="39CCA5A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338028A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4B88368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0AD0388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14:paraId="0ED1A4F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提供洗车服务的用水户未建设、使用循环用水设施或者未按照规定使用再生水</w:t>
            </w:r>
          </w:p>
        </w:tc>
        <w:tc>
          <w:tcPr>
            <w:tcW w:w="2793" w:type="dxa"/>
            <w:gridSpan w:val="2"/>
            <w:tcBorders>
              <w:top w:val="nil"/>
              <w:left w:val="nil"/>
              <w:bottom w:val="single" w:color="auto" w:sz="4" w:space="0"/>
              <w:right w:val="single" w:color="auto" w:sz="4" w:space="0"/>
            </w:tcBorders>
            <w:shd w:val="clear" w:color="auto" w:fill="auto"/>
            <w:vAlign w:val="center"/>
          </w:tcPr>
          <w:p w14:paraId="2DC679D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处罚条款：《节水条例》第六十七条，责令限期改正，给予警告；逾期不改正的，处一万元以上五万元以下罚款。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1287D04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1FC310F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A45A72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日均洗车量＜15辆或违法行为持续时间＜60天，系数为0；2.15辆≤日均洗车量＜20辆或60天≤违法行为持续时间＜120天，系数为1；3.20辆≤日均洗车量＜30辆或120天≤违法行为持续时间＜150天，系数为2；4.30辆≤日均洗车量＜50辆或150天≤违法行为持续时间＜180天，系数为3；5.50辆≤日均洗车量或180天≤违法行为持续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EA7C43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0CF30AB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A46880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569AC52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w:t>
            </w:r>
          </w:p>
        </w:tc>
        <w:tc>
          <w:tcPr>
            <w:tcW w:w="1811" w:type="dxa"/>
            <w:tcBorders>
              <w:top w:val="nil"/>
              <w:left w:val="nil"/>
              <w:bottom w:val="single" w:color="auto" w:sz="4" w:space="0"/>
              <w:right w:val="single" w:color="auto" w:sz="4" w:space="0"/>
            </w:tcBorders>
            <w:shd w:val="clear" w:color="auto" w:fill="auto"/>
            <w:vAlign w:val="center"/>
          </w:tcPr>
          <w:p w14:paraId="28EE60E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提供洗车服务的用水户，未按照规定向水务部门报送已建成循环用水设施的登记表或者提供再生水供水合同</w:t>
            </w:r>
          </w:p>
        </w:tc>
        <w:tc>
          <w:tcPr>
            <w:tcW w:w="2793" w:type="dxa"/>
            <w:gridSpan w:val="2"/>
            <w:tcBorders>
              <w:top w:val="nil"/>
              <w:left w:val="nil"/>
              <w:bottom w:val="single" w:color="auto" w:sz="4" w:space="0"/>
              <w:right w:val="single" w:color="auto" w:sz="4" w:space="0"/>
            </w:tcBorders>
            <w:shd w:val="clear" w:color="auto" w:fill="auto"/>
            <w:vAlign w:val="center"/>
          </w:tcPr>
          <w:p w14:paraId="453A5C0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处罚条款：《节水条例》第六十七条，责令限期改正，给予警告；逾期不改正的，处一千元以下罚款。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1FC0153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lang w:val="en-US" w:eastAsia="zh-CN"/>
              </w:rPr>
              <w:t>200</w:t>
            </w:r>
            <w:r>
              <w:rPr>
                <w:rFonts w:hint="eastAsia" w:asciiTheme="minorEastAsia" w:hAnsiTheme="minorEastAsia" w:eastAsiaTheme="minorEastAsia" w:cstheme="minorEastAsia"/>
                <w:color w:val="auto"/>
                <w:kern w:val="0"/>
                <w:sz w:val="15"/>
                <w:szCs w:val="15"/>
                <w:highlight w:val="none"/>
              </w:rPr>
              <w:t xml:space="preserve"> </w:t>
            </w:r>
          </w:p>
        </w:tc>
        <w:tc>
          <w:tcPr>
            <w:tcW w:w="840" w:type="dxa"/>
            <w:tcBorders>
              <w:top w:val="nil"/>
              <w:left w:val="nil"/>
              <w:bottom w:val="single" w:color="auto" w:sz="4" w:space="0"/>
              <w:right w:val="single" w:color="auto" w:sz="4" w:space="0"/>
            </w:tcBorders>
            <w:shd w:val="clear" w:color="auto" w:fill="auto"/>
            <w:vAlign w:val="center"/>
          </w:tcPr>
          <w:p w14:paraId="59EBA0F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03A56F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逾期后改正时间＜4天，系数为0；2.4天≤逾期后改正时间＜8天，系数为1；3.8天≤逾期后改正时间＜12天，系数为2；4.12天≤逾期后改正时间＜16天，系数为3；5.16天≤逾期后改正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027C53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200</w:t>
            </w:r>
            <w:r>
              <w:rPr>
                <w:rFonts w:hint="eastAsia" w:asciiTheme="minorEastAsia" w:hAnsiTheme="minorEastAsia" w:eastAsiaTheme="minorEastAsia" w:cstheme="minorEastAsia"/>
                <w:color w:val="auto"/>
                <w:kern w:val="0"/>
                <w:sz w:val="15"/>
                <w:szCs w:val="15"/>
                <w:highlight w:val="none"/>
              </w:rPr>
              <w:t>×（1+情节系数）</w:t>
            </w:r>
          </w:p>
        </w:tc>
        <w:tc>
          <w:tcPr>
            <w:tcW w:w="1972" w:type="dxa"/>
            <w:tcBorders>
              <w:top w:val="nil"/>
              <w:left w:val="nil"/>
              <w:bottom w:val="single" w:color="auto" w:sz="4" w:space="0"/>
              <w:right w:val="single" w:color="auto" w:sz="4" w:space="0"/>
            </w:tcBorders>
            <w:shd w:val="clear" w:color="auto" w:fill="auto"/>
            <w:vAlign w:val="center"/>
          </w:tcPr>
          <w:p w14:paraId="5F10CCA4">
            <w:pPr>
              <w:widowControl/>
              <w:jc w:val="left"/>
              <w:rPr>
                <w:rFonts w:hint="default"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eastAsia="zh-CN"/>
              </w:rPr>
              <w:t>需要作出</w:t>
            </w:r>
            <w:r>
              <w:rPr>
                <w:rFonts w:hint="eastAsia" w:asciiTheme="minorEastAsia" w:hAnsiTheme="minorEastAsia" w:eastAsiaTheme="minorEastAsia" w:cstheme="minorEastAsia"/>
                <w:color w:val="auto"/>
                <w:kern w:val="0"/>
                <w:sz w:val="15"/>
                <w:szCs w:val="15"/>
                <w:highlight w:val="none"/>
                <w:lang w:val="en-US" w:eastAsia="zh-CN"/>
              </w:rPr>
              <w:t>200元以下罚款决定的，由执法人员在案卷中说明理由。</w:t>
            </w:r>
          </w:p>
        </w:tc>
      </w:tr>
      <w:tr w14:paraId="0E8D79B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7742B4C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11</w:t>
            </w:r>
          </w:p>
        </w:tc>
        <w:tc>
          <w:tcPr>
            <w:tcW w:w="1811" w:type="dxa"/>
            <w:tcBorders>
              <w:top w:val="nil"/>
              <w:left w:val="nil"/>
              <w:bottom w:val="single" w:color="auto" w:sz="4" w:space="0"/>
              <w:right w:val="single" w:color="auto" w:sz="4" w:space="0"/>
            </w:tcBorders>
            <w:shd w:val="clear" w:color="auto" w:fill="auto"/>
            <w:vAlign w:val="center"/>
          </w:tcPr>
          <w:p w14:paraId="739FE0B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现场制售饮用水的单位或者个人未安装尾水回收设施对尾水进行利用</w:t>
            </w:r>
          </w:p>
        </w:tc>
        <w:tc>
          <w:tcPr>
            <w:tcW w:w="2793" w:type="dxa"/>
            <w:gridSpan w:val="2"/>
            <w:tcBorders>
              <w:top w:val="nil"/>
              <w:left w:val="nil"/>
              <w:bottom w:val="single" w:color="auto" w:sz="4" w:space="0"/>
              <w:right w:val="single" w:color="auto" w:sz="4" w:space="0"/>
            </w:tcBorders>
            <w:shd w:val="clear" w:color="auto" w:fill="auto"/>
            <w:vAlign w:val="center"/>
          </w:tcPr>
          <w:p w14:paraId="4815A07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违反条款：《节水条例》第三十六条第四款；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处罚条款：《节水条例》第六十五条第三款，责令限期改正；逾期不改正的，责令拆除，处五千元以上二万元以下罚款。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99AC8C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493C760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B33D2A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出水量＜50立方米或违法行为持续时间＜30天，系数为0；2.50立方米≤日出水量＜100立方米或30天≤违法行为持续时间＜90天，系数为1；3.100立方米≤日出水量＜300立方米或90天≤违法行为持续时间＜180天，系数为2；4.300立方米≤日出水量或180天≤违法行为持续时间，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43B0AA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15FD05A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269388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0C050FF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12</w:t>
            </w:r>
          </w:p>
        </w:tc>
        <w:tc>
          <w:tcPr>
            <w:tcW w:w="1811" w:type="dxa"/>
            <w:tcBorders>
              <w:top w:val="nil"/>
              <w:left w:val="nil"/>
              <w:bottom w:val="single" w:color="auto" w:sz="4" w:space="0"/>
              <w:right w:val="single" w:color="auto" w:sz="4" w:space="0"/>
            </w:tcBorders>
            <w:shd w:val="clear" w:color="auto" w:fill="auto"/>
            <w:vAlign w:val="center"/>
          </w:tcPr>
          <w:p w14:paraId="0417DED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非居民用水户未保障节水设施正常运行，造成浪费用水</w:t>
            </w:r>
          </w:p>
        </w:tc>
        <w:tc>
          <w:tcPr>
            <w:tcW w:w="2793" w:type="dxa"/>
            <w:gridSpan w:val="2"/>
            <w:tcBorders>
              <w:top w:val="nil"/>
              <w:left w:val="nil"/>
              <w:bottom w:val="single" w:color="auto" w:sz="4" w:space="0"/>
              <w:right w:val="single" w:color="auto" w:sz="4" w:space="0"/>
            </w:tcBorders>
            <w:shd w:val="clear" w:color="auto" w:fill="auto"/>
            <w:vAlign w:val="center"/>
          </w:tcPr>
          <w:p w14:paraId="7E12194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违反条款：《节水条例》第三十条第一款第（六）项；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处罚条款：《节水条例》第六十二条，责令限期改正；逾期不改正的，处五万元以下罚款。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001DC1F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3816EF9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902201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200立方米或跑冒滴漏＜3处，系数为0；2.200立方米≤日用水量＜500立方米或3处≤跑冒滴漏＜5处，系数为4；3.500立方米≤日用水量或5处≤跑冒滴漏，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D73432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6F4C224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4D2F1B7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3EC85E1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13</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2AB6291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再生水、供暖等非饮用水管网与供水管网连接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603E09C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违反条款：《节水条例》第三十二条第一款；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处罚条款：《节水条例》第六十三条第一款第（二）项，责令停止违法行为，限期恢复原状或者采取其他补救措施并承担相关费用，对单位处五万元以上十万元以下罚款，对个人处一万元以上五万元以下罚款。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3D44FC3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14:paraId="257CE14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76F00A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混接管网管径＜DN10，系数为0；2.DN10≤混接管网管径＜DN30，系数为0.25；3.DN30≤混接管网管径＜DN60，系数为0.5；4.DN60≤混接管网管径＜DN150，系数为0.75；5.DN150≤混接管网管径，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B61987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1CE95BB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60C3E1B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28089B1C">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7BF68235">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77468AE1">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6026D54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1E6AE01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CF27FF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混接管网管径＜DN10，系数为0；2.DN10≤混接管网管径＜DN30，系数为1；3.DN30≤混接管网管径＜DN60，系数为2；4.DN60≤混接管网管径＜DN150，系数为3；5.DN150≤混接管网管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DC2D9E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continue"/>
            <w:tcBorders>
              <w:top w:val="nil"/>
              <w:left w:val="single" w:color="auto" w:sz="4" w:space="0"/>
              <w:bottom w:val="single" w:color="auto" w:sz="4" w:space="0"/>
              <w:right w:val="single" w:color="auto" w:sz="4" w:space="0"/>
            </w:tcBorders>
            <w:vAlign w:val="center"/>
          </w:tcPr>
          <w:p w14:paraId="1E2DE386">
            <w:pPr>
              <w:widowControl/>
              <w:jc w:val="left"/>
              <w:rPr>
                <w:rFonts w:hint="eastAsia" w:asciiTheme="minorEastAsia" w:hAnsiTheme="minorEastAsia" w:eastAsiaTheme="minorEastAsia" w:cstheme="minorEastAsia"/>
                <w:color w:val="auto"/>
                <w:kern w:val="0"/>
                <w:sz w:val="15"/>
                <w:szCs w:val="15"/>
                <w:highlight w:val="none"/>
              </w:rPr>
            </w:pPr>
          </w:p>
        </w:tc>
      </w:tr>
      <w:tr w14:paraId="516873A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vAlign w:val="center"/>
          </w:tcPr>
          <w:p w14:paraId="7256729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14</w:t>
            </w:r>
          </w:p>
        </w:tc>
        <w:tc>
          <w:tcPr>
            <w:tcW w:w="1811" w:type="dxa"/>
            <w:tcBorders>
              <w:top w:val="nil"/>
              <w:left w:val="nil"/>
              <w:bottom w:val="single" w:color="auto" w:sz="4" w:space="0"/>
              <w:right w:val="single" w:color="auto" w:sz="4" w:space="0"/>
            </w:tcBorders>
            <w:shd w:val="clear" w:color="auto" w:fill="auto"/>
            <w:vAlign w:val="center"/>
          </w:tcPr>
          <w:p w14:paraId="5CB9CF1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住宅小区、单位内部的景观用水使用地下水、自来水</w:t>
            </w:r>
          </w:p>
        </w:tc>
        <w:tc>
          <w:tcPr>
            <w:tcW w:w="2793" w:type="dxa"/>
            <w:gridSpan w:val="2"/>
            <w:tcBorders>
              <w:top w:val="nil"/>
              <w:left w:val="nil"/>
              <w:bottom w:val="single" w:color="auto" w:sz="4" w:space="0"/>
              <w:right w:val="single" w:color="auto" w:sz="4" w:space="0"/>
            </w:tcBorders>
            <w:shd w:val="clear" w:color="auto" w:fill="auto"/>
            <w:vAlign w:val="center"/>
          </w:tcPr>
          <w:p w14:paraId="15CFD71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违反条款：《水污染防治条例》第六十九条第二款；《节水条例》第三十五条第三款；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处罚条款：《水污染防治条例》第九十一条，责令停止违法行为，并处一万元以上三万元以下的罚款；《节水条例》第六十四条第二款，责令限期改正；逾期不改正的，处一万元以上三万元以下罚款。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760E10B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75B5C91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FFE0C2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100立方米或水景观面积＜300平方米，系数为0；2.100立方米≤日用水量＜200立方米或300平方米≤水景观面积＜500平方米，系数为0.5；3.200立方米≤日用水量＜300立方米或500平方米≤水景观面积＜800平方米，系数为1；4.300立方米≤日用水量＜500立方米或800平方米≤水景观面积＜2000平方米，系数为1.5；5.500立方米≤日用水量或2000平方米≤水景观面积，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BCBBDE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1ED59C1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62CAE80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443"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14:paraId="3E6ED8F6">
            <w:pPr>
              <w:widowControl/>
              <w:jc w:val="center"/>
              <w:outlineLvl w:val="0"/>
              <w:rPr>
                <w:rFonts w:ascii="Times New Roman" w:hAnsi="Times New Roman" w:eastAsia="宋体" w:cs="Times New Roman"/>
                <w:color w:val="auto"/>
                <w:kern w:val="0"/>
                <w:sz w:val="28"/>
                <w:szCs w:val="28"/>
                <w:highlight w:val="none"/>
              </w:rPr>
            </w:pPr>
            <w:bookmarkStart w:id="204" w:name="_Toc218468827"/>
            <w:bookmarkStart w:id="205" w:name="_Toc673866303"/>
            <w:r>
              <w:rPr>
                <w:rFonts w:hint="eastAsia" w:ascii="黑体" w:hAnsi="黑体" w:eastAsia="黑体" w:cs="黑体"/>
                <w:color w:val="auto"/>
                <w:kern w:val="0"/>
                <w:sz w:val="28"/>
                <w:szCs w:val="28"/>
                <w:highlight w:val="none"/>
              </w:rPr>
              <w:t>水资源管理方面</w:t>
            </w:r>
            <w:bookmarkEnd w:id="204"/>
            <w:bookmarkEnd w:id="205"/>
          </w:p>
        </w:tc>
      </w:tr>
      <w:tr w14:paraId="74EA74A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414" w:hRule="atLeast"/>
        </w:trPr>
        <w:tc>
          <w:tcPr>
            <w:tcW w:w="14203" w:type="dxa"/>
            <w:gridSpan w:val="13"/>
            <w:tcBorders>
              <w:top w:val="nil"/>
              <w:left w:val="single" w:color="auto" w:sz="4" w:space="0"/>
              <w:bottom w:val="single" w:color="auto" w:sz="4" w:space="0"/>
              <w:right w:val="single" w:color="auto" w:sz="4" w:space="0"/>
            </w:tcBorders>
            <w:shd w:val="clear" w:color="auto" w:fill="auto"/>
            <w:vAlign w:val="center"/>
          </w:tcPr>
          <w:p w14:paraId="482D328C">
            <w:pPr>
              <w:widowControl/>
              <w:jc w:val="center"/>
              <w:outlineLvl w:val="1"/>
              <w:rPr>
                <w:rFonts w:hint="eastAsia" w:asciiTheme="minorEastAsia" w:hAnsiTheme="minorEastAsia" w:eastAsiaTheme="minorEastAsia" w:cstheme="minorEastAsia"/>
                <w:color w:val="auto"/>
                <w:kern w:val="0"/>
                <w:szCs w:val="21"/>
                <w:highlight w:val="none"/>
              </w:rPr>
            </w:pPr>
            <w:bookmarkStart w:id="206" w:name="_Toc218468828"/>
            <w:bookmarkStart w:id="207" w:name="_Toc1725763447"/>
            <w:r>
              <w:rPr>
                <w:rFonts w:hint="eastAsia" w:asciiTheme="minorEastAsia" w:hAnsiTheme="minorEastAsia" w:eastAsiaTheme="minorEastAsia" w:cstheme="minorEastAsia"/>
                <w:b/>
                <w:bCs/>
                <w:color w:val="auto"/>
                <w:kern w:val="0"/>
                <w:szCs w:val="21"/>
                <w:highlight w:val="none"/>
              </w:rPr>
              <w:t>《中华人民共和国水法》案由2项</w:t>
            </w:r>
            <w:bookmarkEnd w:id="206"/>
            <w:bookmarkEnd w:id="207"/>
          </w:p>
        </w:tc>
      </w:tr>
      <w:tr w14:paraId="2AABDF8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21322B3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46AF35D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未经批准擅自取水</w:t>
            </w:r>
          </w:p>
        </w:tc>
        <w:tc>
          <w:tcPr>
            <w:tcW w:w="2793" w:type="dxa"/>
            <w:gridSpan w:val="2"/>
            <w:tcBorders>
              <w:top w:val="nil"/>
              <w:left w:val="nil"/>
              <w:bottom w:val="single" w:color="auto" w:sz="4" w:space="0"/>
              <w:right w:val="single" w:color="auto" w:sz="4" w:space="0"/>
            </w:tcBorders>
            <w:shd w:val="clear" w:color="auto" w:fill="auto"/>
            <w:vAlign w:val="center"/>
          </w:tcPr>
          <w:p w14:paraId="395BE43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违反条款：第四十八条第一款；《铁路安全管理条例》第三十五条第一款、第二款；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九条第一款第（一）项，责令停止违法行为，限期采取补救措施，处二万元以上十万元以下的罚款；情节严重的，吊销其取水许可证。《铁路安全管理条例》第九十一条第一款第（二）项，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Theme="minorEastAsia" w:hAnsiTheme="minorEastAsia" w:eastAsiaTheme="minorEastAsia" w:cstheme="minorEastAsia"/>
                <w:color w:val="auto"/>
                <w:kern w:val="0"/>
                <w:sz w:val="15"/>
                <w:szCs w:val="15"/>
                <w:highlight w:val="none"/>
                <w:lang w:eastAsia="zh-CN"/>
              </w:rPr>
              <w:t>（二）</w:t>
            </w:r>
            <w:r>
              <w:rPr>
                <w:rFonts w:hint="eastAsia" w:asciiTheme="minorEastAsia" w:hAnsiTheme="minorEastAsia" w:eastAsiaTheme="minorEastAsia" w:cstheme="minorEastAsia"/>
                <w:color w:val="auto"/>
                <w:kern w:val="0"/>
                <w:sz w:val="15"/>
                <w:szCs w:val="15"/>
                <w:highlight w:val="none"/>
              </w:rPr>
              <w:t>在地下水禁止开采区或者限制开采区抽取地下水。</w:t>
            </w:r>
          </w:p>
        </w:tc>
        <w:tc>
          <w:tcPr>
            <w:tcW w:w="864" w:type="dxa"/>
            <w:gridSpan w:val="2"/>
            <w:tcBorders>
              <w:top w:val="nil"/>
              <w:left w:val="nil"/>
              <w:bottom w:val="single" w:color="auto" w:sz="4" w:space="0"/>
              <w:right w:val="single" w:color="auto" w:sz="4" w:space="0"/>
            </w:tcBorders>
            <w:shd w:val="clear" w:color="auto" w:fill="auto"/>
            <w:vAlign w:val="center"/>
          </w:tcPr>
          <w:p w14:paraId="46B654C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7C11033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512B5E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最大取水能力＜1000立方米或违法行为持续时间＜30天，系数为0；2.1000立方米≤日最大取水能力＜1500立方米或30天≤违法行为持续时间＜90天，系数为1；3.1500立方米≤日最大取水能力＜2000立方米或90天≤违法行为持续时间＜150天，系数为2；4.2000立方米≤日最大取水能力＜3000立方米或150天≤违法行为持续时间＜270天，系数为3；5.3000立方米≤日最大取水能力或270天≤违法行为持续时间或情节严重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DB483B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12C4B69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日最大取水能力总和＞5000立方米；2.经执法部门处罚后，一年度内再次发生同类型违法行为。拟作出吊销取水许可证的，在作出处罚决定前，要邀请行业主管部门共同会商。</w:t>
            </w:r>
          </w:p>
        </w:tc>
      </w:tr>
      <w:tr w14:paraId="2B2E42C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064BF8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50EE9BB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未依照批准的取水许可规定条件取水</w:t>
            </w:r>
          </w:p>
        </w:tc>
        <w:tc>
          <w:tcPr>
            <w:tcW w:w="2793" w:type="dxa"/>
            <w:gridSpan w:val="2"/>
            <w:tcBorders>
              <w:top w:val="nil"/>
              <w:left w:val="nil"/>
              <w:bottom w:val="single" w:color="auto" w:sz="4" w:space="0"/>
              <w:right w:val="single" w:color="auto" w:sz="4" w:space="0"/>
            </w:tcBorders>
            <w:shd w:val="clear" w:color="auto" w:fill="auto"/>
            <w:vAlign w:val="center"/>
          </w:tcPr>
          <w:p w14:paraId="4926926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违反条款：第四十八条第一款；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处罚条款：第六十九条第一款第（二）项，责令停止违法行为，限期采取补救措施，处二万元以上十万元以下的罚款；情节严重的，吊销其取水许可证。</w:t>
            </w:r>
          </w:p>
        </w:tc>
        <w:tc>
          <w:tcPr>
            <w:tcW w:w="864" w:type="dxa"/>
            <w:gridSpan w:val="2"/>
            <w:tcBorders>
              <w:top w:val="nil"/>
              <w:left w:val="nil"/>
              <w:bottom w:val="single" w:color="auto" w:sz="4" w:space="0"/>
              <w:right w:val="single" w:color="auto" w:sz="4" w:space="0"/>
            </w:tcBorders>
            <w:shd w:val="clear" w:color="auto" w:fill="auto"/>
            <w:vAlign w:val="center"/>
          </w:tcPr>
          <w:p w14:paraId="2EA1DA5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26FC58A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1E702E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超出水量/许可水量＜50%，系数为0；50%≤超出水量/许可水量＜90%，系数为1；90%≤超出水量/许可水量＜120%，系数为2；120%≤超出水量/许可水量＜150%，系数为3；150%≤超出水量/许可水量或情节严重的，系数为4。2.未按照取水许可证规定的取水地点、水源类型、取水类型、取水用途进行取水的，发生一项，系数为0；每多一处，系数加1。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90F0B7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4898473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拒不改正且超出水量/许可水量＞200%且取水地点、水源类型、取水类型、取水用途至少1项发生变化；2.经执法部门处罚后，一年度内再次发生同类型违法行为。拟作出吊销取水许可证的，在作出处罚决定前，要邀请行业主管部门共同会商。</w:t>
            </w:r>
          </w:p>
        </w:tc>
      </w:tr>
      <w:tr w14:paraId="61125B0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470C487F">
            <w:pPr>
              <w:widowControl/>
              <w:jc w:val="center"/>
              <w:outlineLvl w:val="1"/>
              <w:rPr>
                <w:rFonts w:hint="eastAsia" w:asciiTheme="minorEastAsia" w:hAnsiTheme="minorEastAsia" w:eastAsiaTheme="minorEastAsia" w:cstheme="minorEastAsia"/>
                <w:color w:val="auto"/>
                <w:kern w:val="0"/>
                <w:szCs w:val="21"/>
                <w:highlight w:val="none"/>
              </w:rPr>
            </w:pPr>
            <w:bookmarkStart w:id="208" w:name="_Toc218468829"/>
            <w:bookmarkStart w:id="209" w:name="_Toc783138670"/>
            <w:r>
              <w:rPr>
                <w:rFonts w:hint="eastAsia" w:asciiTheme="minorEastAsia" w:hAnsiTheme="minorEastAsia" w:eastAsiaTheme="minorEastAsia" w:cstheme="minorEastAsia"/>
                <w:b/>
                <w:bCs/>
                <w:color w:val="auto"/>
                <w:kern w:val="0"/>
                <w:szCs w:val="21"/>
                <w:highlight w:val="none"/>
              </w:rPr>
              <w:t>《取水许可和水资源费征收管理条例》《地下水管理条例》案由9项</w:t>
            </w:r>
            <w:bookmarkEnd w:id="208"/>
            <w:bookmarkEnd w:id="209"/>
          </w:p>
        </w:tc>
      </w:tr>
      <w:tr w14:paraId="4456298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94639B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5BE71A2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取水申请人隐瞒有关情况或者提供虚假材料骗取取水申请批准文件或者取水许可证</w:t>
            </w:r>
          </w:p>
        </w:tc>
        <w:tc>
          <w:tcPr>
            <w:tcW w:w="2793" w:type="dxa"/>
            <w:gridSpan w:val="2"/>
            <w:tcBorders>
              <w:top w:val="nil"/>
              <w:left w:val="nil"/>
              <w:bottom w:val="single" w:color="auto" w:sz="4" w:space="0"/>
              <w:right w:val="single" w:color="auto" w:sz="4" w:space="0"/>
            </w:tcBorders>
            <w:shd w:val="clear" w:color="auto" w:fill="auto"/>
            <w:vAlign w:val="center"/>
          </w:tcPr>
          <w:p w14:paraId="6A5BD0D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违反条款：《取水许可和水资源费征收管理条例》第五十条；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处罚条款：《取水许可和水资源费征收管理条例》第五十条，给予警告，责令其限期补缴应当缴纳的水资源费，处2万元以上10万元以下罚款。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BEC7F8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5708A16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C13391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取水量＜10000立方米，系数为0；2.10000立方米≤取水量＜30000立方米，系数为1；3.30000立方米≤取水量＜50000立方米，系数为2；4.50000立方米≤取水量＜100000立方米，系数为3；5.100000立方米≤取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F07DCE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0C5AC9A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5B2278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1BC557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581AE76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取水单位或者个人拒不执行审批机关作出的取水量限制决定</w:t>
            </w:r>
          </w:p>
        </w:tc>
        <w:tc>
          <w:tcPr>
            <w:tcW w:w="2793" w:type="dxa"/>
            <w:gridSpan w:val="2"/>
            <w:tcBorders>
              <w:top w:val="nil"/>
              <w:left w:val="nil"/>
              <w:bottom w:val="single" w:color="auto" w:sz="4" w:space="0"/>
              <w:right w:val="single" w:color="auto" w:sz="4" w:space="0"/>
            </w:tcBorders>
            <w:shd w:val="clear" w:color="auto" w:fill="auto"/>
            <w:vAlign w:val="center"/>
          </w:tcPr>
          <w:p w14:paraId="1BE502D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违反条款：《取水许可和水资源费征收管理条例》第二十七条和第四十一条；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处罚条款：《取水许可和水资源费征收管理条例》第五十一条，责令停止违法行为，限期改正，处2万元以上10万元以下罚款；逾期拒不改正或者情节严重的，吊销取水许可证。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14:paraId="3CA85BE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743E395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379C4D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无严重情节，处以下罚款：1.超出水量/限制水量＜30%，系数为0；2.30%≤超出水量/限制水量＜70%，系数为1；3.70%≤超出水量/限制水量＜120%，系数为2；4.120%≤超出水量/限制水量＜200%，系数为3；5.200%</w:t>
            </w:r>
            <w:r>
              <w:rPr>
                <w:rFonts w:hint="eastAsia" w:asciiTheme="minorEastAsia" w:hAnsiTheme="minorEastAsia" w:eastAsiaTheme="minorEastAsia" w:cstheme="minorEastAsia"/>
                <w:color w:val="auto"/>
                <w:kern w:val="0"/>
                <w:sz w:val="15"/>
                <w:szCs w:val="15"/>
                <w:highlight w:val="none"/>
                <w:lang w:val="en-US" w:eastAsia="zh-CN"/>
              </w:rPr>
              <w:t>=</w:t>
            </w:r>
            <w:r>
              <w:rPr>
                <w:rFonts w:hint="eastAsia" w:asciiTheme="minorEastAsia" w:hAnsiTheme="minorEastAsia" w:eastAsiaTheme="minorEastAsia" w:cstheme="minorEastAsia"/>
                <w:color w:val="auto"/>
                <w:kern w:val="0"/>
                <w:sz w:val="15"/>
                <w:szCs w:val="15"/>
                <w:highlight w:val="none"/>
              </w:rPr>
              <w:t>超出水量/限制水量，系数为4。6.存在基准2.1.3规定情形的，系数按照相关规定确定（基准2.1.3.5不适用）。（二）逾期拒不改正或情节严重的，系数为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DFDE95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40194BC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存在以下情形之一的，可视为情节严重：1.超出水量/限制水量＞200%；2.经执法部门处罚后，一年度内再次发生同类型违法行为。拟作出吊销取水许可证的，在作出处罚决定前，要邀请行业主管部门共同会商。</w:t>
            </w:r>
          </w:p>
        </w:tc>
      </w:tr>
      <w:tr w14:paraId="6A62D18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57E06D3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20A9FBF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取水单位或者个人未经批准擅自转让取水权</w:t>
            </w:r>
          </w:p>
        </w:tc>
        <w:tc>
          <w:tcPr>
            <w:tcW w:w="2793" w:type="dxa"/>
            <w:gridSpan w:val="2"/>
            <w:tcBorders>
              <w:top w:val="nil"/>
              <w:left w:val="nil"/>
              <w:bottom w:val="single" w:color="auto" w:sz="4" w:space="0"/>
              <w:right w:val="single" w:color="auto" w:sz="4" w:space="0"/>
            </w:tcBorders>
            <w:shd w:val="clear" w:color="auto" w:fill="auto"/>
            <w:vAlign w:val="center"/>
          </w:tcPr>
          <w:p w14:paraId="28F6E95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违反条款：《取水许可和水资源费征收管理条例》第二十七条；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处罚条款：《取水许可和水资源费征收管理条例》第五十一条，责令停止违法行为，限期改正，处2万元以上10万元以下罚款；逾期拒不改正或者情节严重的，吊销取水许可证。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14:paraId="0AA3614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6F74BCD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AFA422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无严重情节，处以下罚款：1.转让水量/许可水量＜20%，系数为0；2.20%≤转让水量/许可水量＜40%，系数为1；3.40%≤转让水量/许可水量＜60%，系数为2；4.60%≤转让水量/许可水量＜80%，系数为3；5.80%≤转让水量/许可水量＜100%，系数为4。6.存在基准2.1.3规定情形的，系数按照相关规定确定（基准2.1.3.5不适用）。（二）逾期拒不改正或情节严重的，系数为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9F1711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110C1B3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存在以下情形之一的，可视为情节严重：1.转让水量/许可水量=100%；2.经执法部门处罚后，一年度内再次发生同类型违法行为。拟作出吊销取水许可证的，在作出处罚决定前，要邀请行业主管部门共同会商。</w:t>
            </w:r>
          </w:p>
        </w:tc>
      </w:tr>
      <w:tr w14:paraId="6E84460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1C2A07F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14:paraId="5A86502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取水单位或者个人不按照规定报送年度取水情况</w:t>
            </w:r>
          </w:p>
        </w:tc>
        <w:tc>
          <w:tcPr>
            <w:tcW w:w="2793" w:type="dxa"/>
            <w:gridSpan w:val="2"/>
            <w:tcBorders>
              <w:top w:val="nil"/>
              <w:left w:val="nil"/>
              <w:bottom w:val="single" w:color="auto" w:sz="4" w:space="0"/>
              <w:right w:val="single" w:color="auto" w:sz="4" w:space="0"/>
            </w:tcBorders>
            <w:shd w:val="clear" w:color="auto" w:fill="auto"/>
            <w:vAlign w:val="center"/>
          </w:tcPr>
          <w:p w14:paraId="77E64F0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违反条款：《取水许可和水资源费征收管理条例》第四十三条；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处罚条款：《取水许可和水资源费征收管理条例》第五十二条第一款第（一）项，责令停止违法行为，限期改正，处5000元以上2万元以下罚款；情节严重的，吊销取水许可证。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14:paraId="05CA327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2BA2090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1BCDCA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逾期报送时间＜5天，系数为0；2.5天≤逾期报送时间＜10天，系数为1；3.10天≤逾期报送时间＜15天，系数为2；4.15天≤逾期报送时间或情节严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91444E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7CE4200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逾期报送时间＞25个工作日视为情节严重。拟作出吊销取水许可证的，在作出处罚决定前，要邀请行业主管部门共同会商。</w:t>
            </w:r>
          </w:p>
        </w:tc>
      </w:tr>
      <w:tr w14:paraId="647C840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BC5FB2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14:paraId="6525BCB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取水单位拒绝接受监督检查或者弄虚作假</w:t>
            </w:r>
          </w:p>
        </w:tc>
        <w:tc>
          <w:tcPr>
            <w:tcW w:w="2793" w:type="dxa"/>
            <w:gridSpan w:val="2"/>
            <w:tcBorders>
              <w:top w:val="nil"/>
              <w:left w:val="nil"/>
              <w:bottom w:val="single" w:color="auto" w:sz="4" w:space="0"/>
              <w:right w:val="single" w:color="auto" w:sz="4" w:space="0"/>
            </w:tcBorders>
            <w:shd w:val="clear" w:color="auto" w:fill="auto"/>
            <w:vAlign w:val="center"/>
          </w:tcPr>
          <w:p w14:paraId="7F76F90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违反条款：《取水许可和水资源费征收管理条例》第四十五条第二款；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处罚条款：《取水许可和水资源费征收管理条例》第五十二条第一款第（二）项，责令停止违法行为，限期改正，处5000元以上2万元以下罚款；情节严重的，吊销取水许可证。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14:paraId="49E7AE2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2CB27B6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F64914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系数为0。（二）逾期不改正的，处以下罚款：1.取水量＜10000立方米，系数为1；2.10000立方米≤取水量＜100000立方米，系数为2；3.100000立方米≤取水量，系数为3。（三）情节严重的，系数为3。（四）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D1B707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65FD48F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取水量＞500000立方米且拒不改正；2.经执法部门处罚后，一年度内再次发生同类型违法行为。拟作出吊销取水许可证的，在作出处罚决定前，要邀请行业主管部门共同会商。</w:t>
            </w:r>
          </w:p>
        </w:tc>
      </w:tr>
      <w:tr w14:paraId="30C2EE1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56AF05F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14:paraId="4C406C3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取水单位或个人退水水质达不到规定要求</w:t>
            </w:r>
          </w:p>
        </w:tc>
        <w:tc>
          <w:tcPr>
            <w:tcW w:w="2793" w:type="dxa"/>
            <w:gridSpan w:val="2"/>
            <w:tcBorders>
              <w:top w:val="nil"/>
              <w:left w:val="nil"/>
              <w:bottom w:val="single" w:color="auto" w:sz="4" w:space="0"/>
              <w:right w:val="single" w:color="auto" w:sz="4" w:space="0"/>
            </w:tcBorders>
            <w:shd w:val="clear" w:color="auto" w:fill="auto"/>
            <w:vAlign w:val="center"/>
          </w:tcPr>
          <w:p w14:paraId="3833053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违反条款：《取水许可和水资源费征收管理条例》第五十二条第一款；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处罚条款：《取水许可和水资源费征收管理条例》责令停止违法行为，限期改正，处5000元以上2万元以下罚款；情节严重的，吊销取水许可证。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14:paraId="35E1A70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7B56666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5E00DA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水质超标项数＜3项，系数为0；2.3项≤水质超标＜5项，系数为1；3.5项≤水质超标＜7项，系数为2；4.7项≤水质超标≤10项或5倍≤单项水质超标倍数≤10倍或情节严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2BE51F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63F2232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水质超标＞10项；2.单项水质超标倍数＞10倍；3.经执法部门处罚后，一年度内再次发生同类型违法行为。拟作出吊销取水许可证的，在作出处罚决定前，要邀请行业主管部门共同会商。</w:t>
            </w:r>
          </w:p>
        </w:tc>
      </w:tr>
      <w:tr w14:paraId="0FC3410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4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1390610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530393C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取水单位或个人未安装计量设施</w:t>
            </w:r>
          </w:p>
        </w:tc>
        <w:tc>
          <w:tcPr>
            <w:tcW w:w="2793" w:type="dxa"/>
            <w:gridSpan w:val="2"/>
            <w:tcBorders>
              <w:top w:val="nil"/>
              <w:left w:val="nil"/>
              <w:bottom w:val="single" w:color="auto" w:sz="4" w:space="0"/>
              <w:right w:val="single" w:color="auto" w:sz="4" w:space="0"/>
            </w:tcBorders>
            <w:shd w:val="clear" w:color="auto" w:fill="auto"/>
            <w:vAlign w:val="center"/>
          </w:tcPr>
          <w:p w14:paraId="759A462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违反条款：《地下水管理条例》第二十二条第一款；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处罚条款：《地下水管理条例》第五十六条第一款，责令限期安装，处10万元以上50万元以下罚款；情节严重的，吊销取水许可证。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14:paraId="2D6B6B9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14:paraId="2D52003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DBBBC06">
            <w:pPr>
              <w:widowControl/>
              <w:jc w:val="left"/>
              <w:rPr>
                <w:rFonts w:hint="eastAsia" w:asciiTheme="minorEastAsia" w:hAnsiTheme="minorEastAsia" w:eastAsiaTheme="minorEastAsia" w:cstheme="minorEastAsia"/>
                <w:strike/>
                <w:dstrike w:val="0"/>
                <w:color w:val="auto"/>
                <w:kern w:val="0"/>
                <w:sz w:val="15"/>
                <w:szCs w:val="15"/>
                <w:highlight w:val="none"/>
                <w:lang w:val="en-US" w:eastAsia="zh-CN"/>
              </w:rPr>
            </w:pPr>
            <w:r>
              <w:rPr>
                <w:rFonts w:hint="eastAsia" w:asciiTheme="minorEastAsia" w:hAnsiTheme="minorEastAsia" w:eastAsiaTheme="minorEastAsia" w:cstheme="minorEastAsia"/>
                <w:strike w:val="0"/>
                <w:dstrike w:val="0"/>
                <w:color w:val="auto"/>
                <w:kern w:val="0"/>
                <w:sz w:val="15"/>
                <w:szCs w:val="15"/>
                <w:highlight w:val="none"/>
                <w:lang w:val="en-US" w:eastAsia="zh-CN"/>
              </w:rPr>
              <w:t>1.地下水日最大取水能力总和＜1000立方米，系数为0；2.1000立方米≤地下水日最大取水能力总和＜1500立方米，系数为0.5；3.1500立方米≤地下水日最大取水能力总和＜2000立方米，系数为1；4.2000立方米≤地下水日最大取水能力总和＜2500立方米，系数为1.5；5.2500立方米≤地下水日最大取水能力总和＜3000立方米，系数为2；6.3000立方米≤地下水日最大取水能力总和＜3500立方米，系数为2.5；7.3500立方米≤地下水日最大取水能力总和＜4000立方米，系数为3；8.4000立方米≤地下水日最大取水能力总和＜5000立方米，系数为3.5；9.5000立方米≤地下水日最大取水能力总和或情节严重的，系数为4。10.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B134A3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071244B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（一）取用地下水的，优先适用《地下水管理条例》；取用地表水的，应当适用《取水许可和水资源费征收管理条例》。</w:t>
            </w:r>
          </w:p>
          <w:p w14:paraId="78BADF1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二）存在以下情形之一的，可视为情节严重：1.拒不改正且日最大取水能力总和＞5000立方米；2.经执法部门处罚后，一年度内再次发生同类型违法行为。拟作出吊销取水许可证的，在作出处罚决定前，要邀请行业主管部门共同会商。</w:t>
            </w:r>
          </w:p>
        </w:tc>
      </w:tr>
      <w:tr w14:paraId="60B1D29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38F829AC">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1ADAD5F1">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14:paraId="029D660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违反条款：《取水许可和水资源费征收管理条例》第四十三条；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处罚条款：《取水许可和水资源费征收管理条例》第五十三条第一款，责令限期安装，处5000元以上2万元以下罚款；情节严重的，吊销取水许可证。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14:paraId="6198733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69DAE20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8CA0D3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1.日最大取水能力总和＜1000立方米，系数为0；2.1000立方米≤日最大取水能力总和＜3000立方米</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系数为1；3.3000立方米≤日最大取水能力总和＜5000立方米</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系数为2；4.5000立方米≤日最大取水能力总和或情节严重的，系数为3。5.存在基准2.1.3规定情形的，系数按照相关规定确定（基准2.1.3.5不适用）。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B36381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vMerge w:val="continue"/>
            <w:tcBorders>
              <w:top w:val="nil"/>
              <w:left w:val="single" w:color="auto" w:sz="4" w:space="0"/>
              <w:bottom w:val="single" w:color="auto" w:sz="4" w:space="0"/>
              <w:right w:val="single" w:color="auto" w:sz="4" w:space="0"/>
            </w:tcBorders>
            <w:vAlign w:val="center"/>
          </w:tcPr>
          <w:p w14:paraId="2B8436C2">
            <w:pPr>
              <w:widowControl/>
              <w:jc w:val="left"/>
              <w:rPr>
                <w:rFonts w:hint="eastAsia" w:asciiTheme="minorEastAsia" w:hAnsiTheme="minorEastAsia" w:eastAsiaTheme="minorEastAsia" w:cstheme="minorEastAsia"/>
                <w:color w:val="auto"/>
                <w:kern w:val="0"/>
                <w:sz w:val="15"/>
                <w:szCs w:val="15"/>
                <w:highlight w:val="none"/>
              </w:rPr>
            </w:pPr>
          </w:p>
        </w:tc>
      </w:tr>
      <w:tr w14:paraId="35F16EE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1C80939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1003161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取水单位或个人计量设施不合格或者运行不正常</w:t>
            </w:r>
          </w:p>
        </w:tc>
        <w:tc>
          <w:tcPr>
            <w:tcW w:w="2793" w:type="dxa"/>
            <w:gridSpan w:val="2"/>
            <w:tcBorders>
              <w:top w:val="nil"/>
              <w:left w:val="nil"/>
              <w:bottom w:val="single" w:color="auto" w:sz="4" w:space="0"/>
              <w:right w:val="single" w:color="auto" w:sz="4" w:space="0"/>
            </w:tcBorders>
            <w:shd w:val="clear" w:color="auto" w:fill="auto"/>
            <w:vAlign w:val="center"/>
          </w:tcPr>
          <w:p w14:paraId="78C0A6D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违反条款：《地下水管理条例》第二十二条第二款；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处罚条款：《地下水管理条例》第五十六条第二款，责令限期更换或者修复；逾期不更换或者不修复的，处10万元以上50万元以下罚款；情节严重的，吊销取水许可证。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14:paraId="56991E9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14:paraId="288C219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9BF9D2F">
            <w:pPr>
              <w:widowControl/>
              <w:jc w:val="left"/>
              <w:rPr>
                <w:rFonts w:hint="eastAsia" w:asciiTheme="minorEastAsia" w:hAnsiTheme="minorEastAsia" w:eastAsiaTheme="minorEastAsia" w:cstheme="minorEastAsia"/>
                <w:strike/>
                <w:dstrike w:val="0"/>
                <w:color w:val="auto"/>
                <w:kern w:val="0"/>
                <w:sz w:val="15"/>
                <w:szCs w:val="15"/>
                <w:highlight w:val="none"/>
              </w:rPr>
            </w:pPr>
            <w:r>
              <w:rPr>
                <w:rFonts w:hint="eastAsia" w:asciiTheme="minorEastAsia" w:hAnsiTheme="minorEastAsia" w:eastAsiaTheme="minorEastAsia" w:cstheme="minorEastAsia"/>
                <w:color w:val="auto"/>
                <w:sz w:val="15"/>
                <w:szCs w:val="15"/>
                <w:highlight w:val="none"/>
              </w:rPr>
              <w:t>1.地下水日最大取水能力总和＜1000立方米，系数为0；2.1000立方米≤地下水日最大取水能力总和＜1500立方米，系数为0.5；3.1500立方米≤地下水日最大取水能力总和＜2000立方米，系数为1；4.2000立方米≤地下水日最大取水能力总和＜2500立方米，系数为1.5；5.2500立方米≤地下水日最大取水能力总和＜3000立方米，系数为2；6.3000立方米≤地下水日最大取水能力总和＜3500立方米，系数为2.5；7.3500立方米≤地下水日最大取水能力总和＜4000立方米，系数为3；8.4000立方米≤地下水日最大取水能力总和＜5000立方米，系数为3.5；9.5000立方米≤地下水日最大取水能力总和或情节严重的，系数为4。10.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C72312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1780D7C8">
            <w:pPr>
              <w:widowControl/>
              <w:jc w:val="left"/>
              <w:rPr>
                <w:rFonts w:hint="eastAsia" w:asciiTheme="minorEastAsia" w:hAnsiTheme="minorEastAsia" w:eastAsiaTheme="minorEastAsia" w:cstheme="minorEastAsia"/>
                <w:color w:val="auto"/>
                <w:kern w:val="0"/>
                <w:sz w:val="15"/>
                <w:szCs w:val="15"/>
                <w:highlight w:val="none"/>
              </w:rPr>
            </w:pPr>
            <w:r>
              <w:rPr>
                <w:rFonts w:ascii="Times New Roman" w:hAnsi="Times New Roman" w:eastAsia="宋体" w:cs="Times New Roman"/>
                <w:color w:val="auto"/>
                <w:kern w:val="0"/>
                <w:sz w:val="15"/>
                <w:szCs w:val="15"/>
                <w:highlight w:val="none"/>
              </w:rPr>
              <w:t>（一）</w:t>
            </w:r>
            <w:r>
              <w:rPr>
                <w:rFonts w:hint="eastAsia" w:ascii="Times New Roman" w:hAnsi="Times New Roman" w:eastAsia="宋体" w:cs="Times New Roman"/>
                <w:color w:val="auto"/>
                <w:kern w:val="0"/>
                <w:sz w:val="15"/>
                <w:szCs w:val="15"/>
                <w:highlight w:val="none"/>
                <w:lang w:val="en-US" w:eastAsia="zh-CN"/>
              </w:rPr>
              <w:t>取用地下水的，优先适用</w:t>
            </w:r>
            <w:r>
              <w:rPr>
                <w:rFonts w:ascii="Times New Roman" w:hAnsi="Times New Roman" w:eastAsia="宋体" w:cs="Times New Roman"/>
                <w:color w:val="auto"/>
                <w:kern w:val="0"/>
                <w:sz w:val="15"/>
                <w:szCs w:val="15"/>
                <w:highlight w:val="none"/>
              </w:rPr>
              <w:t>《地下水管理条例》</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lang w:val="en-US" w:eastAsia="zh-CN"/>
              </w:rPr>
              <w:t>取用地表水的，应当适用</w:t>
            </w:r>
            <w:r>
              <w:rPr>
                <w:rFonts w:ascii="Times New Roman" w:hAnsi="Times New Roman" w:eastAsia="宋体" w:cs="Times New Roman"/>
                <w:color w:val="auto"/>
                <w:kern w:val="0"/>
                <w:sz w:val="15"/>
                <w:szCs w:val="15"/>
                <w:highlight w:val="none"/>
              </w:rPr>
              <w:t>《取水许可和水资源费征收管理条例》。</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二）存在以下情形之一的，可视为情节严重：1.拒不改正且日最大取水能力总和＞5000立方米；2.经执法部门处罚后，一年度内再次发生同类型违法行为。拟作出吊销取水许可证的，在作出处罚决定前，要邀请行业主管部门共同会商。</w:t>
            </w:r>
          </w:p>
        </w:tc>
      </w:tr>
      <w:tr w14:paraId="1F0B05A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56669EA1">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7EDFD3F6">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14:paraId="08B187F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违反条款：《取水许可和水资源费征收管理条例》第四十三条；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处罚条款：《取水许可和水资源费征收管理条例》第五十三条第二款，责令限期更换或者修复；逾期不更换或者不修复的，可以处1万元以下罚款；情节严重的，吊销取水许可证。</w:t>
            </w:r>
          </w:p>
        </w:tc>
        <w:tc>
          <w:tcPr>
            <w:tcW w:w="864" w:type="dxa"/>
            <w:gridSpan w:val="2"/>
            <w:tcBorders>
              <w:top w:val="nil"/>
              <w:left w:val="nil"/>
              <w:bottom w:val="single" w:color="auto" w:sz="4" w:space="0"/>
              <w:right w:val="single" w:color="auto" w:sz="4" w:space="0"/>
            </w:tcBorders>
            <w:shd w:val="clear" w:color="auto" w:fill="auto"/>
            <w:vAlign w:val="center"/>
          </w:tcPr>
          <w:p w14:paraId="691E8CE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14:paraId="02E90CF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A06CA2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sz w:val="15"/>
                <w:szCs w:val="15"/>
                <w:highlight w:val="none"/>
              </w:rPr>
              <w:t>1.日最大取水能力总和＜1000立方米，系数为0；2.1000立方米≤日最大取水能力总和＜3000立方米</w:t>
            </w:r>
            <w:r>
              <w:rPr>
                <w:rFonts w:hint="eastAsia" w:asciiTheme="minorEastAsia" w:hAnsiTheme="minorEastAsia" w:eastAsiaTheme="minorEastAsia" w:cstheme="minorEastAsia"/>
                <w:color w:val="auto"/>
                <w:sz w:val="15"/>
                <w:szCs w:val="15"/>
                <w:highlight w:val="none"/>
                <w:lang w:eastAsia="zh-CN"/>
              </w:rPr>
              <w:t>，</w:t>
            </w:r>
            <w:r>
              <w:rPr>
                <w:rFonts w:hint="eastAsia" w:asciiTheme="minorEastAsia" w:hAnsiTheme="minorEastAsia" w:eastAsiaTheme="minorEastAsia" w:cstheme="minorEastAsia"/>
                <w:color w:val="auto"/>
                <w:sz w:val="15"/>
                <w:szCs w:val="15"/>
                <w:highlight w:val="none"/>
              </w:rPr>
              <w:t>系数为3；3.3000立方米≤日最大取水能力总和＜5000立方米</w:t>
            </w:r>
            <w:r>
              <w:rPr>
                <w:rFonts w:hint="eastAsia" w:asciiTheme="minorEastAsia" w:hAnsiTheme="minorEastAsia" w:eastAsiaTheme="minorEastAsia" w:cstheme="minorEastAsia"/>
                <w:color w:val="auto"/>
                <w:sz w:val="15"/>
                <w:szCs w:val="15"/>
                <w:highlight w:val="none"/>
                <w:lang w:eastAsia="zh-CN"/>
              </w:rPr>
              <w:t>，</w:t>
            </w:r>
            <w:r>
              <w:rPr>
                <w:rFonts w:hint="eastAsia" w:asciiTheme="minorEastAsia" w:hAnsiTheme="minorEastAsia" w:eastAsiaTheme="minorEastAsia" w:cstheme="minorEastAsia"/>
                <w:color w:val="auto"/>
                <w:sz w:val="15"/>
                <w:szCs w:val="15"/>
                <w:highlight w:val="none"/>
              </w:rPr>
              <w:t>系数为6；4.5000立方米≤日最大取水能力总和或情节严重的，系数为9。5.存在基准2.1.3规定情形的，系数按照相关规定确定（基准2.1.3.5不适用）。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C0CC31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vMerge w:val="continue"/>
            <w:tcBorders>
              <w:top w:val="nil"/>
              <w:left w:val="single" w:color="auto" w:sz="4" w:space="0"/>
              <w:bottom w:val="single" w:color="auto" w:sz="4" w:space="0"/>
              <w:right w:val="single" w:color="auto" w:sz="4" w:space="0"/>
            </w:tcBorders>
            <w:vAlign w:val="center"/>
          </w:tcPr>
          <w:p w14:paraId="3E15C905">
            <w:pPr>
              <w:widowControl/>
              <w:jc w:val="left"/>
              <w:rPr>
                <w:rFonts w:hint="eastAsia" w:asciiTheme="minorEastAsia" w:hAnsiTheme="minorEastAsia" w:eastAsiaTheme="minorEastAsia" w:cstheme="minorEastAsia"/>
                <w:color w:val="auto"/>
                <w:kern w:val="0"/>
                <w:sz w:val="15"/>
                <w:szCs w:val="15"/>
                <w:highlight w:val="none"/>
              </w:rPr>
            </w:pPr>
          </w:p>
        </w:tc>
      </w:tr>
      <w:tr w14:paraId="75F22D3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9C191F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14:paraId="2D10A1C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伪造、涂改、冒用取水申请批准文件、取水许可证</w:t>
            </w:r>
          </w:p>
        </w:tc>
        <w:tc>
          <w:tcPr>
            <w:tcW w:w="2793" w:type="dxa"/>
            <w:gridSpan w:val="2"/>
            <w:tcBorders>
              <w:top w:val="nil"/>
              <w:left w:val="nil"/>
              <w:bottom w:val="single" w:color="auto" w:sz="4" w:space="0"/>
              <w:right w:val="single" w:color="auto" w:sz="4" w:space="0"/>
            </w:tcBorders>
            <w:shd w:val="clear" w:color="auto" w:fill="auto"/>
            <w:vAlign w:val="center"/>
          </w:tcPr>
          <w:p w14:paraId="29B2C5A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处罚条款：第五十六条，责令改正，没收违法所得和非法财物，并处2万元以上10万元以下罚款。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66651DC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72E3A63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C3FBE3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没收违法所得和非法财物，并处以下罚款：1.取水量＜10000立方米，系数为0；2.10000立方米≤取水量＜30000立方米，系数为1；3.30000立方米≤取水量＜50000立方米，系数为2；4.50000立方米≤取水量＜100000立方米，系数为3；5.100000立方米≤取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923BE7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046E255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E48742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61574FC6">
            <w:pPr>
              <w:widowControl/>
              <w:jc w:val="center"/>
              <w:outlineLvl w:val="1"/>
              <w:rPr>
                <w:rFonts w:hint="eastAsia" w:asciiTheme="minorEastAsia" w:hAnsiTheme="minorEastAsia" w:eastAsiaTheme="minorEastAsia" w:cstheme="minorEastAsia"/>
                <w:color w:val="auto"/>
                <w:kern w:val="0"/>
                <w:szCs w:val="21"/>
                <w:highlight w:val="none"/>
              </w:rPr>
            </w:pPr>
            <w:bookmarkStart w:id="210" w:name="_Toc218468830"/>
            <w:bookmarkStart w:id="211" w:name="_Toc631117755"/>
            <w:r>
              <w:rPr>
                <w:rFonts w:hint="eastAsia" w:asciiTheme="minorEastAsia" w:hAnsiTheme="minorEastAsia" w:eastAsiaTheme="minorEastAsia" w:cstheme="minorEastAsia"/>
                <w:b/>
                <w:bCs/>
                <w:color w:val="auto"/>
                <w:kern w:val="0"/>
                <w:szCs w:val="21"/>
                <w:highlight w:val="none"/>
              </w:rPr>
              <w:t>《地下水管理条例》案由6项</w:t>
            </w:r>
            <w:bookmarkEnd w:id="210"/>
            <w:bookmarkEnd w:id="211"/>
          </w:p>
        </w:tc>
      </w:tr>
      <w:tr w14:paraId="5690BA4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14C87B1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389203E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利用岩层孔隙、裂隙、溶洞、废弃矿坑等贮存城镇污水处理设施产生的污泥和处理后的污泥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4C3E3CE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九条第二款，责令限期改正，处20万元以上200万元以下罚款，对直接负责的主管人员和其他直接责任人员处2万元以上10万元以下罚款；造成严重后果的，处200万元以上500万元以下罚款，对直接负责的主管人员和其他直接责任人员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06DE6FB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14:paraId="63B733C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F781C2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处以下罚款：1.污泥量＜50吨，系数为0；50吨≤污泥量＜70吨，系数为0.5；污泥量每增加20吨（不足20吨的，按20吨计），系数加0.5；390吨≤污泥量＜410吨，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19658F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11A603F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A26610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43AA2CDD">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4237961E">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68019C10">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5F5378D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318A3CC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FA87ED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处以下罚款：1.污泥量＜50吨，系数为0；2.50吨≤污泥量＜70吨，系数为1；3.70吨≤污泥量＜110吨，系数为2；4.110吨≤污泥量＜130吨，系数为3；5.130吨≤污泥量＜410吨，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FB5E6A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continue"/>
            <w:tcBorders>
              <w:top w:val="nil"/>
              <w:left w:val="single" w:color="auto" w:sz="4" w:space="0"/>
              <w:bottom w:val="single" w:color="auto" w:sz="4" w:space="0"/>
              <w:right w:val="single" w:color="auto" w:sz="4" w:space="0"/>
            </w:tcBorders>
            <w:vAlign w:val="center"/>
          </w:tcPr>
          <w:p w14:paraId="286396DA">
            <w:pPr>
              <w:widowControl/>
              <w:jc w:val="left"/>
              <w:rPr>
                <w:rFonts w:hint="eastAsia" w:asciiTheme="minorEastAsia" w:hAnsiTheme="minorEastAsia" w:eastAsiaTheme="minorEastAsia" w:cstheme="minorEastAsia"/>
                <w:color w:val="auto"/>
                <w:kern w:val="0"/>
                <w:sz w:val="15"/>
                <w:szCs w:val="15"/>
                <w:highlight w:val="none"/>
              </w:rPr>
            </w:pPr>
          </w:p>
        </w:tc>
      </w:tr>
      <w:tr w14:paraId="6B4893D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5D7250F7">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3CA117C9">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445DFE33">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58A83B5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14:paraId="28482C6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AB64FF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造成严重后果，处以下罚款：1.410吨≤污泥量＜430吨，系数为0；430吨≤污泥量＜450吨</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系数为0.05；污泥量每增加20吨（不足20吨的，按20吨计），系数加0.05；1010吨≤污泥量，系数为1.5。2.存在基准2.1.3规定情形的，系数按照相关规定确定（基准2.1.3.5不适用）。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870ACC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罚款金额=2000000×（1+情节系数）</w:t>
            </w:r>
          </w:p>
        </w:tc>
        <w:tc>
          <w:tcPr>
            <w:tcW w:w="1972" w:type="dxa"/>
            <w:vMerge w:val="continue"/>
            <w:tcBorders>
              <w:top w:val="nil"/>
              <w:left w:val="single" w:color="auto" w:sz="4" w:space="0"/>
              <w:bottom w:val="single" w:color="auto" w:sz="4" w:space="0"/>
              <w:right w:val="single" w:color="auto" w:sz="4" w:space="0"/>
            </w:tcBorders>
            <w:vAlign w:val="center"/>
          </w:tcPr>
          <w:p w14:paraId="6E2AB6C3">
            <w:pPr>
              <w:widowControl/>
              <w:jc w:val="left"/>
              <w:rPr>
                <w:rFonts w:hint="eastAsia" w:asciiTheme="minorEastAsia" w:hAnsiTheme="minorEastAsia" w:eastAsiaTheme="minorEastAsia" w:cstheme="minorEastAsia"/>
                <w:color w:val="auto"/>
                <w:kern w:val="0"/>
                <w:sz w:val="15"/>
                <w:szCs w:val="15"/>
                <w:highlight w:val="none"/>
              </w:rPr>
            </w:pPr>
          </w:p>
        </w:tc>
      </w:tr>
      <w:tr w14:paraId="53E49CC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3A403710">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78B6D8FD">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0131545B">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75928B5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37A8E7E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F63FE2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造成严重后果，处以下罚款：1.410吨≤污泥量＜510吨，系数为0；510吨≤污泥量＜610吨</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系数为0.5；污泥量每增加100吨（不足100吨的，按100吨计），系数加0.5；2210吨≤污泥量，系数为9。2.存在基准2.1.3规定情形的，系数按照相关规定确定（基准2.1.3.5不适用）。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35A87C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continue"/>
            <w:tcBorders>
              <w:top w:val="nil"/>
              <w:left w:val="single" w:color="auto" w:sz="4" w:space="0"/>
              <w:bottom w:val="single" w:color="auto" w:sz="4" w:space="0"/>
              <w:right w:val="single" w:color="auto" w:sz="4" w:space="0"/>
            </w:tcBorders>
            <w:vAlign w:val="center"/>
          </w:tcPr>
          <w:p w14:paraId="42D730FB">
            <w:pPr>
              <w:widowControl/>
              <w:jc w:val="left"/>
              <w:rPr>
                <w:rFonts w:hint="eastAsia" w:asciiTheme="minorEastAsia" w:hAnsiTheme="minorEastAsia" w:eastAsiaTheme="minorEastAsia" w:cstheme="minorEastAsia"/>
                <w:color w:val="auto"/>
                <w:kern w:val="0"/>
                <w:sz w:val="15"/>
                <w:szCs w:val="15"/>
                <w:highlight w:val="none"/>
              </w:rPr>
            </w:pPr>
          </w:p>
        </w:tc>
      </w:tr>
      <w:tr w14:paraId="24E0BC8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5BC7FCD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731CA2D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矿产资源开采、地下工程建设疏干排水应当定期报送疏干排水量和地下水水位状况而未报送</w:t>
            </w:r>
          </w:p>
        </w:tc>
        <w:tc>
          <w:tcPr>
            <w:tcW w:w="2793" w:type="dxa"/>
            <w:gridSpan w:val="2"/>
            <w:tcBorders>
              <w:top w:val="nil"/>
              <w:left w:val="nil"/>
              <w:bottom w:val="single" w:color="auto" w:sz="4" w:space="0"/>
              <w:right w:val="single" w:color="auto" w:sz="4" w:space="0"/>
            </w:tcBorders>
            <w:shd w:val="clear" w:color="auto" w:fill="auto"/>
            <w:vAlign w:val="center"/>
          </w:tcPr>
          <w:p w14:paraId="0AFABEA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处罚条款：第五十七条第二款，责令限期补报；逾期不补报的，处2万元以上10万元以下罚款。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02BB9C6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64D9539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9D3B52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1.逾期报送时间＜10天，系数为0；2.10天≤逾期报送时间＜15天，系数为1；3.15天≤逾期报送时间＜20天，系数为2；4.20天≤逾期报送时间＜25天，系数为3</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5.25天≤逾期报送时间，系数为4。6.存在基准2.1.3规定情形的，系数按照相关规定确定（基准2.1.3.5不适用）。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AA2DD4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4425F90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120A01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287419B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6749279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地下工程建设应当于开工前将工程建设方案和防止对地下水产生不利影响的措施方案备案而未备案</w:t>
            </w:r>
          </w:p>
        </w:tc>
        <w:tc>
          <w:tcPr>
            <w:tcW w:w="2793" w:type="dxa"/>
            <w:gridSpan w:val="2"/>
            <w:tcBorders>
              <w:top w:val="nil"/>
              <w:left w:val="nil"/>
              <w:bottom w:val="single" w:color="auto" w:sz="4" w:space="0"/>
              <w:right w:val="single" w:color="auto" w:sz="4" w:space="0"/>
            </w:tcBorders>
            <w:shd w:val="clear" w:color="auto" w:fill="auto"/>
            <w:vAlign w:val="center"/>
          </w:tcPr>
          <w:p w14:paraId="69CF20A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处罚条款：第五十七条第二款，责令限期补报；逾期不补报的，处2万元以上10万元以下罚款。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08337FF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0EE1E9D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CEFE53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逾期报送时间＜10天，系数为0；2.10天≤逾期报送时间＜15天，系数为1；3.15天≤逾期报送时间＜20天，系数为2；4.20天≤逾期报送时间＜25天，系数为3；5.25天≤逾期报送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B955F6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0A58B21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7AA749C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ECE983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14:paraId="2DBF24F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侵占、毁坏或者擅自移动地下水监测设施设备及其标志</w:t>
            </w:r>
          </w:p>
        </w:tc>
        <w:tc>
          <w:tcPr>
            <w:tcW w:w="2793" w:type="dxa"/>
            <w:gridSpan w:val="2"/>
            <w:tcBorders>
              <w:top w:val="nil"/>
              <w:left w:val="nil"/>
              <w:bottom w:val="single" w:color="auto" w:sz="4" w:space="0"/>
              <w:right w:val="single" w:color="auto" w:sz="4" w:space="0"/>
            </w:tcBorders>
            <w:shd w:val="clear" w:color="auto" w:fill="auto"/>
            <w:vAlign w:val="center"/>
          </w:tcPr>
          <w:p w14:paraId="4695867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违反条款：第四十七条第一款；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处罚条款：第六十条，责令停止违法行为，限期采取补救措施，处2万元以上10万元以下罚款。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337B12B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260FB08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E4731F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1.限期内采取补救措施且达到效果的，系数为0；2.限期内采取补救措施但未达到效果的，系数为2；3.限期内未采取补救措施的，系数为4。4.存在基准2.1.3规定情形的，系数按照相关规定确定（基准2.1.3.5不适用）。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7708D7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3CA19BD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地下水监测设施设备及其标志恢复正常运行视为达到效果。</w:t>
            </w:r>
          </w:p>
        </w:tc>
      </w:tr>
      <w:tr w14:paraId="32F2462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7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A12417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14:paraId="32D66CB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以监测、勘探为目的的地下水取水工程在施工前应当备案而未备案</w:t>
            </w:r>
          </w:p>
        </w:tc>
        <w:tc>
          <w:tcPr>
            <w:tcW w:w="2793" w:type="dxa"/>
            <w:gridSpan w:val="2"/>
            <w:tcBorders>
              <w:top w:val="nil"/>
              <w:left w:val="nil"/>
              <w:bottom w:val="single" w:color="auto" w:sz="4" w:space="0"/>
              <w:right w:val="single" w:color="auto" w:sz="4" w:space="0"/>
            </w:tcBorders>
            <w:shd w:val="clear" w:color="auto" w:fill="auto"/>
            <w:vAlign w:val="center"/>
          </w:tcPr>
          <w:p w14:paraId="63E28E4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违反条款：第四十八条第二款；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处罚条款：第六十一条，责令限期补办备案手续；逾期不补办备案手续的，责令限期封井或者回填，处2万元以上10万元以下罚款。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1704A0A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3CDF090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2D32C4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逾期不补办备案手续，责令完成封井或者回填的，系数为0；2.逾期后补办备案手续时间＜10天，系数为0；3.10天≤逾期后补办备案手续时间＜25天，系数为2；4.25天≤逾期后补办备案手续时间，系数为4。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D847A7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488031F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0356B5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47B21B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14:paraId="599FCEA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地下工程建设对地下水补给、径流、排泄等造成重大不利影响</w:t>
            </w:r>
          </w:p>
        </w:tc>
        <w:tc>
          <w:tcPr>
            <w:tcW w:w="2793" w:type="dxa"/>
            <w:gridSpan w:val="2"/>
            <w:tcBorders>
              <w:top w:val="nil"/>
              <w:left w:val="nil"/>
              <w:bottom w:val="single" w:color="auto" w:sz="4" w:space="0"/>
              <w:right w:val="single" w:color="auto" w:sz="4" w:space="0"/>
            </w:tcBorders>
            <w:shd w:val="clear" w:color="auto" w:fill="auto"/>
            <w:vAlign w:val="center"/>
          </w:tcPr>
          <w:p w14:paraId="4E8D2B7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处罚条款：第五十七条，责令限期采取措施消除不利影响，处10万元以上50万元以下罚款</w:t>
            </w:r>
          </w:p>
        </w:tc>
        <w:tc>
          <w:tcPr>
            <w:tcW w:w="864" w:type="dxa"/>
            <w:gridSpan w:val="2"/>
            <w:tcBorders>
              <w:top w:val="nil"/>
              <w:left w:val="nil"/>
              <w:bottom w:val="single" w:color="auto" w:sz="4" w:space="0"/>
              <w:right w:val="single" w:color="auto" w:sz="4" w:space="0"/>
            </w:tcBorders>
            <w:shd w:val="clear" w:color="auto" w:fill="auto"/>
            <w:noWrap/>
            <w:vAlign w:val="center"/>
          </w:tcPr>
          <w:p w14:paraId="2AB8C19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p>
        </w:tc>
        <w:tc>
          <w:tcPr>
            <w:tcW w:w="840" w:type="dxa"/>
            <w:tcBorders>
              <w:top w:val="nil"/>
              <w:left w:val="nil"/>
              <w:bottom w:val="single" w:color="auto" w:sz="4" w:space="0"/>
              <w:right w:val="single" w:color="auto" w:sz="4" w:space="0"/>
            </w:tcBorders>
            <w:shd w:val="clear" w:color="auto" w:fill="auto"/>
            <w:noWrap/>
            <w:vAlign w:val="center"/>
          </w:tcPr>
          <w:p w14:paraId="7B97AB9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tcBorders>
              <w:top w:val="nil"/>
              <w:left w:val="nil"/>
              <w:bottom w:val="single" w:color="auto" w:sz="4" w:space="0"/>
              <w:right w:val="single" w:color="auto" w:sz="4" w:space="0"/>
            </w:tcBorders>
            <w:shd w:val="clear" w:color="auto" w:fill="auto"/>
            <w:vAlign w:val="center"/>
          </w:tcPr>
          <w:p w14:paraId="2C2658E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造成地下水补给、径流、排泄等2种重大不利影响的，系数为0.8；3种重大不利影响的，系数为1.6；以此类推；2.涉及限制开采区，系数为0.8；涉及禁止开采区，系数为1.6；3.未有效消除不利影响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C4F44B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14:paraId="4E022BE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49894CB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5A1EE94B">
            <w:pPr>
              <w:widowControl/>
              <w:jc w:val="center"/>
              <w:outlineLvl w:val="1"/>
              <w:rPr>
                <w:rFonts w:hint="eastAsia" w:asciiTheme="minorEastAsia" w:hAnsiTheme="minorEastAsia" w:eastAsiaTheme="minorEastAsia" w:cstheme="minorEastAsia"/>
                <w:color w:val="auto"/>
                <w:kern w:val="0"/>
                <w:szCs w:val="21"/>
                <w:highlight w:val="none"/>
              </w:rPr>
            </w:pPr>
            <w:bookmarkStart w:id="212" w:name="_Toc218468831"/>
            <w:bookmarkStart w:id="213" w:name="_Toc426098787"/>
            <w:r>
              <w:rPr>
                <w:rFonts w:hint="eastAsia" w:asciiTheme="minorEastAsia" w:hAnsiTheme="minorEastAsia" w:eastAsiaTheme="minorEastAsia" w:cstheme="minorEastAsia"/>
                <w:b/>
                <w:bCs/>
                <w:color w:val="auto"/>
                <w:kern w:val="0"/>
                <w:szCs w:val="21"/>
                <w:highlight w:val="none"/>
              </w:rPr>
              <w:t>《取水许可管理办法》案由3项</w:t>
            </w:r>
            <w:bookmarkEnd w:id="212"/>
            <w:bookmarkEnd w:id="213"/>
          </w:p>
        </w:tc>
      </w:tr>
      <w:tr w14:paraId="20300D4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25972CA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460F2DE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取水单位擅自停止使用节水设施</w:t>
            </w:r>
          </w:p>
        </w:tc>
        <w:tc>
          <w:tcPr>
            <w:tcW w:w="2793" w:type="dxa"/>
            <w:gridSpan w:val="2"/>
            <w:tcBorders>
              <w:top w:val="nil"/>
              <w:left w:val="nil"/>
              <w:bottom w:val="single" w:color="auto" w:sz="4" w:space="0"/>
              <w:right w:val="single" w:color="auto" w:sz="4" w:space="0"/>
            </w:tcBorders>
            <w:shd w:val="clear" w:color="auto" w:fill="auto"/>
            <w:vAlign w:val="center"/>
          </w:tcPr>
          <w:p w14:paraId="4AEFB28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违反条款：第四十九条第一款第（一）项；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处罚条款：第四十九条第一款第（一）项，责令其限期改正，并可处1000元以下罚款。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3FB3A9C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 </w:t>
            </w:r>
          </w:p>
        </w:tc>
        <w:tc>
          <w:tcPr>
            <w:tcW w:w="840" w:type="dxa"/>
            <w:tcBorders>
              <w:top w:val="nil"/>
              <w:left w:val="nil"/>
              <w:bottom w:val="single" w:color="auto" w:sz="4" w:space="0"/>
              <w:right w:val="single" w:color="auto" w:sz="4" w:space="0"/>
            </w:tcBorders>
            <w:shd w:val="clear" w:color="auto" w:fill="auto"/>
            <w:vAlign w:val="center"/>
          </w:tcPr>
          <w:p w14:paraId="0B1D63F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00CFD1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1.擅自停止使用节水设施＜30天，系数为0；2.30天≤擅自停止使用节水设施＜90天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系数为2；3.90天≤擅自停止使用节水设施＜150天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系数为4；4.150天≤擅自停止使用节水设施＜270天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系数为6；5.270天≤擅自停止使用节水设施</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951C51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罚款金额=100×（1+情节系数）</w:t>
            </w:r>
          </w:p>
        </w:tc>
        <w:tc>
          <w:tcPr>
            <w:tcW w:w="1972" w:type="dxa"/>
            <w:tcBorders>
              <w:top w:val="nil"/>
              <w:left w:val="nil"/>
              <w:bottom w:val="single" w:color="auto" w:sz="4" w:space="0"/>
              <w:right w:val="single" w:color="auto" w:sz="4" w:space="0"/>
            </w:tcBorders>
            <w:shd w:val="clear" w:color="auto" w:fill="auto"/>
            <w:vAlign w:val="center"/>
          </w:tcPr>
          <w:p w14:paraId="7EFA8BF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14:paraId="3CD6F47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08BFE9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79389E9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擅自停止使用取退水计量设施</w:t>
            </w:r>
          </w:p>
        </w:tc>
        <w:tc>
          <w:tcPr>
            <w:tcW w:w="2793" w:type="dxa"/>
            <w:gridSpan w:val="2"/>
            <w:tcBorders>
              <w:top w:val="nil"/>
              <w:left w:val="nil"/>
              <w:bottom w:val="single" w:color="auto" w:sz="4" w:space="0"/>
              <w:right w:val="single" w:color="auto" w:sz="4" w:space="0"/>
            </w:tcBorders>
            <w:shd w:val="clear" w:color="auto" w:fill="auto"/>
            <w:vAlign w:val="center"/>
          </w:tcPr>
          <w:p w14:paraId="7A6AC0F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违反条款：第四十九条第一款第（二）项；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处罚条款：第四十九条第一款第（二）项，责令其限期改正，并可处1000元以下罚款。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6CF05E3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 </w:t>
            </w:r>
          </w:p>
        </w:tc>
        <w:tc>
          <w:tcPr>
            <w:tcW w:w="840" w:type="dxa"/>
            <w:tcBorders>
              <w:top w:val="nil"/>
              <w:left w:val="nil"/>
              <w:bottom w:val="single" w:color="auto" w:sz="4" w:space="0"/>
              <w:right w:val="single" w:color="auto" w:sz="4" w:space="0"/>
            </w:tcBorders>
            <w:shd w:val="clear" w:color="auto" w:fill="auto"/>
            <w:vAlign w:val="center"/>
          </w:tcPr>
          <w:p w14:paraId="30F8387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1FB9D1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1.擅自停止使用取退水计量设施＜30天，系数为0；2.30天≤擅自停止使用取退水计量设施＜90天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系数为2；3.90天≤擅自停止使用取退水计量设施＜150天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系数为4；4.150天≤擅自停止使用取退水计量设施＜270天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系数为6；5.270天≤擅自停止使用取退水计量设施</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96D5E9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罚款金额=100×（1+情节系数）</w:t>
            </w:r>
          </w:p>
        </w:tc>
        <w:tc>
          <w:tcPr>
            <w:tcW w:w="1972" w:type="dxa"/>
            <w:tcBorders>
              <w:top w:val="nil"/>
              <w:left w:val="nil"/>
              <w:bottom w:val="single" w:color="auto" w:sz="4" w:space="0"/>
              <w:right w:val="single" w:color="auto" w:sz="4" w:space="0"/>
            </w:tcBorders>
            <w:shd w:val="clear" w:color="auto" w:fill="auto"/>
            <w:vAlign w:val="center"/>
          </w:tcPr>
          <w:p w14:paraId="120D4FE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14:paraId="5047216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10CC0E6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70EDD83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不按规定提供取水、退水计量资料</w:t>
            </w:r>
          </w:p>
        </w:tc>
        <w:tc>
          <w:tcPr>
            <w:tcW w:w="2793" w:type="dxa"/>
            <w:gridSpan w:val="2"/>
            <w:tcBorders>
              <w:top w:val="nil"/>
              <w:left w:val="nil"/>
              <w:bottom w:val="single" w:color="auto" w:sz="4" w:space="0"/>
              <w:right w:val="single" w:color="auto" w:sz="4" w:space="0"/>
            </w:tcBorders>
            <w:shd w:val="clear" w:color="auto" w:fill="auto"/>
            <w:vAlign w:val="center"/>
          </w:tcPr>
          <w:p w14:paraId="670F07C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违反条款：第四十九条第一款第（三）项；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处罚条款：第四十九条第一款第（三）项，责令其限期改正，并可处1000元以下罚款。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F11716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 </w:t>
            </w:r>
          </w:p>
        </w:tc>
        <w:tc>
          <w:tcPr>
            <w:tcW w:w="840" w:type="dxa"/>
            <w:tcBorders>
              <w:top w:val="nil"/>
              <w:left w:val="nil"/>
              <w:bottom w:val="single" w:color="auto" w:sz="4" w:space="0"/>
              <w:right w:val="single" w:color="auto" w:sz="4" w:space="0"/>
            </w:tcBorders>
            <w:shd w:val="clear" w:color="auto" w:fill="auto"/>
            <w:vAlign w:val="center"/>
          </w:tcPr>
          <w:p w14:paraId="111C62E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43B388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1.不按规定提供取水、退水计量资料＜30天，系数为0；2.30天≤不按规定提供取水、退水计量资料＜90天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系数为2；3.90天≤不按规定提供取水、退水计量资料＜150天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系数为4；4.150天≤不按规定提供取水、退水计量资料＜270天</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系数为6；5.270天≤不按规定提供取水、退水计量资料</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ABE6A8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罚款金额=100×（1+情节系数）</w:t>
            </w:r>
          </w:p>
        </w:tc>
        <w:tc>
          <w:tcPr>
            <w:tcW w:w="1972" w:type="dxa"/>
            <w:tcBorders>
              <w:top w:val="nil"/>
              <w:left w:val="nil"/>
              <w:bottom w:val="single" w:color="auto" w:sz="4" w:space="0"/>
              <w:right w:val="single" w:color="auto" w:sz="4" w:space="0"/>
            </w:tcBorders>
            <w:shd w:val="clear" w:color="auto" w:fill="auto"/>
            <w:vAlign w:val="center"/>
          </w:tcPr>
          <w:p w14:paraId="1DC53D1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14:paraId="1BC7874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227FE1F3">
            <w:pPr>
              <w:widowControl/>
              <w:jc w:val="center"/>
              <w:outlineLvl w:val="1"/>
              <w:rPr>
                <w:rFonts w:hint="eastAsia" w:asciiTheme="minorEastAsia" w:hAnsiTheme="minorEastAsia" w:eastAsiaTheme="minorEastAsia" w:cstheme="minorEastAsia"/>
                <w:color w:val="auto"/>
                <w:kern w:val="0"/>
                <w:szCs w:val="21"/>
                <w:highlight w:val="none"/>
              </w:rPr>
            </w:pPr>
            <w:bookmarkStart w:id="214" w:name="_Toc1254966562"/>
            <w:bookmarkStart w:id="215" w:name="_Toc218468832"/>
            <w:r>
              <w:rPr>
                <w:rFonts w:hint="eastAsia" w:asciiTheme="minorEastAsia" w:hAnsiTheme="minorEastAsia" w:eastAsiaTheme="minorEastAsia" w:cstheme="minorEastAsia"/>
                <w:b/>
                <w:bCs/>
                <w:color w:val="auto"/>
                <w:kern w:val="0"/>
                <w:szCs w:val="21"/>
                <w:highlight w:val="none"/>
              </w:rPr>
              <w:t>《北京市实施</w:t>
            </w:r>
            <w:r>
              <w:rPr>
                <w:rFonts w:hint="eastAsia" w:ascii="仿宋" w:hAnsi="仿宋" w:eastAsia="仿宋" w:cs="仿宋"/>
                <w:b/>
                <w:bCs/>
                <w:color w:val="auto"/>
                <w:kern w:val="0"/>
                <w:szCs w:val="21"/>
                <w:highlight w:val="none"/>
              </w:rPr>
              <w:t>&lt;</w:t>
            </w:r>
            <w:r>
              <w:rPr>
                <w:rFonts w:hint="eastAsia" w:asciiTheme="minorEastAsia" w:hAnsiTheme="minorEastAsia" w:eastAsiaTheme="minorEastAsia" w:cstheme="minorEastAsia"/>
                <w:b/>
                <w:bCs/>
                <w:color w:val="auto"/>
                <w:kern w:val="0"/>
                <w:szCs w:val="21"/>
                <w:highlight w:val="none"/>
              </w:rPr>
              <w:t>中华人民共和国水法</w:t>
            </w:r>
            <w:r>
              <w:rPr>
                <w:rFonts w:hint="eastAsia" w:ascii="仿宋" w:hAnsi="仿宋" w:eastAsia="仿宋" w:cs="仿宋"/>
                <w:b/>
                <w:bCs/>
                <w:color w:val="auto"/>
                <w:kern w:val="0"/>
                <w:szCs w:val="21"/>
                <w:highlight w:val="none"/>
              </w:rPr>
              <w:t>&gt;</w:t>
            </w:r>
            <w:r>
              <w:rPr>
                <w:rFonts w:hint="eastAsia" w:asciiTheme="minorEastAsia" w:hAnsiTheme="minorEastAsia" w:eastAsiaTheme="minorEastAsia" w:cstheme="minorEastAsia"/>
                <w:b/>
                <w:bCs/>
                <w:color w:val="auto"/>
                <w:kern w:val="0"/>
                <w:szCs w:val="21"/>
                <w:highlight w:val="none"/>
              </w:rPr>
              <w:t>办法》案由1项</w:t>
            </w:r>
            <w:bookmarkEnd w:id="214"/>
            <w:bookmarkEnd w:id="215"/>
          </w:p>
        </w:tc>
      </w:tr>
      <w:tr w14:paraId="573DDD3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7CE8887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479883C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未经批准开凿机井</w:t>
            </w:r>
          </w:p>
        </w:tc>
        <w:tc>
          <w:tcPr>
            <w:tcW w:w="2793" w:type="dxa"/>
            <w:gridSpan w:val="2"/>
            <w:tcBorders>
              <w:top w:val="nil"/>
              <w:left w:val="nil"/>
              <w:bottom w:val="single" w:color="auto" w:sz="4" w:space="0"/>
              <w:right w:val="single" w:color="auto" w:sz="4" w:space="0"/>
            </w:tcBorders>
            <w:shd w:val="clear" w:color="auto" w:fill="auto"/>
            <w:vAlign w:val="center"/>
          </w:tcPr>
          <w:p w14:paraId="0FFB377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处罚条款：第四十四条，责令停止违法行为，限期补办手续，并处二万元以上六万元以下的罚款。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4B28A41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22E686D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ED315E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限期内补办许可手续或自行封井的，系数为0；2.限期内未补办许可手续，在责令封井限期内封井的，系数为1；3.限期内未补办许可手续，在责令封井限期内未封井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AB97F0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6DE97B0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本案由适用于在非地下水严重超采区或集中供水管网覆盖范围地区未经批准开凿机井。</w:t>
            </w:r>
          </w:p>
        </w:tc>
      </w:tr>
      <w:tr w14:paraId="00135D1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597E2257">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741F3A92">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14:paraId="6FF2077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处罚条款：第四十五条，责令停止违法行为，限期封井，并处七万元以上十万元以下的罚款。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5DCC223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70000 </w:t>
            </w:r>
          </w:p>
        </w:tc>
        <w:tc>
          <w:tcPr>
            <w:tcW w:w="840" w:type="dxa"/>
            <w:tcBorders>
              <w:top w:val="nil"/>
              <w:left w:val="nil"/>
              <w:bottom w:val="single" w:color="auto" w:sz="4" w:space="0"/>
              <w:right w:val="single" w:color="auto" w:sz="4" w:space="0"/>
            </w:tcBorders>
            <w:shd w:val="clear" w:color="auto" w:fill="auto"/>
            <w:vAlign w:val="center"/>
          </w:tcPr>
          <w:p w14:paraId="1699FAC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BCE6E8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限期内封井的，系数为0；2.逾期封井＜5天，系数为0.1；3.5天≤逾期封井＜10天，系数为0.3；4.10天≤逾期封井，系数为0.5；5.封井期间仍继续取水，系数为0.5。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EF3379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罚款金额=70000×（1+情节系数）</w:t>
            </w:r>
          </w:p>
        </w:tc>
        <w:tc>
          <w:tcPr>
            <w:tcW w:w="1972" w:type="dxa"/>
            <w:tcBorders>
              <w:top w:val="nil"/>
              <w:left w:val="nil"/>
              <w:bottom w:val="single" w:color="auto" w:sz="4" w:space="0"/>
              <w:right w:val="single" w:color="auto" w:sz="4" w:space="0"/>
            </w:tcBorders>
            <w:shd w:val="clear" w:color="auto" w:fill="auto"/>
            <w:vAlign w:val="center"/>
          </w:tcPr>
          <w:p w14:paraId="16F0DED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本案由适用于在地下水严重超采区或集中供水管网覆盖范围地区非法开凿机井。</w:t>
            </w:r>
          </w:p>
        </w:tc>
      </w:tr>
      <w:tr w14:paraId="7BBB451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67" w:hRule="atLeast"/>
        </w:trPr>
        <w:tc>
          <w:tcPr>
            <w:tcW w:w="14203" w:type="dxa"/>
            <w:gridSpan w:val="13"/>
            <w:tcBorders>
              <w:top w:val="nil"/>
              <w:left w:val="single" w:color="auto" w:sz="4" w:space="0"/>
              <w:bottom w:val="single" w:color="auto" w:sz="4" w:space="0"/>
              <w:right w:val="single" w:color="auto" w:sz="4" w:space="0"/>
            </w:tcBorders>
            <w:vAlign w:val="center"/>
          </w:tcPr>
          <w:p w14:paraId="64A93B2D">
            <w:pPr>
              <w:widowControl/>
              <w:jc w:val="center"/>
              <w:outlineLvl w:val="0"/>
              <w:rPr>
                <w:rFonts w:ascii="Times New Roman" w:hAnsi="Times New Roman" w:eastAsia="宋体" w:cs="Times New Roman"/>
                <w:color w:val="auto"/>
                <w:kern w:val="0"/>
                <w:sz w:val="28"/>
                <w:szCs w:val="28"/>
                <w:highlight w:val="none"/>
              </w:rPr>
            </w:pPr>
            <w:bookmarkStart w:id="216" w:name="_Toc1458697542"/>
            <w:bookmarkStart w:id="217" w:name="_Toc218468833"/>
            <w:r>
              <w:rPr>
                <w:rFonts w:hint="eastAsia" w:ascii="黑体" w:hAnsi="黑体" w:eastAsia="黑体" w:cs="黑体"/>
                <w:color w:val="auto"/>
                <w:kern w:val="0"/>
                <w:sz w:val="28"/>
                <w:szCs w:val="28"/>
                <w:highlight w:val="none"/>
              </w:rPr>
              <w:t>排水管理方面</w:t>
            </w:r>
            <w:bookmarkEnd w:id="216"/>
            <w:bookmarkEnd w:id="217"/>
          </w:p>
        </w:tc>
      </w:tr>
      <w:tr w14:paraId="6FC1F51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14:paraId="4DBD2167">
            <w:pPr>
              <w:widowControl/>
              <w:jc w:val="center"/>
              <w:outlineLvl w:val="1"/>
              <w:rPr>
                <w:rFonts w:hint="eastAsia" w:asciiTheme="minorEastAsia" w:hAnsiTheme="minorEastAsia" w:eastAsiaTheme="minorEastAsia" w:cstheme="minorEastAsia"/>
                <w:color w:val="auto"/>
                <w:kern w:val="0"/>
                <w:szCs w:val="21"/>
                <w:highlight w:val="none"/>
              </w:rPr>
            </w:pPr>
            <w:bookmarkStart w:id="218" w:name="_Toc362276148"/>
            <w:bookmarkStart w:id="219" w:name="_Toc218468834"/>
            <w:r>
              <w:rPr>
                <w:rFonts w:hint="eastAsia" w:asciiTheme="minorEastAsia" w:hAnsiTheme="minorEastAsia" w:eastAsiaTheme="minorEastAsia" w:cstheme="minorEastAsia"/>
                <w:b/>
                <w:bCs/>
                <w:color w:val="auto"/>
                <w:kern w:val="0"/>
                <w:szCs w:val="21"/>
                <w:highlight w:val="none"/>
              </w:rPr>
              <w:t>《中华人民共和国固体废物污染环境防治法》《城镇排水与污水处理条例》《中华人民共和国水污染防治法》案由2项</w:t>
            </w:r>
            <w:bookmarkEnd w:id="218"/>
            <w:bookmarkEnd w:id="219"/>
          </w:p>
        </w:tc>
      </w:tr>
      <w:tr w14:paraId="118FAFB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614"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21623DB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4869406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产生的污泥以及处理处置后的污泥的去向、用途、用量等未进行跟踪、记录的，或者处理处置后的污泥不符合国家有关标准</w:t>
            </w:r>
          </w:p>
        </w:tc>
        <w:tc>
          <w:tcPr>
            <w:tcW w:w="2793" w:type="dxa"/>
            <w:gridSpan w:val="2"/>
            <w:tcBorders>
              <w:top w:val="nil"/>
              <w:left w:val="nil"/>
              <w:bottom w:val="single" w:color="auto" w:sz="4" w:space="0"/>
              <w:right w:val="single" w:color="auto" w:sz="4" w:space="0"/>
            </w:tcBorders>
            <w:shd w:val="clear" w:color="auto" w:fill="auto"/>
            <w:vAlign w:val="center"/>
          </w:tcPr>
          <w:p w14:paraId="0BB3C91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违反条款：《固体废物污染环境防治法》第七十一条第一款；《条例》第三十条；《水污染防治法》第五十一条；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固体废物污染环境防治法》第一百零八条第一款，责令改正，给予警告；造成严重后果的，处十万元以上二十万元以下的罚款；《条例》第五十三条第一款，责令限期采取治理措施，给予警告；造成严重后果的，处10万元以上20万元以下罚款；《水污染防治法》第八十八条，责令限期采取治理措施，给予警告；造成严重后果的，处十万元以上二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68F92DB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14:paraId="5539B2B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9BF427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未造成严重后果，给予警告；（二）造成严重后果的，处以下罚款：1.污泥量＜100吨，系数为02.100吨≤污泥量＜200吨，系数为0.2；3.200吨≤污泥量＜300吨，系数为0.4；4.300吨≤污泥量＜400吨，系数为0.6；5.400吨≤污泥量＜500吨，系数为0.8；6.500吨≤污泥量，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6FC1BF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14:paraId="73BB7A6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存在以下情形之一的，可视为严重后果：1.违法行为在农用地或河湖保护和管理范围内或在地下水污染防治重点区；2.有生态赔偿的；3.经执法部门处罚后，一年度内再次发生同类型违法行为。</w:t>
            </w:r>
          </w:p>
        </w:tc>
      </w:tr>
      <w:tr w14:paraId="1A6A7F8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4905749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2AF8F70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擅自倾倒、堆放、丢弃、遗撒污泥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2D16111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违反条款：《固体废物污染环境防治法》第七十二条第一款；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固体废物污染环境防治法》第一百零八条，责令改正，处二十万元以上二百万元以下的罚款，对直接负责的主管人员和其他直接责任人员处二万元以上十万元以下的罚款；造成严重后果的，处二百万元以上五百万元以下的罚款，对直接负责的主管人员和其他直接责任人员处五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58F1E83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14:paraId="59D3F0B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045B41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未造成严重后果，处以下罚款：1.擅自倾倒、堆放、丢弃、遗撒污泥量＜20吨，系数为0；20吨≤擅自倾倒、堆放、丢弃、遗撒污泥量＜30吨，系数为 0.5；每增加10吨（不足10吨的，按10吨计），系数加0.5；190吨≤擅自倾倒、堆放、丢弃、遗撒污泥量，系数为9。2.存在基准2.1.3规定情形的，系数按照相关规定确定（基准2.1.3.5不适用）。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5F1BFB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5FDE9BB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存在以下情形之一的，可视为严重后果：1.违法行为在农用地或河湖保护和管理范围内或在地下水污染防治重点区；2.经执法部门处罚后，一年度内再次发生同类型违法行为。</w:t>
            </w:r>
          </w:p>
        </w:tc>
      </w:tr>
      <w:tr w14:paraId="05FBE15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2EDB0FF6">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658A8FED">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24A1472B">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6493EBF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3EAD920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207164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未造成严重后果，处以下罚款：1.擅自倾倒、堆放、丢弃、遗撒污泥量＜20吨，系数为0；20吨≤擅自倾倒、堆放、丢弃、遗撒污泥量＜30吨，系数为 0.2；每增加10吨（不足10吨的，按10吨计），系数加0.2；210吨≤擅自倾倒、堆放、丢弃、遗撒污泥量，系数为4。2.存在基准2.1.3规定情形的，系数按照相关规定确定（基准2.1.3.5不适用）。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AF1326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continue"/>
            <w:tcBorders>
              <w:top w:val="nil"/>
              <w:left w:val="single" w:color="auto" w:sz="4" w:space="0"/>
              <w:bottom w:val="single" w:color="auto" w:sz="4" w:space="0"/>
              <w:right w:val="single" w:color="auto" w:sz="4" w:space="0"/>
            </w:tcBorders>
            <w:vAlign w:val="center"/>
          </w:tcPr>
          <w:p w14:paraId="6C56F082">
            <w:pPr>
              <w:widowControl/>
              <w:jc w:val="left"/>
              <w:rPr>
                <w:rFonts w:hint="eastAsia" w:asciiTheme="minorEastAsia" w:hAnsiTheme="minorEastAsia" w:eastAsiaTheme="minorEastAsia" w:cstheme="minorEastAsia"/>
                <w:color w:val="auto"/>
                <w:kern w:val="0"/>
                <w:sz w:val="15"/>
                <w:szCs w:val="15"/>
                <w:highlight w:val="none"/>
              </w:rPr>
            </w:pPr>
          </w:p>
        </w:tc>
      </w:tr>
      <w:tr w14:paraId="2B6BDD0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4245C9B3">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71D1C2FF">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457A7415">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4617ED7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14:paraId="71D233A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3E8A56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擅自倾倒、堆放、丢弃、遗撒污泥量＜20吨，系数为0；20吨≤擅自倾倒、堆放、丢弃、遗撒污泥量＜25吨，系数为0.05；每增加5吨（不足5吨的，按5吨计），系数加0.05；165吨≤擅自倾倒、堆放、丢弃、遗撒污泥量，系数为1.5。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7662E7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罚款金额=2000000×（1+情节系数）</w:t>
            </w:r>
          </w:p>
        </w:tc>
        <w:tc>
          <w:tcPr>
            <w:tcW w:w="1972" w:type="dxa"/>
            <w:vMerge w:val="continue"/>
            <w:tcBorders>
              <w:top w:val="nil"/>
              <w:left w:val="single" w:color="auto" w:sz="4" w:space="0"/>
              <w:bottom w:val="single" w:color="auto" w:sz="4" w:space="0"/>
              <w:right w:val="single" w:color="auto" w:sz="4" w:space="0"/>
            </w:tcBorders>
            <w:vAlign w:val="center"/>
          </w:tcPr>
          <w:p w14:paraId="38EFA9DA">
            <w:pPr>
              <w:widowControl/>
              <w:jc w:val="left"/>
              <w:rPr>
                <w:rFonts w:hint="eastAsia" w:asciiTheme="minorEastAsia" w:hAnsiTheme="minorEastAsia" w:eastAsiaTheme="minorEastAsia" w:cstheme="minorEastAsia"/>
                <w:color w:val="auto"/>
                <w:kern w:val="0"/>
                <w:sz w:val="15"/>
                <w:szCs w:val="15"/>
                <w:highlight w:val="none"/>
              </w:rPr>
            </w:pPr>
          </w:p>
        </w:tc>
      </w:tr>
      <w:tr w14:paraId="684862B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52251F2F">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5533B4CF">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0A4C5847">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20FA655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2A4CA2A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9FF821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擅自倾倒、堆放、丢弃、遗撒污泥量＜20吨，系数为0；20吨≤擅自倾倒、堆放、丢弃、遗撒污泥量＜30吨，系数为0.5；每增加10吨（不足10吨的，按10吨计），系数加0.5；190吨≤擅自倾倒、堆放、丢弃、遗撒污泥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1C0895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continue"/>
            <w:tcBorders>
              <w:top w:val="nil"/>
              <w:left w:val="single" w:color="auto" w:sz="4" w:space="0"/>
              <w:bottom w:val="single" w:color="auto" w:sz="4" w:space="0"/>
              <w:right w:val="single" w:color="auto" w:sz="4" w:space="0"/>
            </w:tcBorders>
            <w:vAlign w:val="center"/>
          </w:tcPr>
          <w:p w14:paraId="3BA6AF88">
            <w:pPr>
              <w:widowControl/>
              <w:jc w:val="left"/>
              <w:rPr>
                <w:rFonts w:hint="eastAsia" w:asciiTheme="minorEastAsia" w:hAnsiTheme="minorEastAsia" w:eastAsiaTheme="minorEastAsia" w:cstheme="minorEastAsia"/>
                <w:color w:val="auto"/>
                <w:kern w:val="0"/>
                <w:sz w:val="15"/>
                <w:szCs w:val="15"/>
                <w:highlight w:val="none"/>
              </w:rPr>
            </w:pPr>
          </w:p>
        </w:tc>
      </w:tr>
      <w:tr w14:paraId="06D64FB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14:paraId="5F2BF734">
            <w:pPr>
              <w:widowControl/>
              <w:jc w:val="center"/>
              <w:outlineLvl w:val="1"/>
              <w:rPr>
                <w:rFonts w:hint="eastAsia" w:asciiTheme="minorEastAsia" w:hAnsiTheme="minorEastAsia" w:eastAsiaTheme="minorEastAsia" w:cstheme="minorEastAsia"/>
                <w:color w:val="auto"/>
                <w:kern w:val="0"/>
                <w:szCs w:val="21"/>
                <w:highlight w:val="none"/>
              </w:rPr>
            </w:pPr>
            <w:bookmarkStart w:id="220" w:name="_Toc218468835"/>
            <w:bookmarkStart w:id="221" w:name="_Toc1412259458"/>
            <w:r>
              <w:rPr>
                <w:rFonts w:hint="eastAsia" w:asciiTheme="minorEastAsia" w:hAnsiTheme="minorEastAsia" w:eastAsiaTheme="minorEastAsia" w:cstheme="minorEastAsia"/>
                <w:b/>
                <w:bCs/>
                <w:color w:val="auto"/>
                <w:kern w:val="0"/>
                <w:szCs w:val="21"/>
                <w:highlight w:val="none"/>
              </w:rPr>
              <w:t>《城镇排水与污水处理条例》《北京市排水和再生水管理办法》案由12项</w:t>
            </w:r>
            <w:bookmarkEnd w:id="220"/>
            <w:bookmarkEnd w:id="221"/>
          </w:p>
        </w:tc>
      </w:tr>
      <w:tr w14:paraId="40B0A43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408"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6634D4D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1AD26F1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城镇排水与污水处理设施、再生水设施维护运营单位未按照有关规定履行日常巡查、维修和养护责任，保障设施安全运行</w:t>
            </w:r>
          </w:p>
        </w:tc>
        <w:tc>
          <w:tcPr>
            <w:tcW w:w="2793" w:type="dxa"/>
            <w:gridSpan w:val="2"/>
            <w:tcBorders>
              <w:top w:val="nil"/>
              <w:left w:val="nil"/>
              <w:bottom w:val="single" w:color="auto" w:sz="4" w:space="0"/>
              <w:right w:val="single" w:color="auto" w:sz="4" w:space="0"/>
            </w:tcBorders>
            <w:shd w:val="clear" w:color="auto" w:fill="auto"/>
            <w:vAlign w:val="center"/>
          </w:tcPr>
          <w:p w14:paraId="4CFD052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违反条款：《条例》第三十八条；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处罚条款：《条例》第五十五条，责令改正，给予警告；逾期不改正或者造成严重后果的，处10万元以上50万元以下罚款。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D04B95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14:paraId="29CFADE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EB41B7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违法行为持续时间＜15天，系数为0；2.15天≤违法行为持续时间＜20天，系数为0.5；3.20天≤违法行为持续时间＜25天，系数为1；4.25天≤违法行为持续时间＜30天，系数为1.5；5.30天≤违法行为持续时间＜35天，系数为2；6.35天≤违法行为持续时间＜40天，系数为2.5；7.40天≤违法行为持续时间＜45天，系数为3；8.45天≤违法行为持续时间＜60天，系数为3.5；9.60天≤违法行为持续时间，系数为4。</w:t>
            </w:r>
            <w:r>
              <w:rPr>
                <w:rFonts w:hint="eastAsia" w:asciiTheme="minorEastAsia" w:hAnsiTheme="minorEastAsia" w:eastAsiaTheme="minorEastAsia" w:cstheme="minorEastAsia"/>
                <w:color w:val="auto"/>
                <w:kern w:val="0"/>
                <w:sz w:val="15"/>
                <w:szCs w:val="15"/>
                <w:highlight w:val="none"/>
                <w:lang w:val="en-US" w:eastAsia="zh-CN"/>
              </w:rPr>
              <w:t>10.</w:t>
            </w: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F7034C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14:paraId="31FC4A9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r>
      <w:tr w14:paraId="2327DAA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1E72701D">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204F6A83">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14:paraId="229E53A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违反条款：《办法》第十三条第一款第（二）项；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处罚条款：《办法》第三十七条第一款第（一）项，给予警告，责令限期改正，并可处1万元以上3万元以下罚款。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0286FB9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545439E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7561D8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违法行为持续时间＜15天，系数为0；2.15天≤违法行为持续时间＜60天，系数为1；3.60天≤违法行为持续时间，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B601D2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1AE20EF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本案由主要适用于对再生水设施未履行巡查、养护和维护职责行为的处罚。</w:t>
            </w:r>
          </w:p>
        </w:tc>
      </w:tr>
      <w:tr w14:paraId="5E05E59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vMerge w:val="restart"/>
            <w:tcBorders>
              <w:top w:val="nil"/>
              <w:left w:val="single" w:color="auto" w:sz="4" w:space="0"/>
              <w:right w:val="single" w:color="auto" w:sz="4" w:space="0"/>
            </w:tcBorders>
            <w:shd w:val="clear" w:color="auto" w:fill="auto"/>
            <w:noWrap/>
            <w:vAlign w:val="center"/>
          </w:tcPr>
          <w:p w14:paraId="538325C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nil"/>
              <w:right w:val="single" w:color="auto" w:sz="4" w:space="0"/>
            </w:tcBorders>
            <w:shd w:val="clear" w:color="auto" w:fill="auto"/>
            <w:vAlign w:val="center"/>
          </w:tcPr>
          <w:p w14:paraId="2E8B234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因工程建设需要擅自拆除、改动城镇排水与污水处理设施</w:t>
            </w:r>
          </w:p>
        </w:tc>
        <w:tc>
          <w:tcPr>
            <w:tcW w:w="2793" w:type="dxa"/>
            <w:gridSpan w:val="2"/>
            <w:vMerge w:val="restart"/>
            <w:tcBorders>
              <w:top w:val="nil"/>
              <w:left w:val="nil"/>
              <w:right w:val="single" w:color="auto" w:sz="4" w:space="0"/>
            </w:tcBorders>
            <w:shd w:val="clear" w:color="auto" w:fill="auto"/>
            <w:vAlign w:val="center"/>
          </w:tcPr>
          <w:p w14:paraId="0F5B96F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违反条款：《条例》第四十三条第四款；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处罚条款：《条例》第五十七条第二款，责令改正，恢复原状或者采取其他补救措施，处5万元以上10万元以下罚款；造成严重后果的，处10万元以上30万元以下罚款。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5546B21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14:paraId="305CBAD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9669A4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的，处以下罚款：1.直接经济损失＜5万元，系数为0；2.5万元≤直接经济损失＜20万元，系数为0.5；3.20万元≤直接经济损失，系数为1。4.存在基准2.1.3规定情形的，系数按照相关规定确定（基准2.1.3.5不适用）。罚款金额不得超过10万元。</w:t>
            </w:r>
          </w:p>
        </w:tc>
        <w:tc>
          <w:tcPr>
            <w:tcW w:w="1881" w:type="dxa"/>
            <w:gridSpan w:val="2"/>
            <w:tcBorders>
              <w:top w:val="nil"/>
              <w:left w:val="nil"/>
              <w:bottom w:val="single" w:color="auto" w:sz="4" w:space="0"/>
              <w:right w:val="single" w:color="auto" w:sz="4" w:space="0"/>
            </w:tcBorders>
            <w:shd w:val="clear" w:color="auto" w:fill="auto"/>
            <w:vAlign w:val="center"/>
          </w:tcPr>
          <w:p w14:paraId="0631D50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restart"/>
            <w:tcBorders>
              <w:top w:val="nil"/>
              <w:left w:val="nil"/>
              <w:right w:val="single" w:color="auto" w:sz="4" w:space="0"/>
            </w:tcBorders>
            <w:shd w:val="clear" w:color="auto" w:fill="auto"/>
            <w:vAlign w:val="center"/>
          </w:tcPr>
          <w:p w14:paraId="6260449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r>
      <w:tr w14:paraId="1CAD523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left w:val="single" w:color="auto" w:sz="4" w:space="0"/>
              <w:bottom w:val="single" w:color="auto" w:sz="4" w:space="0"/>
              <w:right w:val="single" w:color="auto" w:sz="4" w:space="0"/>
            </w:tcBorders>
            <w:shd w:val="clear" w:color="auto" w:fill="auto"/>
            <w:noWrap/>
            <w:vAlign w:val="center"/>
          </w:tcPr>
          <w:p w14:paraId="4C9550E4">
            <w:pPr>
              <w:widowControl/>
              <w:jc w:val="center"/>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left w:val="nil"/>
              <w:bottom w:val="single" w:color="auto" w:sz="4" w:space="0"/>
              <w:right w:val="single" w:color="auto" w:sz="4" w:space="0"/>
            </w:tcBorders>
            <w:shd w:val="clear" w:color="auto" w:fill="auto"/>
            <w:vAlign w:val="center"/>
          </w:tcPr>
          <w:p w14:paraId="0C48F575">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left w:val="nil"/>
              <w:bottom w:val="single" w:color="auto" w:sz="4" w:space="0"/>
              <w:right w:val="single" w:color="auto" w:sz="4" w:space="0"/>
            </w:tcBorders>
            <w:shd w:val="clear" w:color="auto" w:fill="auto"/>
            <w:vAlign w:val="center"/>
          </w:tcPr>
          <w:p w14:paraId="68DDF3CC">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3CCE5506">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100000</w:t>
            </w:r>
          </w:p>
        </w:tc>
        <w:tc>
          <w:tcPr>
            <w:tcW w:w="840" w:type="dxa"/>
            <w:tcBorders>
              <w:top w:val="nil"/>
              <w:left w:val="nil"/>
              <w:bottom w:val="single" w:color="auto" w:sz="4" w:space="0"/>
              <w:right w:val="single" w:color="auto" w:sz="4" w:space="0"/>
            </w:tcBorders>
            <w:shd w:val="clear" w:color="auto" w:fill="auto"/>
            <w:vAlign w:val="center"/>
          </w:tcPr>
          <w:p w14:paraId="7C9D87F2">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shd w:val="clear" w:color="auto" w:fill="auto"/>
            <w:vAlign w:val="center"/>
          </w:tcPr>
          <w:p w14:paraId="624AB6F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造成严重后果的，处以下罚款：1.违法行为改正时间=1天，系数为</w:t>
            </w:r>
            <w:r>
              <w:rPr>
                <w:rFonts w:hint="eastAsia" w:asciiTheme="minorEastAsia" w:hAnsiTheme="minorEastAsia" w:eastAsiaTheme="minorEastAsia" w:cstheme="minorEastAsia"/>
                <w:color w:val="auto"/>
                <w:kern w:val="0"/>
                <w:sz w:val="15"/>
                <w:szCs w:val="15"/>
                <w:highlight w:val="none"/>
                <w:lang w:val="en-US" w:eastAsia="zh-CN"/>
              </w:rPr>
              <w:t>0</w:t>
            </w:r>
            <w:r>
              <w:rPr>
                <w:rFonts w:hint="eastAsia" w:asciiTheme="minorEastAsia" w:hAnsiTheme="minorEastAsia" w:eastAsiaTheme="minorEastAsia" w:cstheme="minorEastAsia"/>
                <w:color w:val="auto"/>
                <w:kern w:val="0"/>
                <w:sz w:val="15"/>
                <w:szCs w:val="15"/>
                <w:highlight w:val="none"/>
              </w:rPr>
              <w:t>；违法行为改正时间每增加1天，系数加0.</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11</w:t>
            </w:r>
            <w:r>
              <w:rPr>
                <w:rFonts w:hint="eastAsia" w:asciiTheme="minorEastAsia" w:hAnsiTheme="minorEastAsia" w:eastAsiaTheme="minorEastAsia" w:cstheme="minorEastAsia"/>
                <w:color w:val="auto"/>
                <w:kern w:val="0"/>
                <w:sz w:val="15"/>
                <w:szCs w:val="15"/>
                <w:highlight w:val="none"/>
              </w:rPr>
              <w:t>天≤违法行为改正时间，系数为</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CBDD48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10</w:t>
            </w:r>
            <w:r>
              <w:rPr>
                <w:rFonts w:hint="eastAsia" w:asciiTheme="minorEastAsia" w:hAnsiTheme="minorEastAsia" w:eastAsiaTheme="minorEastAsia" w:cstheme="minorEastAsia"/>
                <w:color w:val="auto"/>
                <w:kern w:val="0"/>
                <w:sz w:val="15"/>
                <w:szCs w:val="15"/>
                <w:highlight w:val="none"/>
              </w:rPr>
              <w:t>0000×（1+情节系数）</w:t>
            </w:r>
          </w:p>
        </w:tc>
        <w:tc>
          <w:tcPr>
            <w:tcW w:w="1972" w:type="dxa"/>
            <w:vMerge w:val="continue"/>
            <w:tcBorders>
              <w:left w:val="nil"/>
              <w:bottom w:val="single" w:color="auto" w:sz="4" w:space="0"/>
              <w:right w:val="single" w:color="auto" w:sz="4" w:space="0"/>
            </w:tcBorders>
            <w:shd w:val="clear" w:color="auto" w:fill="auto"/>
            <w:vAlign w:val="center"/>
          </w:tcPr>
          <w:p w14:paraId="754343E1">
            <w:pPr>
              <w:widowControl/>
              <w:jc w:val="left"/>
              <w:rPr>
                <w:rFonts w:hint="eastAsia" w:asciiTheme="minorEastAsia" w:hAnsiTheme="minorEastAsia" w:eastAsiaTheme="minorEastAsia" w:cstheme="minorEastAsia"/>
                <w:color w:val="auto"/>
                <w:kern w:val="0"/>
                <w:sz w:val="15"/>
                <w:szCs w:val="15"/>
                <w:highlight w:val="none"/>
              </w:rPr>
            </w:pPr>
          </w:p>
        </w:tc>
      </w:tr>
      <w:tr w14:paraId="3383424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A3641E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7616F35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在雨水、污水分流地区，建设单位、施工单位将雨水管网、污水管网相互混接</w:t>
            </w:r>
          </w:p>
        </w:tc>
        <w:tc>
          <w:tcPr>
            <w:tcW w:w="2793" w:type="dxa"/>
            <w:gridSpan w:val="2"/>
            <w:tcBorders>
              <w:top w:val="nil"/>
              <w:left w:val="nil"/>
              <w:bottom w:val="single" w:color="auto" w:sz="4" w:space="0"/>
              <w:right w:val="single" w:color="auto" w:sz="4" w:space="0"/>
            </w:tcBorders>
            <w:shd w:val="clear" w:color="auto" w:fill="auto"/>
            <w:vAlign w:val="center"/>
          </w:tcPr>
          <w:p w14:paraId="2257B32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违反条款：《条例》第十九条第二款；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处罚条款：《条例》第四十八条，责令改正，处5万元以上10万元以下的罚款。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5820E9E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14:paraId="62F12DD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779BD8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1.混接管径＜DN400或未实际排水，系数为0；2.DN400≤混接管径＜DN800，系数为0.5；3.DN800≤混接管径，系数为1。4.存在基准2.1.3规定情形的，系数按照相关规定确定（基准2.1.3.5不适用）。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224EBC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426C105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C1DC6F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281E5F4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4720005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在雨水、污水分流地区将污水排入雨水管网</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38EF08D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处罚条款：《条例》第四十九条，责令改正，给予警告；逾期不改正或者造成严重后果的，对单位处10万元以上20万元以下罚款，对个人处2万元以上10万元以下罚款。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6349703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（单位）</w:t>
            </w:r>
          </w:p>
        </w:tc>
        <w:tc>
          <w:tcPr>
            <w:tcW w:w="840" w:type="dxa"/>
            <w:tcBorders>
              <w:top w:val="nil"/>
              <w:left w:val="nil"/>
              <w:bottom w:val="single" w:color="auto" w:sz="4" w:space="0"/>
              <w:right w:val="single" w:color="auto" w:sz="4" w:space="0"/>
            </w:tcBorders>
            <w:shd w:val="clear" w:color="auto" w:fill="auto"/>
            <w:vAlign w:val="center"/>
          </w:tcPr>
          <w:p w14:paraId="50FAAB2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BEBB06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日用水量＜10立方米，系数为0；2.10立方米≤日用水量＜20立方米，系数为0.2；3.20立方米≤日用水量＜30立方米，系数为0.4；4.30立方米≤日用水量＜40立方米，系数为0.6；5.40立方米≤日用水量＜50立方米，系数为0.8；6.50立方米≤日用水量，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DA4BBF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58CED9D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存在以下情形之一的，可视为严重后果：1.出现生态赔偿的；2.造成污染物外溢且影响户数＞1000户；3.经执法部门处罚后，一年度内再次发生同类型违法行为。</w:t>
            </w:r>
          </w:p>
        </w:tc>
      </w:tr>
      <w:tr w14:paraId="0F12285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05D9B7B9">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1CC7A01D">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14815124">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440B179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3986C79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6B0F75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日用水量＜10立方米，系数为0；2.10立方米≤日用水量＜20立方米，系数为1；3.20立方米≤日用水量＜30立方米，系数为2；4.30立方米≤日用水量＜40立方米，系数为3；5.40立方米≤日用水量，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182994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continue"/>
            <w:tcBorders>
              <w:top w:val="nil"/>
              <w:left w:val="single" w:color="auto" w:sz="4" w:space="0"/>
              <w:bottom w:val="single" w:color="auto" w:sz="4" w:space="0"/>
              <w:right w:val="single" w:color="auto" w:sz="4" w:space="0"/>
            </w:tcBorders>
            <w:vAlign w:val="center"/>
          </w:tcPr>
          <w:p w14:paraId="32119ECD">
            <w:pPr>
              <w:widowControl/>
              <w:jc w:val="left"/>
              <w:rPr>
                <w:rFonts w:hint="eastAsia" w:asciiTheme="minorEastAsia" w:hAnsiTheme="minorEastAsia" w:eastAsiaTheme="minorEastAsia" w:cstheme="minorEastAsia"/>
                <w:color w:val="auto"/>
                <w:kern w:val="0"/>
                <w:sz w:val="15"/>
                <w:szCs w:val="15"/>
                <w:highlight w:val="none"/>
              </w:rPr>
            </w:pPr>
          </w:p>
        </w:tc>
      </w:tr>
      <w:tr w14:paraId="7049502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2832597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14:paraId="624764C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因城镇排水设施维护或者检修可能对排水造成影响或者严重影响，城镇排水设施维护运营单位未提前通知相关排水户或者未事先向城镇排水主管部门报告，采取应急处理措施</w:t>
            </w:r>
          </w:p>
        </w:tc>
        <w:tc>
          <w:tcPr>
            <w:tcW w:w="2793" w:type="dxa"/>
            <w:gridSpan w:val="2"/>
            <w:tcBorders>
              <w:top w:val="nil"/>
              <w:left w:val="nil"/>
              <w:bottom w:val="single" w:color="auto" w:sz="4" w:space="0"/>
              <w:right w:val="single" w:color="auto" w:sz="4" w:space="0"/>
            </w:tcBorders>
            <w:shd w:val="clear" w:color="auto" w:fill="auto"/>
            <w:vAlign w:val="center"/>
          </w:tcPr>
          <w:p w14:paraId="7C7AF14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违反条款：《条例》第二十五条；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处罚条款：《条例》第五十一条，责令改正，给予警告；逾期不改正或者造成严重后果的，处10万元以上20万元以下罚款。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2A5B112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14:paraId="6D09D9F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AE16E8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处以下罚款：1.影响排水时间＜2天，系数为0；2.2天≤影响排水时间＜4 天，系数为0.2；3.4天≤影响排水时间＜6 天，系数为0.4；4.6天≤影响排水时间＜8 天，系数为0.6；5.8天≤影响排水时间＜10 天，系数为0.8；6.10天≤影响排水时间，系数为1。7.存在基准2.1.3规定情形的，系数按照相关规定确定（基准2.1.3.5不适用）。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DC132C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14:paraId="07406E2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r>
      <w:tr w14:paraId="6B99284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0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06850D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14:paraId="407F45D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城镇排水设施维护运营单位未按照防汛要求对城镇排水设施进行全面检查、维护、清疏，影响汛期排水畅通</w:t>
            </w:r>
          </w:p>
        </w:tc>
        <w:tc>
          <w:tcPr>
            <w:tcW w:w="2793" w:type="dxa"/>
            <w:gridSpan w:val="2"/>
            <w:tcBorders>
              <w:top w:val="nil"/>
              <w:left w:val="nil"/>
              <w:bottom w:val="single" w:color="auto" w:sz="4" w:space="0"/>
              <w:right w:val="single" w:color="auto" w:sz="4" w:space="0"/>
            </w:tcBorders>
            <w:shd w:val="clear" w:color="auto" w:fill="auto"/>
            <w:vAlign w:val="center"/>
          </w:tcPr>
          <w:p w14:paraId="327987C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处罚条款：《条例》第五十一条，责令改正，给予警告；逾期不改正或者造成严重后果的，处10万元以上20万元以下罚款。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1573102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14:paraId="25C7155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8F6594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，处以下罚款：1.影响汛期排水通畅时间＜6小时，系数为0</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2.6小时≤影响汛期排水通畅时间＜12小时，系数为0.2；3.12小时≤影响汛期排水通畅时间＜18小时，系数为0.4；4.18小时≤影响汛期排水通畅时间＜24小时，系数为0.6；5.24小时≤影响汛期排水通畅时间＜30小时，系数为0.8；6.30小时≤影响汛期排水通畅时间＜36小时，系数为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801828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14:paraId="1C84BC4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发生一般及以上安全事故的，视为严重后果。</w:t>
            </w:r>
          </w:p>
        </w:tc>
      </w:tr>
      <w:tr w14:paraId="32D752B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1568119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14:paraId="082C40B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城镇排水设施维护运营单位未按照有关规定检测、报送有关信息</w:t>
            </w:r>
          </w:p>
        </w:tc>
        <w:tc>
          <w:tcPr>
            <w:tcW w:w="2793" w:type="dxa"/>
            <w:gridSpan w:val="2"/>
            <w:tcBorders>
              <w:top w:val="nil"/>
              <w:left w:val="nil"/>
              <w:bottom w:val="single" w:color="auto" w:sz="4" w:space="0"/>
              <w:right w:val="single" w:color="auto" w:sz="4" w:space="0"/>
            </w:tcBorders>
            <w:shd w:val="clear" w:color="auto" w:fill="auto"/>
            <w:vAlign w:val="center"/>
          </w:tcPr>
          <w:p w14:paraId="66335E0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违反条款：《条例》第二十九条第二款；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处罚条款：《条例》第五十二条第一款，责令改正，可以处5万元以下罚款。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1FDCFB9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352D7D6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DAC7D3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报送污水处理水质、水量、主要污染物削减量、生产运营成本等信息，出现1类，系数为0；每多出现1类，系数加1；2.未按照国家有关规定检测进出水水质，系数为5。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7BAAFE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5A6CC0C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1921621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9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2345CF2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14:paraId="513BAEE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擅自停运城镇污水处理设施，未按照规定事先报告或者采取应急处理措施</w:t>
            </w:r>
          </w:p>
        </w:tc>
        <w:tc>
          <w:tcPr>
            <w:tcW w:w="2793" w:type="dxa"/>
            <w:gridSpan w:val="2"/>
            <w:tcBorders>
              <w:top w:val="nil"/>
              <w:left w:val="nil"/>
              <w:bottom w:val="single" w:color="auto" w:sz="4" w:space="0"/>
              <w:right w:val="single" w:color="auto" w:sz="4" w:space="0"/>
            </w:tcBorders>
            <w:shd w:val="clear" w:color="auto" w:fill="auto"/>
            <w:vAlign w:val="center"/>
          </w:tcPr>
          <w:p w14:paraId="537ECB0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违反条款：《条例》第三十一条第一款；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处罚条款：《条例》第五十二条第二款，责令改正，给予警告；逾期不改正或者造成严重后果的，处10万元以上50万元以下罚</w:t>
            </w:r>
            <w:r>
              <w:rPr>
                <w:rFonts w:hint="eastAsia" w:asciiTheme="minorEastAsia" w:hAnsiTheme="minorEastAsia" w:eastAsiaTheme="minorEastAsia" w:cstheme="minorEastAsia"/>
                <w:color w:val="auto"/>
                <w:kern w:val="0"/>
                <w:sz w:val="15"/>
                <w:szCs w:val="15"/>
                <w:highlight w:val="none"/>
                <w:lang w:eastAsia="zh-CN"/>
              </w:rPr>
              <w:t>款。</w:t>
            </w:r>
          </w:p>
        </w:tc>
        <w:tc>
          <w:tcPr>
            <w:tcW w:w="864" w:type="dxa"/>
            <w:gridSpan w:val="2"/>
            <w:tcBorders>
              <w:top w:val="nil"/>
              <w:left w:val="nil"/>
              <w:bottom w:val="single" w:color="auto" w:sz="4" w:space="0"/>
              <w:right w:val="single" w:color="auto" w:sz="4" w:space="0"/>
            </w:tcBorders>
            <w:shd w:val="clear" w:color="auto" w:fill="auto"/>
            <w:vAlign w:val="center"/>
          </w:tcPr>
          <w:p w14:paraId="19DC242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14:paraId="7CEA61A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465787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，处以下罚款：1.晚于法定报告时间＜10个工作日，系数为0；</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10个工作日≤晚于法定报告时间＜30个工作日，系数为</w:t>
            </w:r>
            <w:r>
              <w:rPr>
                <w:rFonts w:hint="eastAsia" w:asciiTheme="minorEastAsia" w:hAnsiTheme="minorEastAsia" w:eastAsiaTheme="minorEastAsia" w:cstheme="minorEastAsia"/>
                <w:color w:val="auto"/>
                <w:kern w:val="0"/>
                <w:sz w:val="15"/>
                <w:szCs w:val="15"/>
                <w:highlight w:val="none"/>
                <w:lang w:val="en-US" w:eastAsia="zh-CN"/>
              </w:rPr>
              <w:t>0.5</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3.</w:t>
            </w:r>
            <w:r>
              <w:rPr>
                <w:rFonts w:hint="eastAsia" w:asciiTheme="minorEastAsia" w:hAnsiTheme="minorEastAsia" w:eastAsiaTheme="minorEastAsia" w:cstheme="minorEastAsia"/>
                <w:color w:val="auto"/>
                <w:kern w:val="0"/>
                <w:sz w:val="15"/>
                <w:szCs w:val="15"/>
                <w:highlight w:val="none"/>
              </w:rPr>
              <w:t>30个工作日≤晚于法定报告时间＜60个工作日，系数为</w:t>
            </w:r>
            <w:r>
              <w:rPr>
                <w:rFonts w:hint="eastAsia" w:asciiTheme="minorEastAsia" w:hAnsiTheme="minorEastAsia" w:eastAsiaTheme="minorEastAsia" w:cstheme="minorEastAsia"/>
                <w:color w:val="auto"/>
                <w:kern w:val="0"/>
                <w:sz w:val="15"/>
                <w:szCs w:val="15"/>
                <w:highlight w:val="none"/>
                <w:lang w:val="en-US" w:eastAsia="zh-CN"/>
              </w:rPr>
              <w:t>1</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4.</w:t>
            </w:r>
            <w:r>
              <w:rPr>
                <w:rFonts w:hint="eastAsia" w:asciiTheme="minorEastAsia" w:hAnsiTheme="minorEastAsia" w:eastAsiaTheme="minorEastAsia" w:cstheme="minorEastAsia"/>
                <w:color w:val="auto"/>
                <w:kern w:val="0"/>
                <w:sz w:val="15"/>
                <w:szCs w:val="15"/>
                <w:highlight w:val="none"/>
              </w:rPr>
              <w:t>60个工作日≤晚于法定报告时间＜90个工作日，系数为</w:t>
            </w:r>
            <w:r>
              <w:rPr>
                <w:rFonts w:hint="eastAsia" w:asciiTheme="minorEastAsia" w:hAnsiTheme="minorEastAsia" w:eastAsiaTheme="minorEastAsia" w:cstheme="minorEastAsia"/>
                <w:color w:val="auto"/>
                <w:kern w:val="0"/>
                <w:sz w:val="15"/>
                <w:szCs w:val="15"/>
                <w:highlight w:val="none"/>
                <w:lang w:val="en-US" w:eastAsia="zh-CN"/>
              </w:rPr>
              <w:t>1.5</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90个工作日≤晚于法定报告时间，系数为</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6.</w:t>
            </w:r>
            <w:r>
              <w:rPr>
                <w:rFonts w:hint="eastAsia" w:asciiTheme="minorEastAsia" w:hAnsiTheme="minorEastAsia" w:eastAsiaTheme="minorEastAsia" w:cstheme="minorEastAsia"/>
                <w:color w:val="auto"/>
                <w:kern w:val="0"/>
                <w:sz w:val="15"/>
                <w:szCs w:val="15"/>
                <w:highlight w:val="none"/>
              </w:rPr>
              <w:t>.未按照规定采取应急措施，系数为2。</w:t>
            </w:r>
            <w:r>
              <w:rPr>
                <w:rFonts w:hint="eastAsia" w:asciiTheme="minorEastAsia" w:hAnsiTheme="minorEastAsia" w:eastAsiaTheme="minorEastAsia" w:cstheme="minorEastAsia"/>
                <w:color w:val="auto"/>
                <w:kern w:val="0"/>
                <w:sz w:val="15"/>
                <w:szCs w:val="15"/>
                <w:highlight w:val="none"/>
                <w:lang w:val="en-US" w:eastAsia="zh-CN"/>
              </w:rPr>
              <w:t>7.</w:t>
            </w: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DD097E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14:paraId="50AFE83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存在以下情形之一的，可视为严重后果：1.造成城镇污水处理厂排放超标或污染物外溢且影响户数＞1000户；2.经执法部门处罚后，一年度内再次发生同类型违法行为。</w:t>
            </w:r>
          </w:p>
        </w:tc>
      </w:tr>
      <w:tr w14:paraId="6B434D0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CD5C6C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14:paraId="7D4121A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排水单位（用水单位）或者个人不缴纳污水处理费</w:t>
            </w:r>
          </w:p>
        </w:tc>
        <w:tc>
          <w:tcPr>
            <w:tcW w:w="2793" w:type="dxa"/>
            <w:gridSpan w:val="2"/>
            <w:tcBorders>
              <w:top w:val="nil"/>
              <w:left w:val="nil"/>
              <w:bottom w:val="single" w:color="auto" w:sz="4" w:space="0"/>
              <w:right w:val="single" w:color="auto" w:sz="4" w:space="0"/>
            </w:tcBorders>
            <w:shd w:val="clear" w:color="auto" w:fill="auto"/>
            <w:vAlign w:val="center"/>
          </w:tcPr>
          <w:p w14:paraId="6108751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违反条款：《条例》第三十二条第一款；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处罚条款：《条例》第五十四条，责令限期缴纳，逾期拒不缴纳的，处应缴纳污水处理费数额1倍以上3倍以下罚款。</w:t>
            </w:r>
          </w:p>
        </w:tc>
        <w:tc>
          <w:tcPr>
            <w:tcW w:w="864" w:type="dxa"/>
            <w:gridSpan w:val="2"/>
            <w:tcBorders>
              <w:top w:val="nil"/>
              <w:left w:val="nil"/>
              <w:bottom w:val="single" w:color="auto" w:sz="4" w:space="0"/>
              <w:right w:val="single" w:color="auto" w:sz="4" w:space="0"/>
            </w:tcBorders>
            <w:shd w:val="clear" w:color="auto" w:fill="auto"/>
            <w:vAlign w:val="center"/>
          </w:tcPr>
          <w:p w14:paraId="3FEF931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应缴纳污水处理费</w:t>
            </w:r>
          </w:p>
        </w:tc>
        <w:tc>
          <w:tcPr>
            <w:tcW w:w="840" w:type="dxa"/>
            <w:tcBorders>
              <w:top w:val="nil"/>
              <w:left w:val="nil"/>
              <w:bottom w:val="single" w:color="auto" w:sz="4" w:space="0"/>
              <w:right w:val="single" w:color="auto" w:sz="4" w:space="0"/>
            </w:tcBorders>
            <w:shd w:val="clear" w:color="auto" w:fill="auto"/>
            <w:vAlign w:val="center"/>
          </w:tcPr>
          <w:p w14:paraId="4602F04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314AF4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逾期后缴费时间＜5个工作日，系数为0；2.5个工作日≤逾期后缴费时间＜10个工作日，系数为1；3.10个工作日≤逾期后缴费时间，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A8D616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罚款金额=应缴纳污水处理费×（1+情节系数）</w:t>
            </w:r>
          </w:p>
        </w:tc>
        <w:tc>
          <w:tcPr>
            <w:tcW w:w="1972" w:type="dxa"/>
            <w:tcBorders>
              <w:top w:val="nil"/>
              <w:left w:val="nil"/>
              <w:bottom w:val="single" w:color="auto" w:sz="4" w:space="0"/>
              <w:right w:val="single" w:color="auto" w:sz="4" w:space="0"/>
            </w:tcBorders>
            <w:shd w:val="clear" w:color="auto" w:fill="auto"/>
            <w:vAlign w:val="center"/>
          </w:tcPr>
          <w:p w14:paraId="4A60D22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0BFC42B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678"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18A720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w:t>
            </w:r>
          </w:p>
        </w:tc>
        <w:tc>
          <w:tcPr>
            <w:tcW w:w="1811" w:type="dxa"/>
            <w:tcBorders>
              <w:top w:val="nil"/>
              <w:left w:val="nil"/>
              <w:bottom w:val="single" w:color="auto" w:sz="4" w:space="0"/>
              <w:right w:val="single" w:color="auto" w:sz="4" w:space="0"/>
            </w:tcBorders>
            <w:shd w:val="clear" w:color="auto" w:fill="auto"/>
            <w:vAlign w:val="center"/>
          </w:tcPr>
          <w:p w14:paraId="762442B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因巡查、维护不到位，导致窨井盖丢失、损毁，造成人员伤亡和财产损失</w:t>
            </w:r>
          </w:p>
        </w:tc>
        <w:tc>
          <w:tcPr>
            <w:tcW w:w="2793" w:type="dxa"/>
            <w:gridSpan w:val="2"/>
            <w:tcBorders>
              <w:top w:val="nil"/>
              <w:left w:val="nil"/>
              <w:bottom w:val="single" w:color="auto" w:sz="4" w:space="0"/>
              <w:right w:val="single" w:color="auto" w:sz="4" w:space="0"/>
            </w:tcBorders>
            <w:shd w:val="clear" w:color="auto" w:fill="auto"/>
            <w:vAlign w:val="center"/>
          </w:tcPr>
          <w:p w14:paraId="3110CC3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违反条款：《条例》第三十八条第一款；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处罚条款：《条例》第五十五条第一款第（三）项，责令改正，给予警告；逾期不改正或者造成严重后果的，处10万元以上50万元以下罚款。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31120EA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14:paraId="5E528E6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2BF652F">
            <w:pPr>
              <w:widowControl/>
              <w:numPr>
                <w:ilvl w:val="0"/>
                <w:numId w:val="0"/>
              </w:numPr>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lang w:eastAsia="zh-CN"/>
              </w:rPr>
              <w:t>（一）</w:t>
            </w:r>
            <w:r>
              <w:rPr>
                <w:rFonts w:hint="eastAsia" w:asciiTheme="minorEastAsia" w:hAnsiTheme="minorEastAsia" w:eastAsiaTheme="minorEastAsia" w:cstheme="minorEastAsia"/>
                <w:color w:val="auto"/>
                <w:kern w:val="0"/>
                <w:sz w:val="15"/>
                <w:szCs w:val="15"/>
                <w:highlight w:val="none"/>
              </w:rPr>
              <w:t>限期改正，且无人员伤亡，给予警告。</w:t>
            </w:r>
          </w:p>
          <w:p w14:paraId="0B9A291D">
            <w:pPr>
              <w:widowControl/>
              <w:numPr>
                <w:ilvl w:val="0"/>
                <w:numId w:val="0"/>
              </w:numPr>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（二）逾期不改正，但无人员伤亡，处以下罚款：1.财产损失＜5万，系数为0；2.5万≤财产损失＜10万，系数为</w:t>
            </w:r>
            <w:r>
              <w:rPr>
                <w:rFonts w:hint="eastAsia" w:asciiTheme="minorEastAsia" w:hAnsiTheme="minorEastAsia" w:eastAsiaTheme="minorEastAsia" w:cstheme="minorEastAsia"/>
                <w:color w:val="auto"/>
                <w:kern w:val="0"/>
                <w:sz w:val="15"/>
                <w:szCs w:val="15"/>
                <w:highlight w:val="none"/>
                <w:lang w:val="en-US" w:eastAsia="zh-CN"/>
              </w:rPr>
              <w:t>0.5</w:t>
            </w:r>
            <w:r>
              <w:rPr>
                <w:rFonts w:hint="eastAsia" w:asciiTheme="minorEastAsia" w:hAnsiTheme="minorEastAsia" w:eastAsiaTheme="minorEastAsia" w:cstheme="minorEastAsia"/>
                <w:color w:val="auto"/>
                <w:kern w:val="0"/>
                <w:sz w:val="15"/>
                <w:szCs w:val="15"/>
                <w:highlight w:val="none"/>
              </w:rPr>
              <w:t>；3.10万≤财产损失＜15万，系数为</w:t>
            </w:r>
            <w:r>
              <w:rPr>
                <w:rFonts w:hint="eastAsia" w:asciiTheme="minorEastAsia" w:hAnsiTheme="minorEastAsia" w:eastAsiaTheme="minorEastAsia" w:cstheme="minorEastAsia"/>
                <w:color w:val="auto"/>
                <w:kern w:val="0"/>
                <w:sz w:val="15"/>
                <w:szCs w:val="15"/>
                <w:highlight w:val="none"/>
                <w:lang w:val="en-US" w:eastAsia="zh-CN"/>
              </w:rPr>
              <w:t>1</w:t>
            </w:r>
            <w:r>
              <w:rPr>
                <w:rFonts w:hint="eastAsia" w:asciiTheme="minorEastAsia" w:hAnsiTheme="minorEastAsia" w:eastAsiaTheme="minorEastAsia" w:cstheme="minorEastAsia"/>
                <w:color w:val="auto"/>
                <w:kern w:val="0"/>
                <w:sz w:val="15"/>
                <w:szCs w:val="15"/>
                <w:highlight w:val="none"/>
              </w:rPr>
              <w:t>；4.15万≤财产损失＜20万，系数为</w:t>
            </w:r>
            <w:r>
              <w:rPr>
                <w:rFonts w:hint="eastAsia" w:asciiTheme="minorEastAsia" w:hAnsiTheme="minorEastAsia" w:eastAsiaTheme="minorEastAsia" w:cstheme="minorEastAsia"/>
                <w:color w:val="auto"/>
                <w:kern w:val="0"/>
                <w:sz w:val="15"/>
                <w:szCs w:val="15"/>
                <w:highlight w:val="none"/>
                <w:lang w:val="en-US" w:eastAsia="zh-CN"/>
              </w:rPr>
              <w:t>1.5</w:t>
            </w:r>
            <w:r>
              <w:rPr>
                <w:rFonts w:hint="eastAsia" w:asciiTheme="minorEastAsia" w:hAnsiTheme="minorEastAsia" w:eastAsiaTheme="minorEastAsia" w:cstheme="minorEastAsia"/>
                <w:color w:val="auto"/>
                <w:kern w:val="0"/>
                <w:sz w:val="15"/>
                <w:szCs w:val="15"/>
                <w:highlight w:val="none"/>
              </w:rPr>
              <w:t>；5.20万≤财产损失，系数为</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。6.存在基准2.1.3规定情形的，系数按照相关规定确定（基准2.1.3.5不适用）。</w:t>
            </w:r>
          </w:p>
          <w:p w14:paraId="2602BA00">
            <w:pPr>
              <w:widowControl/>
              <w:numPr>
                <w:ilvl w:val="0"/>
                <w:numId w:val="0"/>
              </w:numPr>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（三）有人员伤亡的，处以下罚款：1.有人员受伤，在（二）基础上，系数加2；2.有人员死亡，系数为4。3.存在基准2.1.3规定情形的，系数按照相关规定确定（基准2.1.3.5不适用）。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E12D88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14:paraId="56A1309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D5CB10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728"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612B48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11</w:t>
            </w:r>
          </w:p>
        </w:tc>
        <w:tc>
          <w:tcPr>
            <w:tcW w:w="1811" w:type="dxa"/>
            <w:tcBorders>
              <w:top w:val="nil"/>
              <w:left w:val="nil"/>
              <w:bottom w:val="single" w:color="auto" w:sz="4" w:space="0"/>
              <w:right w:val="single" w:color="auto" w:sz="4" w:space="0"/>
            </w:tcBorders>
            <w:shd w:val="clear" w:color="auto" w:fill="auto"/>
            <w:vAlign w:val="center"/>
          </w:tcPr>
          <w:p w14:paraId="0A5F636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城镇排水与污水处理安全事故或者突发事件发生后，未及时采取防护措施、组织事故抢修</w:t>
            </w:r>
          </w:p>
        </w:tc>
        <w:tc>
          <w:tcPr>
            <w:tcW w:w="2793" w:type="dxa"/>
            <w:gridSpan w:val="2"/>
            <w:tcBorders>
              <w:top w:val="nil"/>
              <w:left w:val="nil"/>
              <w:bottom w:val="single" w:color="auto" w:sz="4" w:space="0"/>
              <w:right w:val="single" w:color="auto" w:sz="4" w:space="0"/>
            </w:tcBorders>
            <w:shd w:val="clear" w:color="auto" w:fill="auto"/>
            <w:vAlign w:val="center"/>
          </w:tcPr>
          <w:p w14:paraId="5FF46F0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违反条款：《条例》第四十条第二款；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处罚条款：《条例》第五十五条第一款第（二）项，责令改正，给予警告；逾期不改正或者造成严重后果的，处10万元以上50万元以下罚款。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0804EF8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14:paraId="1E9AF11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8A1D6D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，处以下罚款：1.逾期后改正时间＜2天，系数为0；2.2天≤逾期后改正时间＜</w:t>
            </w:r>
            <w:r>
              <w:rPr>
                <w:rFonts w:hint="eastAsia" w:asciiTheme="minorEastAsia" w:hAnsiTheme="minorEastAsia" w:eastAsiaTheme="minorEastAsia" w:cstheme="minorEastAsia"/>
                <w:color w:val="auto"/>
                <w:kern w:val="0"/>
                <w:sz w:val="15"/>
                <w:szCs w:val="15"/>
                <w:highlight w:val="none"/>
                <w:lang w:val="en-US" w:eastAsia="zh-CN"/>
              </w:rPr>
              <w:t>3</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0.5</w:t>
            </w:r>
            <w:r>
              <w:rPr>
                <w:rFonts w:hint="eastAsia" w:asciiTheme="minorEastAsia" w:hAnsiTheme="minorEastAsia" w:eastAsiaTheme="minorEastAsia" w:cstheme="minorEastAsia"/>
                <w:color w:val="auto"/>
                <w:kern w:val="0"/>
                <w:sz w:val="15"/>
                <w:szCs w:val="15"/>
                <w:highlight w:val="none"/>
              </w:rPr>
              <w:t>；3.</w:t>
            </w:r>
            <w:r>
              <w:rPr>
                <w:rFonts w:hint="eastAsia" w:asciiTheme="minorEastAsia" w:hAnsiTheme="minorEastAsia" w:eastAsiaTheme="minorEastAsia" w:cstheme="minorEastAsia"/>
                <w:color w:val="auto"/>
                <w:kern w:val="0"/>
                <w:sz w:val="15"/>
                <w:szCs w:val="15"/>
                <w:highlight w:val="none"/>
                <w:lang w:val="en-US" w:eastAsia="zh-CN"/>
              </w:rPr>
              <w:t>3</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4</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1</w:t>
            </w:r>
            <w:r>
              <w:rPr>
                <w:rFonts w:hint="eastAsia" w:asciiTheme="minorEastAsia" w:hAnsiTheme="minorEastAsia" w:eastAsiaTheme="minorEastAsia" w:cstheme="minorEastAsia"/>
                <w:color w:val="auto"/>
                <w:kern w:val="0"/>
                <w:sz w:val="15"/>
                <w:szCs w:val="15"/>
                <w:highlight w:val="none"/>
              </w:rPr>
              <w:t>；4.</w:t>
            </w:r>
            <w:r>
              <w:rPr>
                <w:rFonts w:hint="eastAsia" w:asciiTheme="minorEastAsia" w:hAnsiTheme="minorEastAsia" w:eastAsiaTheme="minorEastAsia" w:cstheme="minorEastAsia"/>
                <w:color w:val="auto"/>
                <w:kern w:val="0"/>
                <w:sz w:val="15"/>
                <w:szCs w:val="15"/>
                <w:highlight w:val="none"/>
                <w:lang w:val="en-US" w:eastAsia="zh-CN"/>
              </w:rPr>
              <w:t>4</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1.5</w:t>
            </w:r>
            <w:r>
              <w:rPr>
                <w:rFonts w:hint="eastAsia" w:asciiTheme="minorEastAsia" w:hAnsiTheme="minorEastAsia" w:eastAsiaTheme="minorEastAsia" w:cstheme="minorEastAsia"/>
                <w:color w:val="auto"/>
                <w:kern w:val="0"/>
                <w:sz w:val="15"/>
                <w:szCs w:val="15"/>
                <w:highlight w:val="none"/>
              </w:rPr>
              <w:t>；5.</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6</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2；6</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6</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7</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2.5；7</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7</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8</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3；8</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8</w:t>
            </w:r>
            <w:r>
              <w:rPr>
                <w:rFonts w:hint="eastAsia" w:asciiTheme="minorEastAsia" w:hAnsiTheme="minorEastAsia" w:eastAsiaTheme="minorEastAsia" w:cstheme="minorEastAsia"/>
                <w:color w:val="auto"/>
                <w:kern w:val="0"/>
                <w:sz w:val="15"/>
                <w:szCs w:val="15"/>
                <w:highlight w:val="none"/>
              </w:rPr>
              <w:t>天≤逾期后改正时间＜</w:t>
            </w:r>
            <w:r>
              <w:rPr>
                <w:rFonts w:hint="eastAsia" w:asciiTheme="minorEastAsia" w:hAnsiTheme="minorEastAsia" w:eastAsiaTheme="minorEastAsia" w:cstheme="minorEastAsia"/>
                <w:color w:val="auto"/>
                <w:kern w:val="0"/>
                <w:sz w:val="15"/>
                <w:szCs w:val="15"/>
                <w:highlight w:val="none"/>
                <w:lang w:val="en-US" w:eastAsia="zh-CN"/>
              </w:rPr>
              <w:t>9</w:t>
            </w:r>
            <w:r>
              <w:rPr>
                <w:rFonts w:hint="eastAsia" w:asciiTheme="minorEastAsia" w:hAnsiTheme="minorEastAsia" w:eastAsiaTheme="minorEastAsia" w:cstheme="minorEastAsia"/>
                <w:color w:val="auto"/>
                <w:kern w:val="0"/>
                <w:sz w:val="15"/>
                <w:szCs w:val="15"/>
                <w:highlight w:val="none"/>
              </w:rPr>
              <w:t>天，系数为</w:t>
            </w:r>
            <w:r>
              <w:rPr>
                <w:rFonts w:hint="eastAsia" w:asciiTheme="minorEastAsia" w:hAnsiTheme="minorEastAsia" w:eastAsiaTheme="minorEastAsia" w:cstheme="minorEastAsia"/>
                <w:color w:val="auto"/>
                <w:kern w:val="0"/>
                <w:sz w:val="15"/>
                <w:szCs w:val="15"/>
                <w:highlight w:val="none"/>
                <w:lang w:val="en-US" w:eastAsia="zh-CN"/>
              </w:rPr>
              <w:t>3.5；9</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9</w:t>
            </w:r>
            <w:r>
              <w:rPr>
                <w:rFonts w:hint="eastAsia" w:asciiTheme="minorEastAsia" w:hAnsiTheme="minorEastAsia" w:eastAsiaTheme="minorEastAsia" w:cstheme="minorEastAsia"/>
                <w:color w:val="auto"/>
                <w:kern w:val="0"/>
                <w:sz w:val="15"/>
                <w:szCs w:val="15"/>
                <w:highlight w:val="none"/>
              </w:rPr>
              <w:t>天≤逾期后改正时间，系数为</w:t>
            </w:r>
            <w:r>
              <w:rPr>
                <w:rFonts w:hint="eastAsia" w:asciiTheme="minorEastAsia" w:hAnsiTheme="minorEastAsia" w:eastAsiaTheme="minorEastAsia" w:cstheme="minorEastAsia"/>
                <w:color w:val="auto"/>
                <w:kern w:val="0"/>
                <w:sz w:val="15"/>
                <w:szCs w:val="15"/>
                <w:highlight w:val="none"/>
                <w:lang w:val="en-US" w:eastAsia="zh-CN"/>
              </w:rPr>
              <w:t>4</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lang w:val="en-US" w:eastAsia="zh-CN"/>
              </w:rPr>
              <w:t>10</w:t>
            </w: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B101E0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14:paraId="246C3C8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因未及时采取防护措施、组织事故抢修，再次发生一般及以上安全事故的；2.造成城镇污水处理厂排放超标或污染物外溢且影响户数＞1000户；3.经执法部门处罚后，一年度内再次发生同类型违法行为。</w:t>
            </w:r>
          </w:p>
        </w:tc>
      </w:tr>
      <w:tr w14:paraId="0A9F02B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631" w:hRule="atLeast"/>
        </w:trPr>
        <w:tc>
          <w:tcPr>
            <w:tcW w:w="612"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59B99D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12</w:t>
            </w:r>
          </w:p>
        </w:tc>
        <w:tc>
          <w:tcPr>
            <w:tcW w:w="18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77A62E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从事爆破、钻探、打桩、顶进、挖掘、取土等可能影响城镇排水与污水处理设施安全的活动，未与施工单位、设施维护运营单位等共同制定设施保护方案，并采取相应的安全防护措施</w:t>
            </w:r>
          </w:p>
        </w:tc>
        <w:tc>
          <w:tcPr>
            <w:tcW w:w="279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DF5D28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违反条款：《条例》第四十一条第二款；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处罚条款：《条例》第五十七条第一款，责令改正，处2万元以上5万元以下罚款；造成严重后果的，处5万元以上10万元以下罚款。</w:t>
            </w:r>
          </w:p>
        </w:tc>
        <w:tc>
          <w:tcPr>
            <w:tcW w:w="86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B6C5CF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027C73D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EDA62E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处以下罚款：1.未制定保护方案但有相应安全防护措施，系数为0；2.制定保护方案但未采取相应安全防护措施，系数为0.5；3.未制定保护方案且未采取相应安全防护措施，系数为1.5。4.存在基准2.1.3规定情形的，系数按照相关规定确定（基准2.1.3.5不适用）。罚款金额不得超过5万元。</w:t>
            </w:r>
          </w:p>
        </w:tc>
        <w:tc>
          <w:tcPr>
            <w:tcW w:w="1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832C1D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8EEB63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存在以下情形之一的，可视为严重后果：1.发生一般及以上安全事故的；2.造成城镇污水处理厂排放超标或污染物外溢且影响户数＞1000户；3.经执法部门处罚后，一年度内再次发生同类型违法行为。</w:t>
            </w:r>
          </w:p>
        </w:tc>
      </w:tr>
      <w:tr w14:paraId="34805F5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74" w:hRule="atLeast"/>
        </w:trPr>
        <w:tc>
          <w:tcPr>
            <w:tcW w:w="612"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B748F34">
            <w:pPr>
              <w:widowControl/>
              <w:jc w:val="center"/>
              <w:rPr>
                <w:rFonts w:hint="eastAsia" w:asciiTheme="minorEastAsia" w:hAnsiTheme="minorEastAsia" w:eastAsiaTheme="minorEastAsia" w:cstheme="minorEastAsia"/>
                <w:color w:val="auto"/>
                <w:kern w:val="0"/>
                <w:sz w:val="15"/>
                <w:szCs w:val="15"/>
                <w:highlight w:val="none"/>
              </w:rPr>
            </w:pPr>
            <w:bookmarkStart w:id="222" w:name="_Toc218468836"/>
          </w:p>
        </w:tc>
        <w:tc>
          <w:tcPr>
            <w:tcW w:w="1811" w:type="dxa"/>
            <w:vMerge w:val="continue"/>
            <w:tcBorders>
              <w:top w:val="single" w:color="auto" w:sz="4" w:space="0"/>
              <w:left w:val="nil"/>
              <w:bottom w:val="single" w:color="auto" w:sz="4" w:space="0"/>
              <w:right w:val="single" w:color="auto" w:sz="4" w:space="0"/>
            </w:tcBorders>
            <w:shd w:val="clear" w:color="auto" w:fill="auto"/>
            <w:vAlign w:val="center"/>
          </w:tcPr>
          <w:p w14:paraId="17F881A8">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single" w:color="auto" w:sz="4" w:space="0"/>
              <w:left w:val="nil"/>
              <w:bottom w:val="single" w:color="auto" w:sz="4" w:space="0"/>
              <w:right w:val="single" w:color="auto" w:sz="4" w:space="0"/>
            </w:tcBorders>
            <w:shd w:val="clear" w:color="auto" w:fill="auto"/>
            <w:vAlign w:val="center"/>
          </w:tcPr>
          <w:p w14:paraId="6FBCD7E4">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single" w:color="auto" w:sz="4" w:space="0"/>
              <w:left w:val="nil"/>
              <w:bottom w:val="single" w:color="auto" w:sz="4" w:space="0"/>
              <w:right w:val="single" w:color="auto" w:sz="4" w:space="0"/>
            </w:tcBorders>
            <w:shd w:val="clear" w:color="auto" w:fill="auto"/>
            <w:vAlign w:val="center"/>
          </w:tcPr>
          <w:p w14:paraId="5ADD6A4A">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50000</w:t>
            </w:r>
          </w:p>
        </w:tc>
        <w:tc>
          <w:tcPr>
            <w:tcW w:w="840" w:type="dxa"/>
            <w:tcBorders>
              <w:top w:val="single" w:color="auto" w:sz="4" w:space="0"/>
              <w:left w:val="nil"/>
              <w:bottom w:val="single" w:color="auto" w:sz="4" w:space="0"/>
              <w:right w:val="single" w:color="auto" w:sz="4" w:space="0"/>
            </w:tcBorders>
            <w:shd w:val="clear" w:color="auto" w:fill="auto"/>
            <w:vAlign w:val="center"/>
          </w:tcPr>
          <w:p w14:paraId="7B0273FF">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1</w:t>
            </w:r>
          </w:p>
        </w:tc>
        <w:tc>
          <w:tcPr>
            <w:tcW w:w="3430" w:type="dxa"/>
            <w:gridSpan w:val="2"/>
            <w:tcBorders>
              <w:top w:val="single" w:color="auto" w:sz="4" w:space="0"/>
              <w:left w:val="nil"/>
              <w:bottom w:val="single" w:color="auto" w:sz="4" w:space="0"/>
              <w:right w:val="single" w:color="auto" w:sz="4" w:space="0"/>
            </w:tcBorders>
            <w:shd w:val="clear" w:color="auto" w:fill="auto"/>
            <w:vAlign w:val="center"/>
          </w:tcPr>
          <w:p w14:paraId="5529C5F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造成严重后果，处以下罚款：1.未制定保护方案但有相应安全防护措施，系数为</w:t>
            </w:r>
            <w:r>
              <w:rPr>
                <w:rFonts w:hint="eastAsia" w:asciiTheme="minorEastAsia" w:hAnsiTheme="minorEastAsia" w:eastAsiaTheme="minorEastAsia" w:cstheme="minorEastAsia"/>
                <w:color w:val="auto"/>
                <w:kern w:val="0"/>
                <w:sz w:val="15"/>
                <w:szCs w:val="15"/>
                <w:highlight w:val="none"/>
                <w:lang w:val="en-US" w:eastAsia="zh-CN"/>
              </w:rPr>
              <w:t>0</w:t>
            </w:r>
            <w:r>
              <w:rPr>
                <w:rFonts w:hint="eastAsia" w:asciiTheme="minorEastAsia" w:hAnsiTheme="minorEastAsia" w:eastAsiaTheme="minorEastAsia" w:cstheme="minorEastAsia"/>
                <w:color w:val="auto"/>
                <w:kern w:val="0"/>
                <w:sz w:val="15"/>
                <w:szCs w:val="15"/>
                <w:highlight w:val="none"/>
              </w:rPr>
              <w:t>；2.制定保护方案但未采取相应安全防护措施，系数为</w:t>
            </w:r>
            <w:r>
              <w:rPr>
                <w:rFonts w:hint="eastAsia" w:asciiTheme="minorEastAsia" w:hAnsiTheme="minorEastAsia" w:eastAsiaTheme="minorEastAsia" w:cstheme="minorEastAsia"/>
                <w:color w:val="auto"/>
                <w:kern w:val="0"/>
                <w:sz w:val="15"/>
                <w:szCs w:val="15"/>
                <w:highlight w:val="none"/>
                <w:lang w:val="en-US" w:eastAsia="zh-CN"/>
              </w:rPr>
              <w:t>0.5</w:t>
            </w:r>
            <w:r>
              <w:rPr>
                <w:rFonts w:hint="eastAsia" w:asciiTheme="minorEastAsia" w:hAnsiTheme="minorEastAsia" w:eastAsiaTheme="minorEastAsia" w:cstheme="minorEastAsia"/>
                <w:color w:val="auto"/>
                <w:kern w:val="0"/>
                <w:sz w:val="15"/>
                <w:szCs w:val="15"/>
                <w:highlight w:val="none"/>
              </w:rPr>
              <w:t>；3.未制定保护方案且未采取相应安全防护措施，系数为</w:t>
            </w:r>
            <w:r>
              <w:rPr>
                <w:rFonts w:hint="eastAsia" w:asciiTheme="minorEastAsia" w:hAnsiTheme="minorEastAsia" w:eastAsiaTheme="minorEastAsia" w:cstheme="minorEastAsia"/>
                <w:color w:val="auto"/>
                <w:kern w:val="0"/>
                <w:sz w:val="15"/>
                <w:szCs w:val="15"/>
                <w:highlight w:val="none"/>
                <w:lang w:val="en-US" w:eastAsia="zh-CN"/>
              </w:rPr>
              <w:t>1</w:t>
            </w:r>
            <w:r>
              <w:rPr>
                <w:rFonts w:hint="eastAsia" w:asciiTheme="minorEastAsia" w:hAnsiTheme="minorEastAsia" w:eastAsiaTheme="minorEastAsia" w:cstheme="minorEastAsia"/>
                <w:color w:val="auto"/>
                <w:kern w:val="0"/>
                <w:sz w:val="15"/>
                <w:szCs w:val="15"/>
                <w:highlight w:val="none"/>
              </w:rPr>
              <w:t>。4.存在基准2.1.3规定情形的，系数按照相关规定确定（基准2.1.3.5不适用）。</w:t>
            </w:r>
          </w:p>
        </w:tc>
        <w:tc>
          <w:tcPr>
            <w:tcW w:w="1881" w:type="dxa"/>
            <w:gridSpan w:val="2"/>
            <w:tcBorders>
              <w:top w:val="single" w:color="auto" w:sz="4" w:space="0"/>
              <w:left w:val="nil"/>
              <w:bottom w:val="single" w:color="auto" w:sz="4" w:space="0"/>
              <w:right w:val="single" w:color="auto" w:sz="4" w:space="0"/>
            </w:tcBorders>
            <w:shd w:val="clear" w:color="auto" w:fill="auto"/>
            <w:vAlign w:val="center"/>
          </w:tcPr>
          <w:p w14:paraId="527390B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5</w:t>
            </w:r>
            <w:r>
              <w:rPr>
                <w:rFonts w:hint="eastAsia" w:asciiTheme="minorEastAsia" w:hAnsiTheme="minorEastAsia" w:eastAsiaTheme="minorEastAsia" w:cstheme="minorEastAsia"/>
                <w:color w:val="auto"/>
                <w:kern w:val="0"/>
                <w:sz w:val="15"/>
                <w:szCs w:val="15"/>
                <w:highlight w:val="none"/>
              </w:rPr>
              <w:t>0000×（1+情节系数）</w:t>
            </w:r>
          </w:p>
        </w:tc>
        <w:tc>
          <w:tcPr>
            <w:tcW w:w="1972" w:type="dxa"/>
            <w:vMerge w:val="continue"/>
            <w:tcBorders>
              <w:top w:val="single" w:color="auto" w:sz="4" w:space="0"/>
              <w:left w:val="nil"/>
              <w:bottom w:val="single" w:color="auto" w:sz="4" w:space="0"/>
              <w:right w:val="single" w:color="auto" w:sz="4" w:space="0"/>
            </w:tcBorders>
            <w:shd w:val="clear" w:color="auto" w:fill="auto"/>
            <w:vAlign w:val="center"/>
          </w:tcPr>
          <w:p w14:paraId="429DDA8F">
            <w:pPr>
              <w:widowControl/>
              <w:jc w:val="left"/>
              <w:rPr>
                <w:rFonts w:hint="eastAsia" w:asciiTheme="minorEastAsia" w:hAnsiTheme="minorEastAsia" w:eastAsiaTheme="minorEastAsia" w:cstheme="minorEastAsia"/>
                <w:color w:val="auto"/>
                <w:kern w:val="0"/>
                <w:sz w:val="15"/>
                <w:szCs w:val="15"/>
                <w:highlight w:val="none"/>
              </w:rPr>
            </w:pPr>
          </w:p>
        </w:tc>
      </w:tr>
      <w:tr w14:paraId="70B9ADF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434"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125B178D">
            <w:pPr>
              <w:widowControl/>
              <w:jc w:val="center"/>
              <w:outlineLvl w:val="1"/>
              <w:rPr>
                <w:rFonts w:hint="eastAsia" w:asciiTheme="minorEastAsia" w:hAnsiTheme="minorEastAsia" w:eastAsiaTheme="minorEastAsia" w:cstheme="minorEastAsia"/>
                <w:color w:val="auto"/>
                <w:kern w:val="0"/>
                <w:szCs w:val="21"/>
                <w:highlight w:val="none"/>
              </w:rPr>
            </w:pPr>
            <w:bookmarkStart w:id="223" w:name="_Toc388286961"/>
            <w:r>
              <w:rPr>
                <w:rFonts w:hint="eastAsia" w:asciiTheme="minorEastAsia" w:hAnsiTheme="minorEastAsia" w:eastAsiaTheme="minorEastAsia" w:cstheme="minorEastAsia"/>
                <w:b/>
                <w:bCs/>
                <w:color w:val="auto"/>
                <w:kern w:val="0"/>
                <w:szCs w:val="21"/>
                <w:highlight w:val="none"/>
              </w:rPr>
              <w:t>《城镇污水排入排水管网许可管理办法》《城镇排水与污水处理条例》案由10项</w:t>
            </w:r>
            <w:bookmarkEnd w:id="222"/>
            <w:bookmarkEnd w:id="223"/>
          </w:p>
        </w:tc>
      </w:tr>
      <w:tr w14:paraId="2ADE7E3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31DD7F3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451BC9D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排水户擅自拆卸、移动、穿凿和接入城镇排水设施</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04061C1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违反条款：《办法》第十四条第一款第（四）项；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二条，责令停止违法行为，限期恢复原状或者采取其他补救措施，并给予警告；逾期不采取补救措施或者造成严重后果的，对单位处10万元以上30万元以下罚款，对个人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72D6B94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（单位）</w:t>
            </w:r>
          </w:p>
        </w:tc>
        <w:tc>
          <w:tcPr>
            <w:tcW w:w="840" w:type="dxa"/>
            <w:tcBorders>
              <w:top w:val="nil"/>
              <w:left w:val="nil"/>
              <w:bottom w:val="single" w:color="auto" w:sz="4" w:space="0"/>
              <w:right w:val="single" w:color="auto" w:sz="4" w:space="0"/>
            </w:tcBorders>
            <w:shd w:val="clear" w:color="auto" w:fill="auto"/>
            <w:vAlign w:val="center"/>
          </w:tcPr>
          <w:p w14:paraId="38EBF71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DC1FE4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直接经济损失＜1万元，系数为0；1万元≤直接经济损失＜3万元，系数为0.2；直接经济损失每增加2万元（不足2万元，按2万元计），系数加0.2；19万元≤直接经济损失，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42359E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14:paraId="5E4B777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存在以下情形之一的，可视为严重后果：1.发生一般及以上安全事故的；2.造成污染物外溢且影响户数＞1000户；3.经执法部门处罚后，一年度内再次发生同类型违法行为。</w:t>
            </w:r>
          </w:p>
        </w:tc>
      </w:tr>
      <w:tr w14:paraId="1E7F3A4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6F89C5B5">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4FE1CF8F">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312A4E41">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4A60DE4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364248D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18DD8C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直接经济损失＜1万元，系数为0；2.1万元≤直接经济损失＜5万元，系数为1；3.5万元≤直接经济损失＜10万元，系数为2；4.10万元≤直接经济损失＜20万元，系数为3；5.20万元≤直接经济损失，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95C362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49988DE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存在以下情形之一的，可视为严重后果：1.发生一般及以上安全事故的；2.造成污染物外溢且影响户数＞1000户；3.经执法部门处罚后，一年度内再次发生同类型违法行为。</w:t>
            </w:r>
          </w:p>
        </w:tc>
      </w:tr>
      <w:tr w14:paraId="0327F09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3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291E788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5427007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未按照有关规定将污水排入城镇排水设施</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7D9796E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违反条款：《办法》第四条第一款；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处罚条款：《办法》第二十六条，责令改正，给予警告；逾期不改正或者造成严重后果的，对单位处10万元以上20万元以下罚款；对个人处2万元以上10万元以下罚款。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646B548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（单位）</w:t>
            </w:r>
          </w:p>
        </w:tc>
        <w:tc>
          <w:tcPr>
            <w:tcW w:w="840" w:type="dxa"/>
            <w:tcBorders>
              <w:top w:val="nil"/>
              <w:left w:val="nil"/>
              <w:bottom w:val="single" w:color="auto" w:sz="4" w:space="0"/>
              <w:right w:val="single" w:color="auto" w:sz="4" w:space="0"/>
            </w:tcBorders>
            <w:shd w:val="clear" w:color="auto" w:fill="auto"/>
            <w:vAlign w:val="center"/>
          </w:tcPr>
          <w:p w14:paraId="3E65A3D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0A7B5F8">
            <w:pPr>
              <w:widowControl/>
              <w:numPr>
                <w:ilvl w:val="0"/>
                <w:numId w:val="8"/>
              </w:numPr>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限期改正，且未造成严重后果，给予警告。（二）逾期不改正，但未造成严重后果，处以下罚款：1.排入点污水水质超标项数=1项，系数为0；2.排入点污水水质超标项数=2项，系数为0.2；3.排入点污水水质超标项数=3项，系数为0.4；4.排入点污水水质超标项数=4项，系数为0.6；5.排入点污水水质超标项数=5项，系数为0.8；6.排入点污水水质超标项数≥6项，系数为1。7.存在基准2.1.3规定情形的，系数按照相关规定确定（基准2.1.3.5不适用）。</w:t>
            </w:r>
          </w:p>
          <w:p w14:paraId="53E5F1C8">
            <w:pPr>
              <w:widowControl/>
              <w:numPr>
                <w:ilvl w:val="0"/>
                <w:numId w:val="0"/>
              </w:numPr>
              <w:jc w:val="left"/>
              <w:rPr>
                <w:rFonts w:hint="eastAsia" w:asciiTheme="minorEastAsia" w:hAnsiTheme="minorEastAsia" w:eastAsiaTheme="minorEastAsia" w:cstheme="minorEastAsia"/>
                <w:strike/>
                <w:dstrike w:val="0"/>
                <w:color w:val="auto"/>
                <w:kern w:val="0"/>
                <w:sz w:val="15"/>
                <w:szCs w:val="15"/>
                <w:highlight w:val="none"/>
                <w:lang w:val="en-US" w:eastAsia="zh-CN"/>
              </w:rPr>
            </w:pPr>
            <w:r>
              <w:rPr>
                <w:rFonts w:hint="eastAsia" w:asciiTheme="minorEastAsia" w:hAnsiTheme="minorEastAsia" w:eastAsiaTheme="minorEastAsia" w:cstheme="minorEastAsia"/>
                <w:strike w:val="0"/>
                <w:dstrike w:val="0"/>
                <w:color w:val="auto"/>
                <w:kern w:val="0"/>
                <w:sz w:val="15"/>
                <w:szCs w:val="15"/>
                <w:highlight w:val="none"/>
                <w:lang w:eastAsia="zh-CN"/>
              </w:rPr>
              <w:t>（三）造成严重后果，处以下罚款：1.4项＜排入点污水水质超标项数且5倍＜单项水质超标倍数≤6倍，系数为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0</w:t>
            </w:r>
            <w:r>
              <w:rPr>
                <w:rFonts w:hint="eastAsia" w:asciiTheme="minorEastAsia" w:hAnsiTheme="minorEastAsia" w:eastAsiaTheme="minorEastAsia" w:cstheme="minorEastAsia"/>
                <w:strike w:val="0"/>
                <w:dstrike w:val="0"/>
                <w:color w:val="auto"/>
                <w:kern w:val="0"/>
                <w:sz w:val="15"/>
                <w:szCs w:val="15"/>
                <w:highlight w:val="none"/>
                <w:lang w:eastAsia="zh-CN"/>
              </w:rPr>
              <w:t>；2.4项＜排入点污水水质超标项数且6倍＜单项水质超标倍数≤7倍，系数为0.</w:t>
            </w:r>
            <w:r>
              <w:rPr>
                <w:rFonts w:hint="eastAsia" w:asciiTheme="minorEastAsia" w:hAnsiTheme="minorEastAsia" w:eastAsiaTheme="minorEastAsia" w:cstheme="minorEastAsia"/>
                <w:strike w:val="0"/>
                <w:dstrike w:val="0"/>
                <w:color w:val="auto"/>
                <w:kern w:val="0"/>
                <w:sz w:val="15"/>
                <w:szCs w:val="15"/>
                <w:highlight w:val="none"/>
                <w:lang w:val="en-US" w:eastAsia="zh-CN"/>
              </w:rPr>
              <w:t>2</w:t>
            </w:r>
            <w:r>
              <w:rPr>
                <w:rFonts w:hint="eastAsia" w:asciiTheme="minorEastAsia" w:hAnsiTheme="minorEastAsia" w:eastAsiaTheme="minorEastAsia" w:cstheme="minorEastAsia"/>
                <w:strike w:val="0"/>
                <w:dstrike w:val="0"/>
                <w:color w:val="auto"/>
                <w:kern w:val="0"/>
                <w:sz w:val="15"/>
                <w:szCs w:val="15"/>
                <w:highlight w:val="none"/>
                <w:lang w:eastAsia="zh-CN"/>
              </w:rPr>
              <w:t>；3.4项＜排入点污水水质超标项数且7倍＜单项水质超标倍数≤8倍，系数为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0.4</w:t>
            </w:r>
            <w:r>
              <w:rPr>
                <w:rFonts w:hint="eastAsia" w:asciiTheme="minorEastAsia" w:hAnsiTheme="minorEastAsia" w:eastAsiaTheme="minorEastAsia" w:cstheme="minorEastAsia"/>
                <w:strike w:val="0"/>
                <w:dstrike w:val="0"/>
                <w:color w:val="auto"/>
                <w:kern w:val="0"/>
                <w:sz w:val="15"/>
                <w:szCs w:val="15"/>
                <w:highlight w:val="none"/>
                <w:lang w:eastAsia="zh-CN"/>
              </w:rPr>
              <w:t>；4.4项＜排入点污水水质超标项数且8倍＜单项水质超标倍数≤9倍，系数为0.</w:t>
            </w:r>
            <w:r>
              <w:rPr>
                <w:rFonts w:hint="eastAsia" w:asciiTheme="minorEastAsia" w:hAnsiTheme="minorEastAsia" w:eastAsiaTheme="minorEastAsia" w:cstheme="minorEastAsia"/>
                <w:strike w:val="0"/>
                <w:dstrike w:val="0"/>
                <w:color w:val="auto"/>
                <w:kern w:val="0"/>
                <w:sz w:val="15"/>
                <w:szCs w:val="15"/>
                <w:highlight w:val="none"/>
                <w:lang w:val="en-US" w:eastAsia="zh-CN"/>
              </w:rPr>
              <w:t>6</w:t>
            </w:r>
            <w:r>
              <w:rPr>
                <w:rFonts w:hint="eastAsia" w:asciiTheme="minorEastAsia" w:hAnsiTheme="minorEastAsia" w:eastAsiaTheme="minorEastAsia" w:cstheme="minorEastAsia"/>
                <w:strike w:val="0"/>
                <w:dstrike w:val="0"/>
                <w:color w:val="auto"/>
                <w:kern w:val="0"/>
                <w:sz w:val="15"/>
                <w:szCs w:val="15"/>
                <w:highlight w:val="none"/>
                <w:lang w:eastAsia="zh-CN"/>
              </w:rPr>
              <w:t>；</w:t>
            </w:r>
            <w:r>
              <w:rPr>
                <w:rFonts w:hint="eastAsia" w:asciiTheme="minorEastAsia" w:hAnsiTheme="minorEastAsia" w:eastAsiaTheme="minorEastAsia" w:cstheme="minorEastAsia"/>
                <w:strike w:val="0"/>
                <w:dstrike w:val="0"/>
                <w:color w:val="auto"/>
                <w:kern w:val="0"/>
                <w:sz w:val="15"/>
                <w:szCs w:val="15"/>
                <w:highlight w:val="none"/>
                <w:lang w:val="en-US" w:eastAsia="zh-CN"/>
              </w:rPr>
              <w:t>5</w:t>
            </w:r>
            <w:r>
              <w:rPr>
                <w:rFonts w:hint="eastAsia" w:asciiTheme="minorEastAsia" w:hAnsiTheme="minorEastAsia" w:eastAsiaTheme="minorEastAsia" w:cstheme="minorEastAsia"/>
                <w:strike w:val="0"/>
                <w:dstrike w:val="0"/>
                <w:color w:val="auto"/>
                <w:kern w:val="0"/>
                <w:sz w:val="15"/>
                <w:szCs w:val="15"/>
                <w:highlight w:val="none"/>
                <w:lang w:eastAsia="zh-CN"/>
              </w:rPr>
              <w:t>.4项＜排入点污水水质超标项数且</w:t>
            </w:r>
            <w:r>
              <w:rPr>
                <w:rFonts w:hint="eastAsia" w:asciiTheme="minorEastAsia" w:hAnsiTheme="minorEastAsia" w:eastAsiaTheme="minorEastAsia" w:cstheme="minorEastAsia"/>
                <w:strike w:val="0"/>
                <w:dstrike w:val="0"/>
                <w:color w:val="auto"/>
                <w:kern w:val="0"/>
                <w:sz w:val="15"/>
                <w:szCs w:val="15"/>
                <w:highlight w:val="none"/>
                <w:lang w:val="en-US" w:eastAsia="zh-CN"/>
              </w:rPr>
              <w:t>9</w:t>
            </w:r>
            <w:r>
              <w:rPr>
                <w:rFonts w:hint="eastAsia" w:asciiTheme="minorEastAsia" w:hAnsiTheme="minorEastAsia" w:eastAsiaTheme="minorEastAsia" w:cstheme="minorEastAsia"/>
                <w:strike w:val="0"/>
                <w:dstrike w:val="0"/>
                <w:color w:val="auto"/>
                <w:kern w:val="0"/>
                <w:sz w:val="15"/>
                <w:szCs w:val="15"/>
                <w:highlight w:val="none"/>
                <w:lang w:eastAsia="zh-CN"/>
              </w:rPr>
              <w:t>倍＜单项水质超标倍数≤</w:t>
            </w:r>
            <w:r>
              <w:rPr>
                <w:rFonts w:hint="eastAsia" w:asciiTheme="minorEastAsia" w:hAnsiTheme="minorEastAsia" w:eastAsiaTheme="minorEastAsia" w:cstheme="minorEastAsia"/>
                <w:strike w:val="0"/>
                <w:dstrike w:val="0"/>
                <w:color w:val="auto"/>
                <w:kern w:val="0"/>
                <w:sz w:val="15"/>
                <w:szCs w:val="15"/>
                <w:highlight w:val="none"/>
                <w:lang w:val="en-US" w:eastAsia="zh-CN"/>
              </w:rPr>
              <w:t>10</w:t>
            </w:r>
            <w:r>
              <w:rPr>
                <w:rFonts w:hint="eastAsia" w:asciiTheme="minorEastAsia" w:hAnsiTheme="minorEastAsia" w:eastAsiaTheme="minorEastAsia" w:cstheme="minorEastAsia"/>
                <w:strike w:val="0"/>
                <w:dstrike w:val="0"/>
                <w:color w:val="auto"/>
                <w:kern w:val="0"/>
                <w:sz w:val="15"/>
                <w:szCs w:val="15"/>
                <w:highlight w:val="none"/>
                <w:lang w:eastAsia="zh-CN"/>
              </w:rPr>
              <w:t>倍，系数为0.</w:t>
            </w:r>
            <w:r>
              <w:rPr>
                <w:rFonts w:hint="eastAsia" w:asciiTheme="minorEastAsia" w:hAnsiTheme="minorEastAsia" w:eastAsiaTheme="minorEastAsia" w:cstheme="minorEastAsia"/>
                <w:strike w:val="0"/>
                <w:dstrike w:val="0"/>
                <w:color w:val="auto"/>
                <w:kern w:val="0"/>
                <w:sz w:val="15"/>
                <w:szCs w:val="15"/>
                <w:highlight w:val="none"/>
                <w:lang w:val="en-US" w:eastAsia="zh-CN"/>
              </w:rPr>
              <w:t>8</w:t>
            </w:r>
            <w:r>
              <w:rPr>
                <w:rFonts w:hint="eastAsia" w:asciiTheme="minorEastAsia" w:hAnsiTheme="minorEastAsia" w:eastAsiaTheme="minorEastAsia" w:cstheme="minorEastAsia"/>
                <w:strike w:val="0"/>
                <w:dstrike w:val="0"/>
                <w:color w:val="auto"/>
                <w:kern w:val="0"/>
                <w:sz w:val="15"/>
                <w:szCs w:val="15"/>
                <w:highlight w:val="none"/>
                <w:lang w:eastAsia="zh-CN"/>
              </w:rPr>
              <w:t>；</w:t>
            </w:r>
            <w:r>
              <w:rPr>
                <w:rFonts w:hint="eastAsia" w:asciiTheme="minorEastAsia" w:hAnsiTheme="minorEastAsia" w:eastAsiaTheme="minorEastAsia" w:cstheme="minorEastAsia"/>
                <w:strike w:val="0"/>
                <w:dstrike w:val="0"/>
                <w:color w:val="auto"/>
                <w:kern w:val="0"/>
                <w:sz w:val="15"/>
                <w:szCs w:val="15"/>
                <w:highlight w:val="none"/>
                <w:lang w:val="en-US" w:eastAsia="zh-CN"/>
              </w:rPr>
              <w:t>6</w:t>
            </w:r>
            <w:r>
              <w:rPr>
                <w:rFonts w:hint="eastAsia" w:asciiTheme="minorEastAsia" w:hAnsiTheme="minorEastAsia" w:eastAsiaTheme="minorEastAsia" w:cstheme="minorEastAsia"/>
                <w:strike w:val="0"/>
                <w:dstrike w:val="0"/>
                <w:color w:val="auto"/>
                <w:kern w:val="0"/>
                <w:sz w:val="15"/>
                <w:szCs w:val="15"/>
                <w:highlight w:val="none"/>
                <w:lang w:eastAsia="zh-CN"/>
              </w:rPr>
              <w:t>.4项＜排入点污水水质超标项数且单项水质超标倍数＞</w:t>
            </w:r>
            <w:r>
              <w:rPr>
                <w:rFonts w:hint="eastAsia" w:asciiTheme="minorEastAsia" w:hAnsiTheme="minorEastAsia" w:eastAsiaTheme="minorEastAsia" w:cstheme="minorEastAsia"/>
                <w:strike w:val="0"/>
                <w:dstrike w:val="0"/>
                <w:color w:val="auto"/>
                <w:kern w:val="0"/>
                <w:sz w:val="15"/>
                <w:szCs w:val="15"/>
                <w:highlight w:val="none"/>
                <w:lang w:val="en-US" w:eastAsia="zh-CN"/>
              </w:rPr>
              <w:t>10</w:t>
            </w:r>
            <w:r>
              <w:rPr>
                <w:rFonts w:hint="eastAsia" w:asciiTheme="minorEastAsia" w:hAnsiTheme="minorEastAsia" w:eastAsiaTheme="minorEastAsia" w:cstheme="minorEastAsia"/>
                <w:strike w:val="0"/>
                <w:dstrike w:val="0"/>
                <w:color w:val="auto"/>
                <w:kern w:val="0"/>
                <w:sz w:val="15"/>
                <w:szCs w:val="15"/>
                <w:highlight w:val="none"/>
                <w:lang w:eastAsia="zh-CN"/>
              </w:rPr>
              <w:t>倍，系数为1。</w:t>
            </w:r>
            <w:r>
              <w:rPr>
                <w:rFonts w:hint="eastAsia" w:asciiTheme="minorEastAsia" w:hAnsiTheme="minorEastAsia" w:eastAsiaTheme="minorEastAsia" w:cstheme="minorEastAsia"/>
                <w:strike w:val="0"/>
                <w:dstrike w:val="0"/>
                <w:color w:val="auto"/>
                <w:kern w:val="0"/>
                <w:sz w:val="15"/>
                <w:szCs w:val="15"/>
                <w:highlight w:val="none"/>
                <w:lang w:val="en-US" w:eastAsia="zh-CN"/>
              </w:rPr>
              <w:t>7.</w:t>
            </w:r>
            <w:r>
              <w:rPr>
                <w:rFonts w:hint="eastAsia" w:asciiTheme="minorEastAsia" w:hAnsiTheme="minorEastAsia" w:eastAsiaTheme="minorEastAsia" w:cstheme="minorEastAsia"/>
                <w:strike w:val="0"/>
                <w:dstrike w:val="0"/>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8C2259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23F661B1">
            <w:pPr>
              <w:widowControl/>
              <w:jc w:val="left"/>
              <w:rPr>
                <w:rFonts w:hint="eastAsia" w:asciiTheme="minorEastAsia" w:hAnsiTheme="minorEastAsia" w:eastAsiaTheme="minorEastAsia" w:cstheme="minorEastAsia"/>
                <w:color w:val="auto"/>
                <w:kern w:val="0"/>
                <w:sz w:val="15"/>
                <w:szCs w:val="15"/>
                <w:highlight w:val="none"/>
                <w:lang w:eastAsia="zh-CN"/>
              </w:rPr>
            </w:pPr>
            <w:r>
              <w:rPr>
                <w:rFonts w:hint="eastAsia" w:asciiTheme="minorEastAsia" w:hAnsiTheme="minorEastAsia" w:eastAsiaTheme="minorEastAsia" w:cstheme="minorEastAsia"/>
                <w:color w:val="auto"/>
                <w:kern w:val="0"/>
                <w:sz w:val="15"/>
                <w:szCs w:val="15"/>
                <w:highlight w:val="none"/>
              </w:rPr>
              <w:t>存在以下情形之一的，可视为严重后果：1.排入点污水水质超标项数＞4项且有单项水质超标倍数＞5倍的</w:t>
            </w:r>
            <w:r>
              <w:rPr>
                <w:rFonts w:hint="eastAsia" w:asciiTheme="minorEastAsia" w:hAnsiTheme="minorEastAsia" w:eastAsiaTheme="minorEastAsia" w:cstheme="minorEastAsia"/>
                <w:color w:val="auto"/>
                <w:kern w:val="0"/>
                <w:sz w:val="15"/>
                <w:szCs w:val="15"/>
                <w:highlight w:val="none"/>
                <w:lang w:eastAsia="zh-CN"/>
              </w:rPr>
              <w:t>。</w:t>
            </w:r>
          </w:p>
        </w:tc>
      </w:tr>
      <w:tr w14:paraId="576662E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4152"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3BF23675">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6AFDAC02">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44EE8FB4">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7FE9FE6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73C83F9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050E4B0">
            <w:pPr>
              <w:widowControl/>
              <w:numPr>
                <w:ilvl w:val="0"/>
                <w:numId w:val="0"/>
              </w:numPr>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lang w:eastAsia="zh-CN"/>
              </w:rPr>
              <w:t>（一）</w:t>
            </w:r>
            <w:r>
              <w:rPr>
                <w:rFonts w:hint="eastAsia" w:asciiTheme="minorEastAsia" w:hAnsiTheme="minorEastAsia" w:eastAsiaTheme="minorEastAsia" w:cstheme="minorEastAsia"/>
                <w:color w:val="auto"/>
                <w:kern w:val="0"/>
                <w:sz w:val="15"/>
                <w:szCs w:val="15"/>
                <w:highlight w:val="none"/>
              </w:rPr>
              <w:t>限期改正，且未造成严重后果，给予警告。（二）逾期不改正，但未造成严重后果，处以下罚款：1.排入点污水水质超标项数＜2项，系数为0；2.2项≤排入点污水水质超标项数＜4项，系数为2；3.4项≤排入点污水水质超标项数，系数为4。4.存在基准2.1.3规定情形的，系数按照相关规定确定（基准2.1.3.5不适用）。</w:t>
            </w:r>
          </w:p>
          <w:p w14:paraId="0AE116A6">
            <w:pPr>
              <w:widowControl/>
              <w:numPr>
                <w:ilvl w:val="0"/>
                <w:numId w:val="0"/>
              </w:numPr>
              <w:jc w:val="left"/>
              <w:rPr>
                <w:rFonts w:hint="eastAsia" w:asciiTheme="minorEastAsia" w:hAnsiTheme="minorEastAsia" w:eastAsiaTheme="minorEastAsia" w:cstheme="minorEastAsia"/>
                <w:color w:val="auto"/>
                <w:kern w:val="0"/>
                <w:sz w:val="15"/>
                <w:szCs w:val="15"/>
                <w:highlight w:val="none"/>
                <w:lang w:eastAsia="zh-CN"/>
              </w:rPr>
            </w:pPr>
            <w:r>
              <w:rPr>
                <w:rFonts w:hint="eastAsia" w:asciiTheme="minorEastAsia" w:hAnsiTheme="minorEastAsia" w:eastAsiaTheme="minorEastAsia" w:cstheme="minorEastAsia"/>
                <w:strike w:val="0"/>
                <w:dstrike w:val="0"/>
                <w:color w:val="auto"/>
                <w:kern w:val="0"/>
                <w:sz w:val="15"/>
                <w:szCs w:val="15"/>
                <w:highlight w:val="none"/>
                <w:lang w:eastAsia="zh-CN"/>
              </w:rPr>
              <w:t>（三）造成严重后果，处以下罚款：1.4项＜排入点污水水质超标项数且5倍＜单项水质超标倍数≤6倍，系数为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0</w:t>
            </w:r>
            <w:r>
              <w:rPr>
                <w:rFonts w:hint="eastAsia" w:asciiTheme="minorEastAsia" w:hAnsiTheme="minorEastAsia" w:eastAsiaTheme="minorEastAsia" w:cstheme="minorEastAsia"/>
                <w:strike w:val="0"/>
                <w:dstrike w:val="0"/>
                <w:color w:val="auto"/>
                <w:kern w:val="0"/>
                <w:sz w:val="15"/>
                <w:szCs w:val="15"/>
                <w:highlight w:val="none"/>
                <w:lang w:eastAsia="zh-CN"/>
              </w:rPr>
              <w:t>；2.4项＜排入点污水水质超标项数且6倍＜单项水质超标倍数≤7倍，系数为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1</w:t>
            </w:r>
            <w:r>
              <w:rPr>
                <w:rFonts w:hint="eastAsia" w:asciiTheme="minorEastAsia" w:hAnsiTheme="minorEastAsia" w:eastAsiaTheme="minorEastAsia" w:cstheme="minorEastAsia"/>
                <w:strike w:val="0"/>
                <w:dstrike w:val="0"/>
                <w:color w:val="auto"/>
                <w:kern w:val="0"/>
                <w:sz w:val="15"/>
                <w:szCs w:val="15"/>
                <w:highlight w:val="none"/>
                <w:lang w:eastAsia="zh-CN"/>
              </w:rPr>
              <w:t>；3.4项＜排入点污水水质超标项数且7倍＜单项水质超标倍数≤8倍，系数为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2</w:t>
            </w:r>
            <w:r>
              <w:rPr>
                <w:rFonts w:hint="eastAsia" w:asciiTheme="minorEastAsia" w:hAnsiTheme="minorEastAsia" w:eastAsiaTheme="minorEastAsia" w:cstheme="minorEastAsia"/>
                <w:strike w:val="0"/>
                <w:dstrike w:val="0"/>
                <w:color w:val="auto"/>
                <w:kern w:val="0"/>
                <w:sz w:val="15"/>
                <w:szCs w:val="15"/>
                <w:highlight w:val="none"/>
                <w:lang w:eastAsia="zh-CN"/>
              </w:rPr>
              <w:t>；4.4项＜排入点污水水质超标项数且8倍＜单项水质超标倍数≤9倍，系数为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3</w:t>
            </w:r>
            <w:r>
              <w:rPr>
                <w:rFonts w:hint="eastAsia" w:asciiTheme="minorEastAsia" w:hAnsiTheme="minorEastAsia" w:eastAsiaTheme="minorEastAsia" w:cstheme="minorEastAsia"/>
                <w:strike w:val="0"/>
                <w:dstrike w:val="0"/>
                <w:color w:val="auto"/>
                <w:kern w:val="0"/>
                <w:sz w:val="15"/>
                <w:szCs w:val="15"/>
                <w:highlight w:val="none"/>
                <w:lang w:eastAsia="zh-CN"/>
              </w:rPr>
              <w:t>；5.4项＜排入点污水水质超标项数且单项水质超标倍数＞9倍，系数为</w:t>
            </w:r>
            <w:r>
              <w:rPr>
                <w:rFonts w:hint="eastAsia" w:asciiTheme="minorEastAsia" w:hAnsiTheme="minorEastAsia" w:eastAsiaTheme="minorEastAsia" w:cstheme="minorEastAsia"/>
                <w:strike w:val="0"/>
                <w:dstrike w:val="0"/>
                <w:color w:val="auto"/>
                <w:kern w:val="0"/>
                <w:sz w:val="15"/>
                <w:szCs w:val="15"/>
                <w:highlight w:val="none"/>
                <w:lang w:val="en-US" w:eastAsia="zh-CN"/>
              </w:rPr>
              <w:t>4</w:t>
            </w:r>
            <w:r>
              <w:rPr>
                <w:rFonts w:hint="eastAsia" w:asciiTheme="minorEastAsia" w:hAnsiTheme="minorEastAsia" w:eastAsiaTheme="minorEastAsia" w:cstheme="minorEastAsia"/>
                <w:strike w:val="0"/>
                <w:dstrike w:val="0"/>
                <w:color w:val="auto"/>
                <w:kern w:val="0"/>
                <w:sz w:val="15"/>
                <w:szCs w:val="15"/>
                <w:highlight w:val="none"/>
                <w:lang w:eastAsia="zh-CN"/>
              </w:rPr>
              <w:t>。6.存在基准2.1.3规定情形的，系数按照相关规定确定（基准2.1.3.5不适用）。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E846CE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continue"/>
            <w:tcBorders>
              <w:top w:val="nil"/>
              <w:left w:val="single" w:color="auto" w:sz="4" w:space="0"/>
              <w:bottom w:val="single" w:color="auto" w:sz="4" w:space="0"/>
              <w:right w:val="single" w:color="auto" w:sz="4" w:space="0"/>
            </w:tcBorders>
            <w:vAlign w:val="center"/>
          </w:tcPr>
          <w:p w14:paraId="66D33FDB">
            <w:pPr>
              <w:widowControl/>
              <w:jc w:val="left"/>
              <w:rPr>
                <w:rFonts w:hint="eastAsia" w:asciiTheme="minorEastAsia" w:hAnsiTheme="minorEastAsia" w:eastAsiaTheme="minorEastAsia" w:cstheme="minorEastAsia"/>
                <w:color w:val="auto"/>
                <w:kern w:val="0"/>
                <w:sz w:val="15"/>
                <w:szCs w:val="15"/>
                <w:highlight w:val="none"/>
              </w:rPr>
            </w:pPr>
          </w:p>
        </w:tc>
      </w:tr>
      <w:tr w14:paraId="0CFC123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0" w:hRule="atLeast"/>
        </w:trPr>
        <w:tc>
          <w:tcPr>
            <w:tcW w:w="612"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89F337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16053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排水户未取得排水许可证向城镇排水设施排放污水</w:t>
            </w:r>
          </w:p>
        </w:tc>
        <w:tc>
          <w:tcPr>
            <w:tcW w:w="279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FD5B1C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违反条款：《办法》第四条第一款；《条例》第二十一条第一款；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七条，责令停止违法行为，限期采取治理措施，补办排水许可证，可以处50万元以下罚款；对列入重点排污单位名录的排水户，可以处30万元以上50万元以下罚款；《条例》第五十条第一款，责令停止违法行为，限期采取治理措施，补办污水排入排水管网许可证，可以处50万元以下罚款。</w:t>
            </w:r>
          </w:p>
        </w:tc>
        <w:tc>
          <w:tcPr>
            <w:tcW w:w="86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744700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14:paraId="092C39D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E339C5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不在重点排污名录，处以下罚款：1.无证排水持续时间＜30天，系数为0；2.30天≤无证排水持续时间＜60天，系数为2；3.60天≤无证排水持续时间＜90天，系数为4；4.90天≤无证排水持续时间＜120天，系数为6；5.120天≤无证排水持续时间＜150天，系数为8；6.150天≤无证排水持续时间，系数为9。7.存在基准2.1.3规定情形的，系数按照相关规定确定（基准2.1.3.5不适用）。</w:t>
            </w:r>
          </w:p>
        </w:tc>
        <w:tc>
          <w:tcPr>
            <w:tcW w:w="188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18B298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14:paraId="0B77A42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72A9C33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470" w:hRule="atLeast"/>
        </w:trPr>
        <w:tc>
          <w:tcPr>
            <w:tcW w:w="612"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2FA6A19B">
            <w:pPr>
              <w:widowControl/>
              <w:jc w:val="center"/>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single" w:color="auto" w:sz="4" w:space="0"/>
              <w:left w:val="nil"/>
              <w:bottom w:val="single" w:color="auto" w:sz="4" w:space="0"/>
              <w:right w:val="single" w:color="auto" w:sz="4" w:space="0"/>
            </w:tcBorders>
            <w:shd w:val="clear" w:color="auto" w:fill="auto"/>
            <w:vAlign w:val="center"/>
          </w:tcPr>
          <w:p w14:paraId="615B639B">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single" w:color="auto" w:sz="4" w:space="0"/>
              <w:left w:val="nil"/>
              <w:bottom w:val="single" w:color="auto" w:sz="4" w:space="0"/>
              <w:right w:val="single" w:color="auto" w:sz="4" w:space="0"/>
            </w:tcBorders>
            <w:shd w:val="clear" w:color="auto" w:fill="auto"/>
            <w:vAlign w:val="center"/>
          </w:tcPr>
          <w:p w14:paraId="700B2F75">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single" w:color="auto" w:sz="4" w:space="0"/>
              <w:left w:val="nil"/>
              <w:bottom w:val="single" w:color="auto" w:sz="4" w:space="0"/>
              <w:right w:val="single" w:color="auto" w:sz="4" w:space="0"/>
            </w:tcBorders>
            <w:shd w:val="clear" w:color="auto" w:fill="auto"/>
            <w:vAlign w:val="center"/>
          </w:tcPr>
          <w:p w14:paraId="2C007186">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300000</w:t>
            </w:r>
          </w:p>
        </w:tc>
        <w:tc>
          <w:tcPr>
            <w:tcW w:w="840" w:type="dxa"/>
            <w:tcBorders>
              <w:top w:val="single" w:color="auto" w:sz="4" w:space="0"/>
              <w:left w:val="nil"/>
              <w:bottom w:val="single" w:color="auto" w:sz="4" w:space="0"/>
              <w:right w:val="single" w:color="auto" w:sz="4" w:space="0"/>
            </w:tcBorders>
            <w:shd w:val="clear" w:color="auto" w:fill="auto"/>
            <w:vAlign w:val="center"/>
          </w:tcPr>
          <w:p w14:paraId="533E6F63">
            <w:pPr>
              <w:widowControl/>
              <w:jc w:val="center"/>
              <w:rPr>
                <w:rFonts w:hint="eastAsia" w:asciiTheme="minorEastAsia" w:hAnsiTheme="minorEastAsia" w:eastAsiaTheme="minorEastAsia" w:cstheme="minorEastAsia"/>
                <w:color w:val="auto"/>
                <w:kern w:val="0"/>
                <w:sz w:val="15"/>
                <w:szCs w:val="15"/>
                <w:highlight w:val="none"/>
                <w:lang w:val="en-US" w:eastAsia="zh-CN"/>
              </w:rPr>
            </w:pPr>
            <w:r>
              <w:rPr>
                <w:rFonts w:hint="eastAsia" w:asciiTheme="minorEastAsia" w:hAnsiTheme="minorEastAsia" w:eastAsiaTheme="minorEastAsia" w:cstheme="minorEastAsia"/>
                <w:color w:val="auto"/>
                <w:kern w:val="0"/>
                <w:sz w:val="15"/>
                <w:szCs w:val="15"/>
                <w:highlight w:val="none"/>
                <w:lang w:val="en-US" w:eastAsia="zh-CN"/>
              </w:rPr>
              <w:t>1</w:t>
            </w:r>
          </w:p>
        </w:tc>
        <w:tc>
          <w:tcPr>
            <w:tcW w:w="3430" w:type="dxa"/>
            <w:gridSpan w:val="2"/>
            <w:tcBorders>
              <w:top w:val="single" w:color="auto" w:sz="4" w:space="0"/>
              <w:left w:val="nil"/>
              <w:bottom w:val="single" w:color="auto" w:sz="4" w:space="0"/>
              <w:right w:val="single" w:color="auto" w:sz="4" w:space="0"/>
            </w:tcBorders>
            <w:shd w:val="clear" w:color="auto" w:fill="auto"/>
            <w:vAlign w:val="center"/>
          </w:tcPr>
          <w:p w14:paraId="3353562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在重点排污名录，处以下罚款：1.无证排水持续时间＜30天，系数为</w:t>
            </w:r>
            <w:r>
              <w:rPr>
                <w:rFonts w:hint="eastAsia" w:asciiTheme="minorEastAsia" w:hAnsiTheme="minorEastAsia" w:eastAsiaTheme="minorEastAsia" w:cstheme="minorEastAsia"/>
                <w:color w:val="auto"/>
                <w:kern w:val="0"/>
                <w:sz w:val="15"/>
                <w:szCs w:val="15"/>
                <w:highlight w:val="none"/>
                <w:lang w:val="en-US" w:eastAsia="zh-CN"/>
              </w:rPr>
              <w:t>0</w:t>
            </w:r>
            <w:r>
              <w:rPr>
                <w:rFonts w:hint="eastAsia" w:asciiTheme="minorEastAsia" w:hAnsiTheme="minorEastAsia" w:eastAsiaTheme="minorEastAsia" w:cstheme="minorEastAsia"/>
                <w:color w:val="auto"/>
                <w:kern w:val="0"/>
                <w:sz w:val="15"/>
                <w:szCs w:val="15"/>
                <w:highlight w:val="none"/>
              </w:rPr>
              <w:t>；30天≤无证排水持续时间＜45天，系数为</w:t>
            </w:r>
            <w:r>
              <w:rPr>
                <w:rFonts w:hint="eastAsia" w:asciiTheme="minorEastAsia" w:hAnsiTheme="minorEastAsia" w:eastAsiaTheme="minorEastAsia" w:cstheme="minorEastAsia"/>
                <w:color w:val="auto"/>
                <w:kern w:val="0"/>
                <w:sz w:val="15"/>
                <w:szCs w:val="15"/>
                <w:highlight w:val="none"/>
                <w:lang w:val="en-US" w:eastAsia="zh-CN"/>
              </w:rPr>
              <w:t>0.1</w:t>
            </w:r>
            <w:r>
              <w:rPr>
                <w:rFonts w:hint="eastAsia" w:asciiTheme="minorEastAsia" w:hAnsiTheme="minorEastAsia" w:eastAsiaTheme="minorEastAsia" w:cstheme="minorEastAsia"/>
                <w:color w:val="auto"/>
                <w:kern w:val="0"/>
                <w:sz w:val="15"/>
                <w:szCs w:val="15"/>
                <w:highlight w:val="none"/>
              </w:rPr>
              <w:t>；无证排水持续时间每增加15天（不足15天，按15天计），系数加0.</w:t>
            </w:r>
            <w:r>
              <w:rPr>
                <w:rFonts w:hint="eastAsia" w:asciiTheme="minorEastAsia" w:hAnsiTheme="minorEastAsia" w:eastAsiaTheme="minorEastAsia" w:cstheme="minorEastAsia"/>
                <w:color w:val="auto"/>
                <w:kern w:val="0"/>
                <w:sz w:val="15"/>
                <w:szCs w:val="15"/>
                <w:highlight w:val="none"/>
                <w:lang w:val="en-US" w:eastAsia="zh-CN"/>
              </w:rPr>
              <w:t>1，罚款金额不超过50万元</w:t>
            </w:r>
            <w:r>
              <w:rPr>
                <w:rFonts w:hint="eastAsia" w:asciiTheme="minorEastAsia" w:hAnsiTheme="minorEastAsia" w:eastAsiaTheme="minorEastAsia" w:cstheme="minorEastAsia"/>
                <w:color w:val="auto"/>
                <w:kern w:val="0"/>
                <w:sz w:val="15"/>
                <w:szCs w:val="15"/>
                <w:highlight w:val="none"/>
              </w:rPr>
              <w:t>。2.存在基准2.1.3规定情形的，系数按照相关规定确定（基准2.1.3.5不适用）。</w:t>
            </w:r>
          </w:p>
        </w:tc>
        <w:tc>
          <w:tcPr>
            <w:tcW w:w="1881" w:type="dxa"/>
            <w:gridSpan w:val="2"/>
            <w:tcBorders>
              <w:top w:val="single" w:color="auto" w:sz="4" w:space="0"/>
              <w:left w:val="nil"/>
              <w:bottom w:val="single" w:color="auto" w:sz="4" w:space="0"/>
              <w:right w:val="single" w:color="auto" w:sz="4" w:space="0"/>
            </w:tcBorders>
            <w:shd w:val="clear" w:color="auto" w:fill="auto"/>
            <w:vAlign w:val="center"/>
          </w:tcPr>
          <w:p w14:paraId="569DD30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30</w:t>
            </w:r>
            <w:r>
              <w:rPr>
                <w:rFonts w:hint="eastAsia" w:asciiTheme="minorEastAsia" w:hAnsiTheme="minorEastAsia" w:eastAsiaTheme="minorEastAsia" w:cstheme="minorEastAsia"/>
                <w:color w:val="auto"/>
                <w:kern w:val="0"/>
                <w:sz w:val="15"/>
                <w:szCs w:val="15"/>
                <w:highlight w:val="none"/>
              </w:rPr>
              <w:t>0000×（1+情节系数）</w:t>
            </w:r>
          </w:p>
        </w:tc>
        <w:tc>
          <w:tcPr>
            <w:tcW w:w="1972" w:type="dxa"/>
            <w:tcBorders>
              <w:top w:val="single" w:color="auto" w:sz="4" w:space="0"/>
              <w:left w:val="nil"/>
              <w:bottom w:val="single" w:color="auto" w:sz="4" w:space="0"/>
              <w:right w:val="single" w:color="auto" w:sz="4" w:space="0"/>
            </w:tcBorders>
            <w:shd w:val="clear" w:color="auto" w:fill="auto"/>
            <w:vAlign w:val="center"/>
          </w:tcPr>
          <w:p w14:paraId="23EF7A9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重点排污名录以相关主管部门官方公布为准。</w:t>
            </w:r>
            <w:r>
              <w:rPr>
                <w:rFonts w:hint="eastAsia" w:asciiTheme="minorEastAsia" w:hAnsiTheme="minorEastAsia" w:eastAsiaTheme="minorEastAsia" w:cstheme="minorEastAsia"/>
                <w:color w:val="auto"/>
                <w:kern w:val="0"/>
                <w:sz w:val="15"/>
                <w:szCs w:val="15"/>
                <w:highlight w:val="none"/>
              </w:rPr>
              <w:br w:type="textWrapping"/>
            </w:r>
          </w:p>
        </w:tc>
      </w:tr>
      <w:tr w14:paraId="6E9ADE4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8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01509A3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2531672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排水户不按照排水许可证的要求排放污水</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2ECC18F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违反条款：《办法》第十三条；《条例》第二十一条第二款；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八条，责令停止违法行为，限期改正，可以处5万元以下罚款；造成严重后果的，吊销排水许可证，并处5万元以上50万元以下罚款，对列入重点排污单位名录的排水户，处30万元以上50万元以下罚款；《条例》第五十条第二款，责令停止违法行为，限期改正，可以处5万元以下罚款；造成严重后果的，吊销污水排入排水管网许可证，并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506C9A7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7428822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8C5B49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造成严重后果的：1.日用水量＜200立方米，系数为0；200立方米≤日用水量，系数为1。2.超标项数=1项，系数为0；超标项数=2项，系数为1；超标项数=3项，系数为2；超标项数=4项，系数为3；超标项数=5项，系数为4；超标项数≥6项，系数为5。3.超标倍数＜1倍，系数为0；1倍≤超标倍数＜2倍，系数为1；2倍≤超标倍数＜3倍，系数为2；3倍≤超标倍数＜4倍，系数为3；4倍≤超标倍数，系数为4。4.排水口数量超出许可要求、排水口位置不在许可范围、排水量超出许可范围，符合1项的，系数为0，每增加1项，系数加1。超标倍数取单项超标倍数最高值、同一排水项目多个排水口相同超标项项数不累加。5.存在基准2.1.3规定情形的，系数按照相关规定确定（基准2.1.3.5不适用）。罚款金额不得超过5万元。</w:t>
            </w:r>
          </w:p>
        </w:tc>
        <w:tc>
          <w:tcPr>
            <w:tcW w:w="1881" w:type="dxa"/>
            <w:gridSpan w:val="2"/>
            <w:tcBorders>
              <w:top w:val="nil"/>
              <w:left w:val="nil"/>
              <w:bottom w:val="single" w:color="auto" w:sz="4" w:space="0"/>
              <w:right w:val="single" w:color="auto" w:sz="4" w:space="0"/>
            </w:tcBorders>
            <w:shd w:val="clear" w:color="auto" w:fill="auto"/>
            <w:vAlign w:val="center"/>
          </w:tcPr>
          <w:p w14:paraId="360E19B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69B6B5B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（一）存在以下情形之一的，可视为造成严重后果：1.粪大肠菌群超标倍数＞100、石油类超标倍数＞2、PH值＜5或PH值＞11、</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检测项存在超过5倍的单项指标，以上四类情形满足两类及以上；2.一年度内三次发生同地点同类型违法行为。拟作出吊销排水许可证的，在作出处罚决定前，要邀请行业主管部门共同会商。</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4C15F79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6A531535">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55FA7BC9">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559F9F5C">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3A49A9C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14:paraId="4F882FE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F2D405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的：1.日用水量＜200立方米，系数为0；200立方米≤日用水量，系数为1。2.超标项数=1项，系数为0；超标项数=2项，系数为1；超标项数=3项，系数为2；超标项数=4项，系数为3；超标项数=5项，系数为4；超标项数≥6项，系数为5。3.排放污染物项目超出许可要求、排水口数量超出许可要求、排水口位置不在许可范围、排水量超出许可范围，符合1项的，系数为0，每增加1项，系数加1。4.列入重点排污单位名录的排水户，系数为5。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429784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continue"/>
            <w:tcBorders>
              <w:top w:val="nil"/>
              <w:left w:val="single" w:color="auto" w:sz="4" w:space="0"/>
              <w:bottom w:val="single" w:color="auto" w:sz="4" w:space="0"/>
              <w:right w:val="single" w:color="auto" w:sz="4" w:space="0"/>
            </w:tcBorders>
            <w:vAlign w:val="center"/>
          </w:tcPr>
          <w:p w14:paraId="7342EDBD">
            <w:pPr>
              <w:widowControl/>
              <w:jc w:val="left"/>
              <w:rPr>
                <w:rFonts w:hint="eastAsia" w:asciiTheme="minorEastAsia" w:hAnsiTheme="minorEastAsia" w:eastAsiaTheme="minorEastAsia" w:cstheme="minorEastAsia"/>
                <w:color w:val="auto"/>
                <w:kern w:val="0"/>
                <w:sz w:val="15"/>
                <w:szCs w:val="15"/>
                <w:highlight w:val="none"/>
              </w:rPr>
            </w:pPr>
          </w:p>
        </w:tc>
      </w:tr>
      <w:tr w14:paraId="1259DD7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57F9760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7698E5D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从事危及城镇排水与污水处理设施安全的活动</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66A0F6D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违反条款：《办法》第十四条；《条例》第四十二条；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二条，责令停止违法行为，限期恢复原状或者采取其他补救措施，并给予警告；逾期不采取补救措施或者造成严重后果的，对单位处10万元以上30万元以下罚款，对个人处2万元以上10万元以下罚款；《条例》第五十六条，责令停止违法行为，限期恢复原状或者采取其他补救措施，给予警告；逾期不采取补救措施或者造成严重后果的，对单位处10万元以上30万元以下罚款，对个人处2万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013CCF6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（单位）</w:t>
            </w:r>
          </w:p>
        </w:tc>
        <w:tc>
          <w:tcPr>
            <w:tcW w:w="840" w:type="dxa"/>
            <w:tcBorders>
              <w:top w:val="nil"/>
              <w:left w:val="nil"/>
              <w:bottom w:val="single" w:color="auto" w:sz="4" w:space="0"/>
              <w:right w:val="single" w:color="auto" w:sz="4" w:space="0"/>
            </w:tcBorders>
            <w:shd w:val="clear" w:color="auto" w:fill="auto"/>
            <w:vAlign w:val="center"/>
          </w:tcPr>
          <w:p w14:paraId="7EB86FC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348CD8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直接经济损失＜1万元，系数为0；1万元≤直接经济损失＜3万元，系数为0.2；直接经济损失每增加2万元（不足2万元，按2万元计），系数加0.2；19万元≤直接经济损失，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1AFFD0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240A5A5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（一）存在以下情形之一的，可视为严重后果：1.发生一般及以上安全事故的；2.造成城镇污水处理厂排放超标或污染物外溢且影响户数＞1000户；3.经执法部门处罚后，一年度内再次发生同类型违法行为。</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（二）当事人为排水户时，优先适用《城镇污水排入排水管网许可管理办法》；当事人为非排水户时，适用《城镇排水与污水处理条例》。</w:t>
            </w:r>
          </w:p>
        </w:tc>
      </w:tr>
      <w:tr w14:paraId="69FF2DF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2230757F">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492A767C">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025A7498">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0A282E2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12C8D11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C4A260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（一）限期改正，且未造成严重后果，给予警告。（二）逾期不改正</w:t>
            </w:r>
            <w:r>
              <w:rPr>
                <w:rFonts w:hint="eastAsia" w:asciiTheme="minorEastAsia" w:hAnsiTheme="minorEastAsia" w:eastAsiaTheme="minorEastAsia" w:cstheme="minorEastAsia"/>
                <w:color w:val="auto"/>
                <w:kern w:val="0"/>
                <w:sz w:val="15"/>
                <w:szCs w:val="15"/>
                <w:highlight w:val="none"/>
                <w:lang w:eastAsia="zh-CN"/>
              </w:rPr>
              <w:t>或造成严重后果</w:t>
            </w:r>
            <w:r>
              <w:rPr>
                <w:rFonts w:hint="eastAsia" w:asciiTheme="minorEastAsia" w:hAnsiTheme="minorEastAsia" w:eastAsiaTheme="minorEastAsia" w:cstheme="minorEastAsia"/>
                <w:color w:val="auto"/>
                <w:kern w:val="0"/>
                <w:sz w:val="15"/>
                <w:szCs w:val="15"/>
                <w:highlight w:val="none"/>
              </w:rPr>
              <w:t>，处以下罚款：1.直接经济损失＜1万元，系数为0；2.1万元≤直接经济损失＜5万元，系数为1；3.5万元≤直接经济损失＜10万元，系数为2；4.10万元≤直接经济损失＜20万元，系数为3；5.20万元≤直接经济损失，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B57E9C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continue"/>
            <w:tcBorders>
              <w:top w:val="nil"/>
              <w:left w:val="single" w:color="auto" w:sz="4" w:space="0"/>
              <w:bottom w:val="single" w:color="auto" w:sz="4" w:space="0"/>
              <w:right w:val="single" w:color="auto" w:sz="4" w:space="0"/>
            </w:tcBorders>
            <w:vAlign w:val="center"/>
          </w:tcPr>
          <w:p w14:paraId="49FF7B03">
            <w:pPr>
              <w:widowControl/>
              <w:jc w:val="left"/>
              <w:rPr>
                <w:rFonts w:hint="eastAsia" w:asciiTheme="minorEastAsia" w:hAnsiTheme="minorEastAsia" w:eastAsiaTheme="minorEastAsia" w:cstheme="minorEastAsia"/>
                <w:color w:val="auto"/>
                <w:kern w:val="0"/>
                <w:sz w:val="15"/>
                <w:szCs w:val="15"/>
                <w:highlight w:val="none"/>
              </w:rPr>
            </w:pPr>
          </w:p>
        </w:tc>
      </w:tr>
      <w:tr w14:paraId="6B6CA10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645FDD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14:paraId="1D1FE43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排水户名称、法定代表人等其他事项变更未按规定办理变更手续</w:t>
            </w:r>
          </w:p>
        </w:tc>
        <w:tc>
          <w:tcPr>
            <w:tcW w:w="2793" w:type="dxa"/>
            <w:gridSpan w:val="2"/>
            <w:tcBorders>
              <w:top w:val="nil"/>
              <w:left w:val="nil"/>
              <w:bottom w:val="single" w:color="auto" w:sz="4" w:space="0"/>
              <w:right w:val="single" w:color="auto" w:sz="4" w:space="0"/>
            </w:tcBorders>
            <w:shd w:val="clear" w:color="auto" w:fill="auto"/>
            <w:vAlign w:val="center"/>
          </w:tcPr>
          <w:p w14:paraId="45008C1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处罚条款：《办法》第二十九条，责令改正，可以处1万元以下罚款。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77C8A9F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14:paraId="193252B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65F0FC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持续时间＜15天，系数为0；2.15天≤违法行为持续时间＜30天，系数为2；3.30天≤违法行为持续时间＜45天，系数为4；4.45天≤违法行为持续时间＜60天，系数为6；5.60天≤违法行为持续时间，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02B99C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14:paraId="78971D6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14:paraId="43DEB9A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A2F25E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14:paraId="300949D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排水户因发生事故或者其他突发事件，排放的污水可能危及城镇排水与污水处理设施安全运行，没有立即暂停排放，未采取措施消除危害，或者并未按规定及时向城镇排水主管部门等有关部门报告</w:t>
            </w:r>
          </w:p>
        </w:tc>
        <w:tc>
          <w:tcPr>
            <w:tcW w:w="2793" w:type="dxa"/>
            <w:gridSpan w:val="2"/>
            <w:tcBorders>
              <w:top w:val="nil"/>
              <w:left w:val="nil"/>
              <w:bottom w:val="single" w:color="auto" w:sz="4" w:space="0"/>
              <w:right w:val="single" w:color="auto" w:sz="4" w:space="0"/>
            </w:tcBorders>
            <w:shd w:val="clear" w:color="auto" w:fill="auto"/>
            <w:vAlign w:val="center"/>
          </w:tcPr>
          <w:p w14:paraId="3131E6E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违反条款：《办法》第十五条；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处罚条款：《办法》第三十一条，可以处3万元以下罚款。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231AEB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14:paraId="3970A38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724AD7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持续时间＜5天，系数为0；5天≤违法行为持续时间＜10天，系数为2；10天≤违法行为持续时间＜15天，系数为4；15天≤违法行为持续时间＜20天，系数为6；20天≤违法行为持续时间或造成严重后果的，系数为9。2.同时构成没有立即暂停排放，未采取措施消除危害，或者并未按规定报告两种情形的，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A9C753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14:paraId="7E9A607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需要作出3000元以下罚款决定的，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3F8538D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7DD6E7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14:paraId="2FEFD6B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重点排水户未按照本办法规定建立档案管理制度，或者档案记录保存期限少于5年</w:t>
            </w:r>
          </w:p>
        </w:tc>
        <w:tc>
          <w:tcPr>
            <w:tcW w:w="2793" w:type="dxa"/>
            <w:gridSpan w:val="2"/>
            <w:tcBorders>
              <w:top w:val="nil"/>
              <w:left w:val="nil"/>
              <w:bottom w:val="single" w:color="auto" w:sz="4" w:space="0"/>
              <w:right w:val="single" w:color="auto" w:sz="4" w:space="0"/>
            </w:tcBorders>
            <w:shd w:val="clear" w:color="auto" w:fill="auto"/>
            <w:vAlign w:val="center"/>
          </w:tcPr>
          <w:p w14:paraId="7708811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违反条款：《办法》第十七条第一款；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处罚条款：《办法》第三十三条，责令改正，可以处3万元以下罚款。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527FAA2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14:paraId="329DB44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44AD0E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1.4年≤档案记录保存期限＜5年，系数为0；  3年≤档案记录保存期限＜4年，系数为1；  2年≤档案记录保存期限＜3年，系数为2；  1年≤档案记录保存期限＜2年，系数为3；  档案记录保存期限＜1年，系数为4。2.未按照规定建立档案管理制度，系数为5。3.存在基准2.1.3规定情形的，系数按照相关规定确定（基准2.1.3.5不适用）。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19DA58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14:paraId="392EEC4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需要作出3000元以下罚款决定的，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6BFAAD3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D1CF6C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14:paraId="0BE77BD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排水户拒不接受水质、水量监测或者妨碍、阻挠城镇排水主管部门依法监督检查</w:t>
            </w:r>
          </w:p>
        </w:tc>
        <w:tc>
          <w:tcPr>
            <w:tcW w:w="2793" w:type="dxa"/>
            <w:gridSpan w:val="2"/>
            <w:tcBorders>
              <w:top w:val="nil"/>
              <w:left w:val="nil"/>
              <w:bottom w:val="single" w:color="auto" w:sz="4" w:space="0"/>
              <w:right w:val="single" w:color="auto" w:sz="4" w:space="0"/>
            </w:tcBorders>
            <w:shd w:val="clear" w:color="auto" w:fill="auto"/>
            <w:vAlign w:val="center"/>
          </w:tcPr>
          <w:p w14:paraId="775696B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处罚条款：《办法》第三十四条，给予警告；情节严重的，处3万元以下罚款。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2E64983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14:paraId="58F886B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70FB78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日用水量＜100立方米，系数为0；2.100立方米≤日用水量＜200立方米，系数为2；3.200立方米≤日用水量＜300立方米，系数为4；4.300立方米≤日用水量＜400立方米，系数为6；5.400立方米≤日用水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8EEB2C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14:paraId="76AC90B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（一）逾期不改正的，视为情节严重。</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（二）需要作出3000元以下罚款决定的，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572BFA5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C6C678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w:t>
            </w:r>
          </w:p>
        </w:tc>
        <w:tc>
          <w:tcPr>
            <w:tcW w:w="1811" w:type="dxa"/>
            <w:tcBorders>
              <w:top w:val="nil"/>
              <w:left w:val="nil"/>
              <w:bottom w:val="single" w:color="auto" w:sz="4" w:space="0"/>
              <w:right w:val="single" w:color="auto" w:sz="4" w:space="0"/>
            </w:tcBorders>
            <w:shd w:val="clear" w:color="auto" w:fill="auto"/>
            <w:vAlign w:val="center"/>
          </w:tcPr>
          <w:p w14:paraId="1C82C65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排水户以欺骗、贿赂等不正当手段取得排水许可</w:t>
            </w:r>
          </w:p>
        </w:tc>
        <w:tc>
          <w:tcPr>
            <w:tcW w:w="2793" w:type="dxa"/>
            <w:gridSpan w:val="2"/>
            <w:tcBorders>
              <w:top w:val="nil"/>
              <w:left w:val="nil"/>
              <w:bottom w:val="single" w:color="auto" w:sz="4" w:space="0"/>
              <w:right w:val="single" w:color="auto" w:sz="4" w:space="0"/>
            </w:tcBorders>
            <w:shd w:val="clear" w:color="auto" w:fill="auto"/>
            <w:vAlign w:val="center"/>
          </w:tcPr>
          <w:p w14:paraId="5C38004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违反条款：《办法》第二十一条第二款；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处罚条款：《办法》第三十条，可以处3万元以下罚款。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2253E70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14:paraId="1537DB2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E1E5A6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100立方米，系数为0；2.100立方米≤日用水量＜200立方米，系数为2；3.200立方米≤日用水量＜300立方米，系数为4；4.300立方米≤日用水量＜400立方米，系数为6；5.400立方米≤日用水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67C579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14:paraId="60B8644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需要作出3000元以下罚款决定的，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22DC08A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3968EDC2">
            <w:pPr>
              <w:widowControl/>
              <w:jc w:val="center"/>
              <w:outlineLvl w:val="1"/>
              <w:rPr>
                <w:rFonts w:hint="eastAsia" w:asciiTheme="minorEastAsia" w:hAnsiTheme="minorEastAsia" w:eastAsiaTheme="minorEastAsia" w:cstheme="minorEastAsia"/>
                <w:color w:val="auto"/>
                <w:kern w:val="0"/>
                <w:szCs w:val="21"/>
                <w:highlight w:val="none"/>
              </w:rPr>
            </w:pPr>
            <w:bookmarkStart w:id="224" w:name="_Toc218468837"/>
            <w:bookmarkStart w:id="225" w:name="_Toc1231717511"/>
            <w:r>
              <w:rPr>
                <w:rFonts w:hint="eastAsia" w:asciiTheme="minorEastAsia" w:hAnsiTheme="minorEastAsia" w:eastAsiaTheme="minorEastAsia" w:cstheme="minorEastAsia"/>
                <w:b/>
                <w:bCs/>
                <w:color w:val="auto"/>
                <w:kern w:val="0"/>
                <w:szCs w:val="21"/>
                <w:highlight w:val="none"/>
              </w:rPr>
              <w:t>《北京市水污染防治条例》案由1项</w:t>
            </w:r>
            <w:bookmarkEnd w:id="224"/>
            <w:bookmarkEnd w:id="225"/>
          </w:p>
        </w:tc>
      </w:tr>
      <w:tr w14:paraId="66D2BA2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1C4FFB9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621A240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向雨水收集口、雨水管道排放或者倾倒污水、污物和垃圾等废弃物</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27E2277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违反条款：第三十九条第二款；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处罚条款：第八十六条，责令停止违法行为，对个人处一千元以上一万元以下的罚款；对单位处一万元以上十万元以下的罚款。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1031B97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14:paraId="35A78A8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68DB413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倾倒少量生活污水，系数为0-2；2.排放或者倾倒污水、污物和垃圾等废弃物，系数为2-5；3.排放或者倾倒污水、污物和垃圾等废弃物，情节严重的，系数为5-9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50EFE8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6594046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634E4B4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25B74885">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54B1405C">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3F55DEC1">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0495A2B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7B9BCBE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continue"/>
            <w:tcBorders>
              <w:top w:val="nil"/>
              <w:left w:val="single" w:color="auto" w:sz="4" w:space="0"/>
              <w:bottom w:val="single" w:color="auto" w:sz="4" w:space="0"/>
              <w:right w:val="single" w:color="auto" w:sz="4" w:space="0"/>
            </w:tcBorders>
            <w:vAlign w:val="center"/>
          </w:tcPr>
          <w:p w14:paraId="0F41C79B">
            <w:pPr>
              <w:widowControl/>
              <w:jc w:val="left"/>
              <w:rPr>
                <w:rFonts w:hint="eastAsia" w:asciiTheme="minorEastAsia" w:hAnsiTheme="minorEastAsia" w:eastAsiaTheme="minorEastAsia" w:cstheme="minorEastAsia"/>
                <w:color w:val="auto"/>
                <w:kern w:val="0"/>
                <w:sz w:val="15"/>
                <w:szCs w:val="15"/>
                <w:highlight w:val="none"/>
              </w:rPr>
            </w:pPr>
          </w:p>
        </w:tc>
        <w:tc>
          <w:tcPr>
            <w:tcW w:w="1881" w:type="dxa"/>
            <w:gridSpan w:val="2"/>
            <w:tcBorders>
              <w:top w:val="nil"/>
              <w:left w:val="nil"/>
              <w:bottom w:val="single" w:color="auto" w:sz="4" w:space="0"/>
              <w:right w:val="single" w:color="auto" w:sz="4" w:space="0"/>
            </w:tcBorders>
            <w:shd w:val="clear" w:color="auto" w:fill="auto"/>
            <w:vAlign w:val="center"/>
          </w:tcPr>
          <w:p w14:paraId="65A932D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vMerge w:val="continue"/>
            <w:tcBorders>
              <w:top w:val="nil"/>
              <w:left w:val="single" w:color="auto" w:sz="4" w:space="0"/>
              <w:bottom w:val="single" w:color="auto" w:sz="4" w:space="0"/>
              <w:right w:val="single" w:color="auto" w:sz="4" w:space="0"/>
            </w:tcBorders>
            <w:vAlign w:val="center"/>
          </w:tcPr>
          <w:p w14:paraId="6183AB04">
            <w:pPr>
              <w:widowControl/>
              <w:jc w:val="left"/>
              <w:rPr>
                <w:rFonts w:hint="eastAsia" w:asciiTheme="minorEastAsia" w:hAnsiTheme="minorEastAsia" w:eastAsiaTheme="minorEastAsia" w:cstheme="minorEastAsia"/>
                <w:color w:val="auto"/>
                <w:kern w:val="0"/>
                <w:sz w:val="15"/>
                <w:szCs w:val="15"/>
                <w:highlight w:val="none"/>
              </w:rPr>
            </w:pPr>
          </w:p>
        </w:tc>
      </w:tr>
      <w:tr w14:paraId="6FCB1CA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14:paraId="1D36149F">
            <w:pPr>
              <w:widowControl/>
              <w:jc w:val="center"/>
              <w:outlineLvl w:val="1"/>
              <w:rPr>
                <w:rFonts w:hint="eastAsia" w:asciiTheme="minorEastAsia" w:hAnsiTheme="minorEastAsia" w:eastAsiaTheme="minorEastAsia" w:cstheme="minorEastAsia"/>
                <w:color w:val="auto"/>
                <w:kern w:val="0"/>
                <w:sz w:val="15"/>
                <w:szCs w:val="15"/>
                <w:highlight w:val="none"/>
              </w:rPr>
            </w:pPr>
            <w:bookmarkStart w:id="226" w:name="_Toc429734999"/>
            <w:bookmarkStart w:id="227" w:name="_Toc218468838"/>
            <w:r>
              <w:rPr>
                <w:rFonts w:hint="eastAsia" w:asciiTheme="minorEastAsia" w:hAnsiTheme="minorEastAsia" w:eastAsiaTheme="minorEastAsia" w:cstheme="minorEastAsia"/>
                <w:b/>
                <w:bCs/>
                <w:color w:val="auto"/>
                <w:kern w:val="0"/>
                <w:szCs w:val="21"/>
                <w:highlight w:val="none"/>
              </w:rPr>
              <w:t>《北京市排水和再生水管理办法》案由9项</w:t>
            </w:r>
            <w:bookmarkEnd w:id="226"/>
            <w:bookmarkEnd w:id="227"/>
          </w:p>
        </w:tc>
      </w:tr>
      <w:tr w14:paraId="10A6546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D26008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26E0590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餐饮服务排水户未设置隔油设施或者隔油设施不能正常使用</w:t>
            </w:r>
          </w:p>
        </w:tc>
        <w:tc>
          <w:tcPr>
            <w:tcW w:w="2793" w:type="dxa"/>
            <w:gridSpan w:val="2"/>
            <w:tcBorders>
              <w:top w:val="nil"/>
              <w:left w:val="nil"/>
              <w:bottom w:val="single" w:color="auto" w:sz="4" w:space="0"/>
              <w:right w:val="single" w:color="auto" w:sz="4" w:space="0"/>
            </w:tcBorders>
            <w:shd w:val="clear" w:color="auto" w:fill="auto"/>
            <w:vAlign w:val="center"/>
          </w:tcPr>
          <w:p w14:paraId="37692CC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处罚条款：第三十六条，责令限期改正；逾期不改正，处1000元以上5000元以下罚款。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032BE62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14:paraId="7A3640F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1E598C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1.餐饮建筑面积＜150平方米，系数为0；2.150平方米≤餐饮建筑面积＜500平方米，系数为2；3.500平方米≤餐饮建筑面积，系数为4。4.存在基准2.1.3规定情形的，系数按照相关规定确定（基准2.1.3.5不适用）。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678889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14:paraId="5B9E82F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71E255A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BD327A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4B0FA61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再生水水质、水压不符合标准</w:t>
            </w:r>
          </w:p>
        </w:tc>
        <w:tc>
          <w:tcPr>
            <w:tcW w:w="2793" w:type="dxa"/>
            <w:gridSpan w:val="2"/>
            <w:tcBorders>
              <w:top w:val="nil"/>
              <w:left w:val="nil"/>
              <w:bottom w:val="single" w:color="auto" w:sz="4" w:space="0"/>
              <w:right w:val="single" w:color="auto" w:sz="4" w:space="0"/>
            </w:tcBorders>
            <w:shd w:val="clear" w:color="auto" w:fill="auto"/>
            <w:vAlign w:val="center"/>
          </w:tcPr>
          <w:p w14:paraId="7FC79D2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处罚条款：第三十七条第一款第（二）项，给予警告，责令限期改正，并可处1万元以上3万元以下罚款。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62D783D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1128495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880430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水质超标项数＜5项或实际水压与标准值偏差＜25%，系数为0；2.5项≤水质超标项数＜8项或25%≤实际水压与标准值偏差＜50%，系数为1；3.8项≤水质超标项数或50%≤实际水压与标准值偏差，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CA779B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3515766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056B32E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50E9700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5674CBF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排水和再生水设施运营单位伪造、篡改、瞒报进出水水质、水量等数据</w:t>
            </w:r>
          </w:p>
        </w:tc>
        <w:tc>
          <w:tcPr>
            <w:tcW w:w="2793" w:type="dxa"/>
            <w:gridSpan w:val="2"/>
            <w:tcBorders>
              <w:top w:val="nil"/>
              <w:left w:val="nil"/>
              <w:bottom w:val="single" w:color="auto" w:sz="4" w:space="0"/>
              <w:right w:val="single" w:color="auto" w:sz="4" w:space="0"/>
            </w:tcBorders>
            <w:shd w:val="clear" w:color="auto" w:fill="auto"/>
            <w:vAlign w:val="center"/>
          </w:tcPr>
          <w:p w14:paraId="0689247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处罚条款：第三十七条第一款第（三）项，给予警告，责令限期改正，并可处1万元以上3万元以下罚款。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3E4A28E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61D71BB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527CF2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给予警告，并处以下罚款：1.有伪造、篡改、瞒报进水水质、出水水质、进水水量、出水水量或</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数据中1种情形的，系数为0；2.有伪造、篡改、瞒报进水水质、出水水质、进水水量、出水水量或</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数据中2种情形的，系数为1；3.有伪造、篡改、瞒报进水水质、出水水质、进水水量、出水水量或</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数据中3种及以上情形的，系数为2。4.存在基准2.1.3规定情形的，系数按照相关规定确定（基准2.1.3.5不适用）。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850861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731BF41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376005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068A2E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14:paraId="6131557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擅自占压排水设施和占压、拆卸、移动再生水设施</w:t>
            </w:r>
          </w:p>
        </w:tc>
        <w:tc>
          <w:tcPr>
            <w:tcW w:w="2793" w:type="dxa"/>
            <w:gridSpan w:val="2"/>
            <w:tcBorders>
              <w:top w:val="nil"/>
              <w:left w:val="nil"/>
              <w:bottom w:val="single" w:color="auto" w:sz="4" w:space="0"/>
              <w:right w:val="single" w:color="auto" w:sz="4" w:space="0"/>
            </w:tcBorders>
            <w:shd w:val="clear" w:color="auto" w:fill="auto"/>
            <w:vAlign w:val="center"/>
          </w:tcPr>
          <w:p w14:paraId="25AC685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处罚条款：第三十八条第一款第（一）项，责令限期改正，处1万元以上3万元以下罚款。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7B8BC3E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6644F6C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C194B3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1.直接经济损失＜5万元，系数为0；2.5万元≤直接经济损失＜20万元，系数为1；3.20万元≤直接经济损失，系数为2。4.存在基准2.1.3规定情形的，系数按照相关规定确定（基准2.1.3.5不适用）。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F9621A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1AA527E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4453FC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00498DF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4E7BD70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损害再生水设施</w:t>
            </w:r>
          </w:p>
        </w:tc>
        <w:tc>
          <w:tcPr>
            <w:tcW w:w="2793" w:type="dxa"/>
            <w:gridSpan w:val="2"/>
            <w:tcBorders>
              <w:top w:val="nil"/>
              <w:left w:val="nil"/>
              <w:bottom w:val="single" w:color="auto" w:sz="4" w:space="0"/>
              <w:right w:val="single" w:color="auto" w:sz="4" w:space="0"/>
            </w:tcBorders>
            <w:shd w:val="clear" w:color="auto" w:fill="auto"/>
            <w:vAlign w:val="center"/>
          </w:tcPr>
          <w:p w14:paraId="0069FA5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违反条款：第十八条第一款第（二）项、第（三）项；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处罚条款：第三十八条第一款第（一）项，责令限期改正，处1万元以上3万元以下罚款。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77EF244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5486472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740CD4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1.直接经济损失＜5万元，系数为0；2.5万元≤直接经济损失＜20万元，系数为1；3.20万元≤直接经济损失，系数为2。4.存在基准2.1.3规定情形的，系数按照相关规定确定（基准2.1.3.5不适用）。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7E1152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6FE93F3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92BBEF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36DD4051">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186CF013">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14:paraId="734E6CE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违反条款：第十八条第一款第（八）项；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处罚条款：第三十八条第一款第（二）项，责令限期改正，处3000元以上1万元以下罚款。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608CFF5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14:paraId="1182A92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B86D7F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直接经济损失＜1万元，系数为0；2.1万元≤直接经济损失＜10万元，系数为1；3.10万元≤直接经济损失＜20万元，系数为2；4.20万元≤直接经济损失，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DA1E4E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14:paraId="5181A23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3F2CCA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F3AA2D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14:paraId="68FA03E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向排水管网排放超标污水</w:t>
            </w:r>
          </w:p>
        </w:tc>
        <w:tc>
          <w:tcPr>
            <w:tcW w:w="2793" w:type="dxa"/>
            <w:gridSpan w:val="2"/>
            <w:tcBorders>
              <w:top w:val="nil"/>
              <w:left w:val="nil"/>
              <w:bottom w:val="single" w:color="auto" w:sz="4" w:space="0"/>
              <w:right w:val="single" w:color="auto" w:sz="4" w:space="0"/>
            </w:tcBorders>
            <w:shd w:val="clear" w:color="auto" w:fill="auto"/>
            <w:vAlign w:val="center"/>
          </w:tcPr>
          <w:p w14:paraId="15C92B9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处罚条款：第三十八条第一款第（一）项，责令限期改正，处1万元以上3万元以下罚款。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1825EF4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2AF1DD2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3FBF0D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1.1项≤排放污水水质超标项数＜3项，系数为0；  3项≤排放污水水质超标项数＜5项，系数为1；  5项≤排放污水水质超标项数，系数为2。2.出现1项污水水质超标倍数＞5，系数为1，每多出现1项，系数加1。3.存在基准2.1.3规定情形的，系数按照相关规定确定（基准2.1.3.5不适用）。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F0063C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6D63C62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342BED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23FF8FB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14:paraId="0FCF733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住宅区再生水设施处理粪便水和重污染水</w:t>
            </w:r>
          </w:p>
        </w:tc>
        <w:tc>
          <w:tcPr>
            <w:tcW w:w="2793" w:type="dxa"/>
            <w:gridSpan w:val="2"/>
            <w:tcBorders>
              <w:top w:val="nil"/>
              <w:left w:val="nil"/>
              <w:bottom w:val="single" w:color="auto" w:sz="4" w:space="0"/>
              <w:right w:val="single" w:color="auto" w:sz="4" w:space="0"/>
            </w:tcBorders>
            <w:shd w:val="clear" w:color="auto" w:fill="auto"/>
            <w:vAlign w:val="center"/>
          </w:tcPr>
          <w:p w14:paraId="4DC40C3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违反条款：第十八条第一款第（七）项；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处罚条款：第三十八条第一款第（一）项，责令限期改正，处1万元以上3万元以下罚款。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7A051AC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2D00BEF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6F3F44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处理粪便水和重污染水量时间＜5天或涉及户数＜500户，系数为0；2.5天≤处理粪便水和重污染水量时间＜20天或500户≤涉及户数＜1000户，系数为1；3.20天≤处理粪便水和重污染水量时间或1000户≤涉及户数，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78EC89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5F13FFA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B4F96D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6F55C2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14:paraId="5FE2331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在排水和再生水设施用地范围内取土、爆破、埋杆、堆物</w:t>
            </w:r>
          </w:p>
        </w:tc>
        <w:tc>
          <w:tcPr>
            <w:tcW w:w="2793" w:type="dxa"/>
            <w:gridSpan w:val="2"/>
            <w:tcBorders>
              <w:top w:val="nil"/>
              <w:left w:val="nil"/>
              <w:bottom w:val="single" w:color="auto" w:sz="4" w:space="0"/>
              <w:right w:val="single" w:color="auto" w:sz="4" w:space="0"/>
            </w:tcBorders>
            <w:shd w:val="clear" w:color="auto" w:fill="auto"/>
            <w:vAlign w:val="center"/>
          </w:tcPr>
          <w:p w14:paraId="43D61E7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违反条款：第十八条第一款第（五）项；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处罚条款：第三十八条第一款第（二）项，责令限期改正，处3000元以上1万元以下罚款。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798EE6E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14:paraId="5900D31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5E0129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取土、埋杆、堆物面积＜50平方米，系数为0；2.50平方米≤取土、埋杆、堆物面积＜100平方米，系数为1；3.100平方米≤取土、埋杆、堆物面积＜200平方米，系数为2；4.200平方米≤取土、埋杆、堆物面积，系数为3；5.在排水和再生水设施用地范围内爆破的，系数为3。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87CB39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14:paraId="49A88B7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340D6B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2925E8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14:paraId="570658E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擅自接入公共排水和再生水管网</w:t>
            </w:r>
          </w:p>
        </w:tc>
        <w:tc>
          <w:tcPr>
            <w:tcW w:w="2793" w:type="dxa"/>
            <w:gridSpan w:val="2"/>
            <w:tcBorders>
              <w:top w:val="nil"/>
              <w:left w:val="nil"/>
              <w:bottom w:val="single" w:color="auto" w:sz="4" w:space="0"/>
              <w:right w:val="single" w:color="auto" w:sz="4" w:space="0"/>
            </w:tcBorders>
            <w:shd w:val="clear" w:color="auto" w:fill="auto"/>
            <w:vAlign w:val="center"/>
          </w:tcPr>
          <w:p w14:paraId="40C38FB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违反条款：第十八条第一款第（六）项；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处罚条款：第三十八条第一款第（二）项，责令限期改正，处3000元以上1万元以下罚款。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60B8D07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14:paraId="4A57991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7979D7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持续时间＜2天，系数为0；2.2天≤违法行为持续时间＜5天，系数为1；3.5天≤违法行为持续时间＜10天，系数为2；4.10天≤违法行为持续时间或造成严重后果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996503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14:paraId="5AF9086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2BFF4A3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34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15B8DE13">
            <w:pPr>
              <w:widowControl/>
              <w:jc w:val="center"/>
              <w:outlineLvl w:val="0"/>
              <w:rPr>
                <w:rFonts w:ascii="Times New Roman" w:hAnsi="Times New Roman" w:eastAsia="宋体" w:cs="Times New Roman"/>
                <w:color w:val="auto"/>
                <w:kern w:val="0"/>
                <w:sz w:val="28"/>
                <w:szCs w:val="28"/>
                <w:highlight w:val="none"/>
              </w:rPr>
            </w:pPr>
            <w:bookmarkStart w:id="228" w:name="_Toc2046572503"/>
            <w:bookmarkStart w:id="229" w:name="_Toc218468839"/>
            <w:r>
              <w:rPr>
                <w:rFonts w:hint="eastAsia" w:ascii="黑体" w:hAnsi="黑体" w:eastAsia="黑体" w:cs="黑体"/>
                <w:color w:val="auto"/>
                <w:kern w:val="0"/>
                <w:sz w:val="28"/>
                <w:szCs w:val="28"/>
                <w:highlight w:val="none"/>
              </w:rPr>
              <w:t>供水管理方面</w:t>
            </w:r>
            <w:bookmarkEnd w:id="228"/>
            <w:bookmarkEnd w:id="229"/>
          </w:p>
        </w:tc>
      </w:tr>
      <w:tr w14:paraId="112B2A8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282C634A">
            <w:pPr>
              <w:widowControl/>
              <w:jc w:val="center"/>
              <w:outlineLvl w:val="1"/>
              <w:rPr>
                <w:rFonts w:hint="eastAsia" w:asciiTheme="minorEastAsia" w:hAnsiTheme="minorEastAsia" w:eastAsiaTheme="minorEastAsia" w:cstheme="minorEastAsia"/>
                <w:color w:val="auto"/>
                <w:kern w:val="0"/>
                <w:szCs w:val="21"/>
                <w:highlight w:val="none"/>
              </w:rPr>
            </w:pPr>
            <w:bookmarkStart w:id="230" w:name="_Toc218468840"/>
            <w:bookmarkStart w:id="231" w:name="_Toc340381822"/>
            <w:r>
              <w:rPr>
                <w:rFonts w:hint="eastAsia" w:asciiTheme="minorEastAsia" w:hAnsiTheme="minorEastAsia" w:eastAsiaTheme="minorEastAsia" w:cstheme="minorEastAsia"/>
                <w:b/>
                <w:bCs/>
                <w:color w:val="auto"/>
                <w:kern w:val="0"/>
                <w:szCs w:val="21"/>
                <w:highlight w:val="none"/>
              </w:rPr>
              <w:t>《中华人民共和国水污染防治法》《城市供水条例》《北京市自建设施供水管理办法》《北京市城市公共供水管理办法》案由1项</w:t>
            </w:r>
            <w:bookmarkEnd w:id="230"/>
            <w:bookmarkEnd w:id="231"/>
          </w:p>
        </w:tc>
      </w:tr>
      <w:tr w14:paraId="561FCE4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7F278B5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33A4E36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自来水供水单位和自建设施对外供水的单位供水水质、水压不符合国家规定的标准或间断供水</w:t>
            </w:r>
          </w:p>
        </w:tc>
        <w:tc>
          <w:tcPr>
            <w:tcW w:w="2793" w:type="dxa"/>
            <w:gridSpan w:val="2"/>
            <w:tcBorders>
              <w:top w:val="nil"/>
              <w:left w:val="nil"/>
              <w:bottom w:val="single" w:color="auto" w:sz="4" w:space="0"/>
              <w:right w:val="single" w:color="auto" w:sz="4" w:space="0"/>
            </w:tcBorders>
            <w:shd w:val="clear" w:color="auto" w:fill="auto"/>
            <w:vAlign w:val="center"/>
          </w:tcPr>
          <w:p w14:paraId="7356053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违反条款：《水污染防治法》第七十一条第二款；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处罚条款：《水污染防治法》第九十二条，责令改正，处二万元以上二十万元以下的罚款；情节严重的，报经有批准权的人民政府批准，可以责令停业整顿。</w:t>
            </w:r>
          </w:p>
        </w:tc>
        <w:tc>
          <w:tcPr>
            <w:tcW w:w="864"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6ABDA2E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vMerge w:val="restart"/>
            <w:tcBorders>
              <w:top w:val="nil"/>
              <w:left w:val="single" w:color="auto" w:sz="4" w:space="0"/>
              <w:bottom w:val="single" w:color="auto" w:sz="4" w:space="0"/>
              <w:right w:val="single" w:color="auto" w:sz="4" w:space="0"/>
            </w:tcBorders>
            <w:shd w:val="clear" w:color="auto" w:fill="auto"/>
            <w:vAlign w:val="center"/>
          </w:tcPr>
          <w:p w14:paraId="3B8AF7C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23B9D45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1.水质超标项数=1项，系数为0；水质超标项数每增加1项，系数加1；水质超标项数≥10项</w:t>
            </w:r>
            <w:r>
              <w:rPr>
                <w:rFonts w:hint="eastAsia" w:asciiTheme="minorEastAsia" w:hAnsiTheme="minorEastAsia" w:eastAsiaTheme="minorEastAsia" w:cstheme="minorEastAsia"/>
                <w:color w:val="auto"/>
                <w:kern w:val="0"/>
                <w:sz w:val="15"/>
                <w:szCs w:val="15"/>
                <w:highlight w:val="none"/>
                <w:lang w:eastAsia="zh-CN"/>
              </w:rPr>
              <w:t>或</w:t>
            </w:r>
            <w:r>
              <w:rPr>
                <w:rFonts w:hint="eastAsia" w:asciiTheme="minorEastAsia" w:hAnsiTheme="minorEastAsia" w:eastAsiaTheme="minorEastAsia" w:cstheme="minorEastAsia"/>
                <w:color w:val="auto"/>
                <w:kern w:val="0"/>
                <w:sz w:val="15"/>
                <w:szCs w:val="15"/>
                <w:highlight w:val="none"/>
              </w:rPr>
              <w:t>单项水质超标倍数＞10倍，系数为9。2.存在基准2.1.3规定情形的，系数按照相关规定确定（基准2.1.3.5不适用）。</w:t>
            </w:r>
          </w:p>
        </w:tc>
        <w:tc>
          <w:tcPr>
            <w:tcW w:w="1881"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631FDE0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77D5121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存在以下情形之一的，可视为情节严重：1.水质超标≥10项；2.单项水质超标倍数＞10倍；</w:t>
            </w:r>
            <w:r>
              <w:rPr>
                <w:rFonts w:hint="eastAsia" w:asciiTheme="minorEastAsia" w:hAnsiTheme="minorEastAsia" w:eastAsiaTheme="minorEastAsia" w:cstheme="minorEastAsia"/>
                <w:strike w:val="0"/>
                <w:dstrike w:val="0"/>
                <w:color w:val="auto"/>
                <w:kern w:val="0"/>
                <w:sz w:val="15"/>
                <w:szCs w:val="15"/>
                <w:highlight w:val="none"/>
              </w:rPr>
              <w:t>3.经执法部门处罚后，一年度内再次发生同类型违法行为。拟作出责令停业整顿的，在作出处罚决定前，要邀请行业主管部门共同会商。</w:t>
            </w:r>
          </w:p>
        </w:tc>
      </w:tr>
      <w:tr w14:paraId="18A9CE5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3F573E42">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690A5276">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14:paraId="542F0E9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违反条款：《条例》第二十条；第二十一条第一款；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处罚条款：《条例》第三十三条第一款第（一）项，责令改正，可以处以罚款；情节严重的，报经县级以上人民政府批准，可以责令停业整顿。</w:t>
            </w:r>
          </w:p>
        </w:tc>
        <w:tc>
          <w:tcPr>
            <w:tcW w:w="864" w:type="dxa"/>
            <w:gridSpan w:val="2"/>
            <w:vMerge w:val="continue"/>
            <w:tcBorders>
              <w:top w:val="nil"/>
              <w:left w:val="single" w:color="auto" w:sz="4" w:space="0"/>
              <w:bottom w:val="single" w:color="auto" w:sz="4" w:space="0"/>
              <w:right w:val="single" w:color="auto" w:sz="4" w:space="0"/>
            </w:tcBorders>
            <w:vAlign w:val="center"/>
          </w:tcPr>
          <w:p w14:paraId="091F1CEB">
            <w:pPr>
              <w:widowControl/>
              <w:jc w:val="left"/>
              <w:rPr>
                <w:rFonts w:hint="eastAsia" w:asciiTheme="minorEastAsia" w:hAnsiTheme="minorEastAsia" w:eastAsiaTheme="minorEastAsia" w:cstheme="minorEastAsia"/>
                <w:color w:val="auto"/>
                <w:kern w:val="0"/>
                <w:sz w:val="15"/>
                <w:szCs w:val="15"/>
                <w:highlight w:val="none"/>
              </w:rPr>
            </w:pPr>
          </w:p>
        </w:tc>
        <w:tc>
          <w:tcPr>
            <w:tcW w:w="840" w:type="dxa"/>
            <w:vMerge w:val="continue"/>
            <w:tcBorders>
              <w:top w:val="nil"/>
              <w:left w:val="single" w:color="auto" w:sz="4" w:space="0"/>
              <w:bottom w:val="single" w:color="auto" w:sz="4" w:space="0"/>
              <w:right w:val="single" w:color="auto" w:sz="4" w:space="0"/>
            </w:tcBorders>
            <w:vAlign w:val="center"/>
          </w:tcPr>
          <w:p w14:paraId="42F61192">
            <w:pPr>
              <w:widowControl/>
              <w:jc w:val="left"/>
              <w:rPr>
                <w:rFonts w:hint="eastAsia" w:asciiTheme="minorEastAsia" w:hAnsiTheme="minorEastAsia" w:eastAsiaTheme="minorEastAsia" w:cstheme="minorEastAsia"/>
                <w:color w:val="auto"/>
                <w:kern w:val="0"/>
                <w:sz w:val="15"/>
                <w:szCs w:val="15"/>
                <w:highlight w:val="none"/>
              </w:rPr>
            </w:pPr>
          </w:p>
        </w:tc>
        <w:tc>
          <w:tcPr>
            <w:tcW w:w="3430" w:type="dxa"/>
            <w:gridSpan w:val="2"/>
            <w:vMerge w:val="continue"/>
            <w:tcBorders>
              <w:top w:val="nil"/>
              <w:left w:val="single" w:color="auto" w:sz="4" w:space="0"/>
              <w:bottom w:val="single" w:color="auto" w:sz="4" w:space="0"/>
              <w:right w:val="single" w:color="auto" w:sz="4" w:space="0"/>
            </w:tcBorders>
            <w:vAlign w:val="center"/>
          </w:tcPr>
          <w:p w14:paraId="7FA9D615">
            <w:pPr>
              <w:widowControl/>
              <w:jc w:val="left"/>
              <w:rPr>
                <w:rFonts w:hint="eastAsia" w:asciiTheme="minorEastAsia" w:hAnsiTheme="minorEastAsia" w:eastAsiaTheme="minorEastAsia" w:cstheme="minorEastAsia"/>
                <w:color w:val="auto"/>
                <w:kern w:val="0"/>
                <w:sz w:val="15"/>
                <w:szCs w:val="15"/>
                <w:highlight w:val="none"/>
              </w:rPr>
            </w:pPr>
          </w:p>
        </w:tc>
        <w:tc>
          <w:tcPr>
            <w:tcW w:w="1881" w:type="dxa"/>
            <w:gridSpan w:val="2"/>
            <w:vMerge w:val="continue"/>
            <w:tcBorders>
              <w:top w:val="nil"/>
              <w:left w:val="single" w:color="auto" w:sz="4" w:space="0"/>
              <w:bottom w:val="single" w:color="auto" w:sz="4" w:space="0"/>
              <w:right w:val="single" w:color="auto" w:sz="4" w:space="0"/>
            </w:tcBorders>
            <w:vAlign w:val="center"/>
          </w:tcPr>
          <w:p w14:paraId="211DABA8">
            <w:pPr>
              <w:widowControl/>
              <w:jc w:val="left"/>
              <w:rPr>
                <w:rFonts w:hint="eastAsia" w:asciiTheme="minorEastAsia" w:hAnsiTheme="minorEastAsia" w:eastAsiaTheme="minorEastAsia" w:cstheme="minorEastAsia"/>
                <w:color w:val="auto"/>
                <w:kern w:val="0"/>
                <w:sz w:val="15"/>
                <w:szCs w:val="15"/>
                <w:highlight w:val="none"/>
              </w:rPr>
            </w:pPr>
          </w:p>
        </w:tc>
        <w:tc>
          <w:tcPr>
            <w:tcW w:w="1972" w:type="dxa"/>
            <w:vMerge w:val="continue"/>
            <w:tcBorders>
              <w:top w:val="nil"/>
              <w:left w:val="single" w:color="auto" w:sz="4" w:space="0"/>
              <w:bottom w:val="single" w:color="auto" w:sz="4" w:space="0"/>
              <w:right w:val="single" w:color="auto" w:sz="4" w:space="0"/>
            </w:tcBorders>
            <w:vAlign w:val="center"/>
          </w:tcPr>
          <w:p w14:paraId="4A945C81">
            <w:pPr>
              <w:widowControl/>
              <w:jc w:val="left"/>
              <w:rPr>
                <w:rFonts w:hint="eastAsia" w:asciiTheme="minorEastAsia" w:hAnsiTheme="minorEastAsia" w:eastAsiaTheme="minorEastAsia" w:cstheme="minorEastAsia"/>
                <w:color w:val="auto"/>
                <w:kern w:val="0"/>
                <w:sz w:val="15"/>
                <w:szCs w:val="15"/>
                <w:highlight w:val="none"/>
              </w:rPr>
            </w:pPr>
          </w:p>
        </w:tc>
      </w:tr>
      <w:tr w14:paraId="7791D6A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62DD381F">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4F27A04C">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14:paraId="565C03D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违反条款：《自建设施办法》第十一条第一款第（一）项；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处罚条款：《自建设施办法》第二十条第一款第（一）项，责令限期改正，并可处1000元以上5000元以下的罚款。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0616C46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14:paraId="2B6FFC4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D67EEB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供水管网末端供水水压与标准值偏差＜20%，系数为0；2.20%≤供水管网末端供水水压与标准值偏差＜30%，系数为1；3.30%≤供水管网末端供水水压与标准值偏差＜40%，系数为2；4.40%≤供水管网末端供水水压与标准值偏差＜50%，系数为3；5.50%≤供水管网末端供水水压与标准值偏差，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88C4AD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14:paraId="1CD165D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3856F2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5FF6679D">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0548F3A3">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14:paraId="38CBD82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违反条款：《城市公共办法》第四条第一款第（二）项；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处罚条款：《城市公共办法》第十八条第一款第（一）项，处2000元以下罚款。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2097D90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14:paraId="248A691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66A682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供水管网末端供水水压与标准值偏差＜50%，系数为0；2.50%≤供水管网末端供水水压与标准值偏差，系数为1；3.出现间断供水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A6131C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14:paraId="2F7CB90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14:paraId="1137E78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14:paraId="51F1794F">
            <w:pPr>
              <w:widowControl/>
              <w:jc w:val="center"/>
              <w:outlineLvl w:val="1"/>
              <w:rPr>
                <w:rFonts w:hint="eastAsia" w:asciiTheme="minorEastAsia" w:hAnsiTheme="minorEastAsia" w:eastAsiaTheme="minorEastAsia" w:cstheme="minorEastAsia"/>
                <w:color w:val="auto"/>
                <w:kern w:val="0"/>
                <w:szCs w:val="21"/>
                <w:highlight w:val="none"/>
              </w:rPr>
            </w:pPr>
            <w:bookmarkStart w:id="232" w:name="_Toc218468841"/>
            <w:bookmarkStart w:id="233" w:name="_Toc42767120"/>
            <w:r>
              <w:rPr>
                <w:rFonts w:hint="eastAsia" w:asciiTheme="minorEastAsia" w:hAnsiTheme="minorEastAsia" w:eastAsiaTheme="minorEastAsia" w:cstheme="minorEastAsia"/>
                <w:b/>
                <w:bCs/>
                <w:color w:val="auto"/>
                <w:kern w:val="0"/>
                <w:szCs w:val="21"/>
                <w:highlight w:val="none"/>
              </w:rPr>
              <w:t>《城市供水条例》《建设工程质量管理条例》《北京市城市公共供水管理办法》案由4项</w:t>
            </w:r>
            <w:bookmarkEnd w:id="232"/>
            <w:bookmarkEnd w:id="233"/>
          </w:p>
        </w:tc>
      </w:tr>
      <w:tr w14:paraId="7670322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48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5AE8AC6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648008F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无证或者超越资质证书规定的经营范围进行城市供水工程的设计或者施工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5CF3CDA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违反条款：《城市供水条例》第十六条；《建设工程质量管理条例》第十八条、第二十五条、第三十四条；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城市供水条例》第三十四条第一款第（一）项，责令停止违法行为，可以处以罚款；《建设工程质量管理条例》第六十条第一款，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p>
        </w:tc>
        <w:tc>
          <w:tcPr>
            <w:tcW w:w="864" w:type="dxa"/>
            <w:gridSpan w:val="2"/>
            <w:tcBorders>
              <w:top w:val="nil"/>
              <w:left w:val="nil"/>
              <w:bottom w:val="single" w:color="auto" w:sz="4" w:space="0"/>
              <w:right w:val="single" w:color="auto" w:sz="4" w:space="0"/>
            </w:tcBorders>
            <w:shd w:val="clear" w:color="auto" w:fill="auto"/>
            <w:vAlign w:val="center"/>
          </w:tcPr>
          <w:p w14:paraId="24A8DDA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设计费酬金（对设计单位）</w:t>
            </w:r>
          </w:p>
        </w:tc>
        <w:tc>
          <w:tcPr>
            <w:tcW w:w="840" w:type="dxa"/>
            <w:tcBorders>
              <w:top w:val="nil"/>
              <w:left w:val="nil"/>
              <w:bottom w:val="single" w:color="auto" w:sz="4" w:space="0"/>
              <w:right w:val="single" w:color="auto" w:sz="4" w:space="0"/>
            </w:tcBorders>
            <w:shd w:val="clear" w:color="auto" w:fill="auto"/>
            <w:vAlign w:val="center"/>
          </w:tcPr>
          <w:p w14:paraId="434DAEC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85E1F1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1.设计费＜40万，系数为0；2.40万≤设计费＜80万，系数为1；3.80万≤设计费或情节严重的，系数为2。4.存在基准2.1.3规定情形的，系数按照相关规定确定（基准2.1.3.5不适用）。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94FCF1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罚款金额=设计费酬金×（1+情节系数）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0571FEF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造成一般及以上安全事故的；2.经执法部门处罚后，一年度内再次发生同类型违法行为。拟作出停业整顿、降低资质等级、吊销资质证书，在作出处罚决定前，要邀请行业主管部门共同会商。</w:t>
            </w:r>
          </w:p>
        </w:tc>
      </w:tr>
      <w:tr w14:paraId="16D4437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0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0ABFB3B0">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5687394E">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3C0EF104">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1F88AED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合同价款的2%（对施工单位）</w:t>
            </w:r>
          </w:p>
        </w:tc>
        <w:tc>
          <w:tcPr>
            <w:tcW w:w="840" w:type="dxa"/>
            <w:tcBorders>
              <w:top w:val="nil"/>
              <w:left w:val="nil"/>
              <w:bottom w:val="single" w:color="auto" w:sz="4" w:space="0"/>
              <w:right w:val="single" w:color="auto" w:sz="4" w:space="0"/>
            </w:tcBorders>
            <w:shd w:val="clear" w:color="auto" w:fill="auto"/>
            <w:vAlign w:val="center"/>
          </w:tcPr>
          <w:p w14:paraId="563828A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238A93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合同价款＜100万，系数为0；2.100万≤合同价款＜200万，系数为0.25；3.200万≤合同价款＜400万，系数为0.5；4.400万≤合同价款＜800万，系数为0.75；5.800万≤合同价款或情节严重的，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985022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罚款金额=合同价款的2%×（1+情节系数）</w:t>
            </w:r>
          </w:p>
        </w:tc>
        <w:tc>
          <w:tcPr>
            <w:tcW w:w="1972" w:type="dxa"/>
            <w:vMerge w:val="continue"/>
            <w:tcBorders>
              <w:top w:val="nil"/>
              <w:left w:val="single" w:color="auto" w:sz="4" w:space="0"/>
              <w:bottom w:val="single" w:color="auto" w:sz="4" w:space="0"/>
              <w:right w:val="single" w:color="auto" w:sz="4" w:space="0"/>
            </w:tcBorders>
            <w:vAlign w:val="center"/>
          </w:tcPr>
          <w:p w14:paraId="26056172">
            <w:pPr>
              <w:widowControl/>
              <w:jc w:val="left"/>
              <w:rPr>
                <w:rFonts w:hint="eastAsia" w:asciiTheme="minorEastAsia" w:hAnsiTheme="minorEastAsia" w:eastAsiaTheme="minorEastAsia" w:cstheme="minorEastAsia"/>
                <w:color w:val="auto"/>
                <w:kern w:val="0"/>
                <w:sz w:val="15"/>
                <w:szCs w:val="15"/>
                <w:highlight w:val="none"/>
              </w:rPr>
            </w:pPr>
          </w:p>
        </w:tc>
      </w:tr>
      <w:tr w14:paraId="2554BBC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18B9ADC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2AF663B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未按国家规定的技术标准和规范进行城市供水工程的设计或者施工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21A219C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违反条款：《城市供水条例》第十六条；《建设工程质量管理条例》第十九条、第二十八条；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城市供水条例》第三十四条第一款第（二）项，责令停止违法行为，可以处以罚款；《建设工程质量管理条例》第六十三条，责令改正，处10万元以上30万元以下的罚款；第六十四条，责令改正，处工程合同价款百分之二以上百分之四以下的罚款；情节严重的，责令停业整顿，降低资质等级或者吊销资质证书。</w:t>
            </w:r>
          </w:p>
        </w:tc>
        <w:tc>
          <w:tcPr>
            <w:tcW w:w="864" w:type="dxa"/>
            <w:gridSpan w:val="2"/>
            <w:tcBorders>
              <w:top w:val="nil"/>
              <w:left w:val="nil"/>
              <w:bottom w:val="single" w:color="auto" w:sz="4" w:space="0"/>
              <w:right w:val="single" w:color="auto" w:sz="4" w:space="0"/>
            </w:tcBorders>
            <w:shd w:val="clear" w:color="auto" w:fill="auto"/>
            <w:vAlign w:val="center"/>
          </w:tcPr>
          <w:p w14:paraId="4F8A664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（对设计单位）</w:t>
            </w:r>
          </w:p>
        </w:tc>
        <w:tc>
          <w:tcPr>
            <w:tcW w:w="840" w:type="dxa"/>
            <w:tcBorders>
              <w:top w:val="nil"/>
              <w:left w:val="nil"/>
              <w:bottom w:val="single" w:color="auto" w:sz="4" w:space="0"/>
              <w:right w:val="single" w:color="auto" w:sz="4" w:space="0"/>
            </w:tcBorders>
            <w:shd w:val="clear" w:color="auto" w:fill="auto"/>
            <w:vAlign w:val="center"/>
          </w:tcPr>
          <w:p w14:paraId="3742A53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7713EE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1.设计费＜40万，系数为0；2.40万元≤设计费＜60万元，系数为0.4；3.60万元≤设计费＜80万元，系数为0.8；4.80万元≤设计费＜100万元，系数为1.2；5.100万元≤设计费＜120万元，系数为1.6；6.120万元≤设计费，系数为 2；7.情节严重的</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7C7866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6F33FF0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情节严重：1.造成一般及以上安全事故的；2.经执法部门处罚后，一年度内再次发生同类型违法行为。拟作出停业整顿、降低资质等级、吊销资质证书，在作出处罚决定前，要邀请行业主管部门共同会商。</w:t>
            </w:r>
          </w:p>
        </w:tc>
      </w:tr>
      <w:tr w14:paraId="0BF863E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3428041B">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58B75B0C">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4DDD9B47">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0B0D50B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工程合同价款*2%</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（对施工单位）</w:t>
            </w:r>
          </w:p>
        </w:tc>
        <w:tc>
          <w:tcPr>
            <w:tcW w:w="840" w:type="dxa"/>
            <w:tcBorders>
              <w:top w:val="nil"/>
              <w:left w:val="nil"/>
              <w:bottom w:val="single" w:color="auto" w:sz="4" w:space="0"/>
              <w:right w:val="single" w:color="auto" w:sz="4" w:space="0"/>
            </w:tcBorders>
            <w:shd w:val="clear" w:color="auto" w:fill="auto"/>
            <w:vAlign w:val="center"/>
          </w:tcPr>
          <w:p w14:paraId="340E1DC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5E26AE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合同价款＜100万，系数为0；2.100万≤合同价款＜200万，系数为0.25；3.200万≤合同价款＜400万，系数为0.5；4.400万≤合同价款＜800万，系数为0.75；5.800万≤合同价款或情节严重的，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D1F78E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罚款金额=工程合同价款*2%×（1+情节系数）</w:t>
            </w:r>
          </w:p>
        </w:tc>
        <w:tc>
          <w:tcPr>
            <w:tcW w:w="1972" w:type="dxa"/>
            <w:vMerge w:val="continue"/>
            <w:tcBorders>
              <w:top w:val="nil"/>
              <w:left w:val="single" w:color="auto" w:sz="4" w:space="0"/>
              <w:bottom w:val="single" w:color="auto" w:sz="4" w:space="0"/>
              <w:right w:val="single" w:color="auto" w:sz="4" w:space="0"/>
            </w:tcBorders>
            <w:vAlign w:val="center"/>
          </w:tcPr>
          <w:p w14:paraId="696C1633">
            <w:pPr>
              <w:widowControl/>
              <w:jc w:val="left"/>
              <w:rPr>
                <w:rFonts w:hint="eastAsia" w:asciiTheme="minorEastAsia" w:hAnsiTheme="minorEastAsia" w:eastAsiaTheme="minorEastAsia" w:cstheme="minorEastAsia"/>
                <w:color w:val="auto"/>
                <w:kern w:val="0"/>
                <w:sz w:val="15"/>
                <w:szCs w:val="15"/>
                <w:highlight w:val="none"/>
              </w:rPr>
            </w:pPr>
          </w:p>
        </w:tc>
      </w:tr>
      <w:tr w14:paraId="2E83306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92FE2D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167E872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违法兴建城市供水工程、未按规定缴纳水费、盗用或者转供城市公共供水、危害供水设施安全活动等</w:t>
            </w:r>
          </w:p>
        </w:tc>
        <w:tc>
          <w:tcPr>
            <w:tcW w:w="2793" w:type="dxa"/>
            <w:gridSpan w:val="2"/>
            <w:tcBorders>
              <w:top w:val="nil"/>
              <w:left w:val="nil"/>
              <w:bottom w:val="single" w:color="auto" w:sz="4" w:space="0"/>
              <w:right w:val="single" w:color="auto" w:sz="4" w:space="0"/>
            </w:tcBorders>
            <w:shd w:val="clear" w:color="auto" w:fill="auto"/>
            <w:vAlign w:val="center"/>
          </w:tcPr>
          <w:p w14:paraId="6EBEEB5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违反条款：《城市供水条例》第十五条、第二十一条第二款、第二十四条、第二十五条、第二十九条、第三十二条第二款；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处罚条款：《城市供水条例》第三十四条第一款第（三）项，责令停止违法行为，可以处以罚款；第三十五条第一款第（一）项，责令限期改正，可以处以罚款。</w:t>
            </w:r>
          </w:p>
        </w:tc>
        <w:tc>
          <w:tcPr>
            <w:tcW w:w="864" w:type="dxa"/>
            <w:gridSpan w:val="2"/>
            <w:tcBorders>
              <w:top w:val="nil"/>
              <w:left w:val="nil"/>
              <w:bottom w:val="single" w:color="auto" w:sz="4" w:space="0"/>
              <w:right w:val="single" w:color="auto" w:sz="4" w:space="0"/>
            </w:tcBorders>
            <w:shd w:val="clear" w:color="auto" w:fill="auto"/>
            <w:vAlign w:val="center"/>
          </w:tcPr>
          <w:p w14:paraId="4B8BCB6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840" w:type="dxa"/>
            <w:tcBorders>
              <w:top w:val="nil"/>
              <w:left w:val="nil"/>
              <w:bottom w:val="single" w:color="auto" w:sz="4" w:space="0"/>
              <w:right w:val="single" w:color="auto" w:sz="4" w:space="0"/>
            </w:tcBorders>
            <w:shd w:val="clear" w:color="auto" w:fill="auto"/>
            <w:vAlign w:val="center"/>
          </w:tcPr>
          <w:p w14:paraId="4F8B902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14:paraId="55A71E7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881" w:type="dxa"/>
            <w:gridSpan w:val="2"/>
            <w:tcBorders>
              <w:top w:val="nil"/>
              <w:left w:val="nil"/>
              <w:bottom w:val="single" w:color="auto" w:sz="4" w:space="0"/>
              <w:right w:val="single" w:color="auto" w:sz="4" w:space="0"/>
            </w:tcBorders>
            <w:shd w:val="clear" w:color="auto" w:fill="auto"/>
            <w:vAlign w:val="center"/>
          </w:tcPr>
          <w:p w14:paraId="5B58648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14:paraId="5DB5746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5223EF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63E4E7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14:paraId="5A1C329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擅自拆卸、挪动公共供水设施或擅自动用消火栓</w:t>
            </w:r>
          </w:p>
        </w:tc>
        <w:tc>
          <w:tcPr>
            <w:tcW w:w="2793" w:type="dxa"/>
            <w:gridSpan w:val="2"/>
            <w:tcBorders>
              <w:top w:val="nil"/>
              <w:left w:val="nil"/>
              <w:bottom w:val="single" w:color="auto" w:sz="4" w:space="0"/>
              <w:right w:val="single" w:color="auto" w:sz="4" w:space="0"/>
            </w:tcBorders>
            <w:shd w:val="clear" w:color="auto" w:fill="auto"/>
            <w:vAlign w:val="center"/>
          </w:tcPr>
          <w:p w14:paraId="5E00E42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违反条款：《城市供水条例》第三十条；《办法》第十五条第一款、第十七条第（三）项；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处罚条款：《城市供水条例》第三十五条第一款第（六）项，责令限期改正，可以处以罚款；《办法》第十九条第一款第（四）项，责令恢复原状，处责任单位1000元以下罚款。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25A770E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 </w:t>
            </w:r>
          </w:p>
        </w:tc>
        <w:tc>
          <w:tcPr>
            <w:tcW w:w="840" w:type="dxa"/>
            <w:tcBorders>
              <w:top w:val="nil"/>
              <w:left w:val="nil"/>
              <w:bottom w:val="single" w:color="auto" w:sz="4" w:space="0"/>
              <w:right w:val="single" w:color="auto" w:sz="4" w:space="0"/>
            </w:tcBorders>
            <w:shd w:val="clear" w:color="auto" w:fill="auto"/>
            <w:vAlign w:val="center"/>
          </w:tcPr>
          <w:p w14:paraId="5D4CFEF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D13341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1.未造成危害后果的，系数为0；2.造成危害后果的，系数为1。3.存在基准2.1.3规定情形的，系数按照相关规定确定（基准2.1.3.5不适用）。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E3588C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tcBorders>
              <w:top w:val="nil"/>
              <w:left w:val="nil"/>
              <w:bottom w:val="single" w:color="auto" w:sz="4" w:space="0"/>
              <w:right w:val="single" w:color="auto" w:sz="4" w:space="0"/>
            </w:tcBorders>
            <w:shd w:val="clear" w:color="auto" w:fill="auto"/>
            <w:vAlign w:val="center"/>
          </w:tcPr>
          <w:p w14:paraId="1D062D2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（一）需要作出500元以下罚款决定的，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（二）擅自动用消火栓的，优先适用《北京市节水条例》。</w:t>
            </w:r>
          </w:p>
        </w:tc>
      </w:tr>
      <w:tr w14:paraId="1A6A03D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5E4351C5">
            <w:pPr>
              <w:widowControl/>
              <w:jc w:val="center"/>
              <w:outlineLvl w:val="1"/>
              <w:rPr>
                <w:rFonts w:hint="eastAsia" w:asciiTheme="minorEastAsia" w:hAnsiTheme="minorEastAsia" w:eastAsiaTheme="minorEastAsia" w:cstheme="minorEastAsia"/>
                <w:color w:val="auto"/>
                <w:kern w:val="0"/>
                <w:szCs w:val="21"/>
                <w:highlight w:val="none"/>
              </w:rPr>
            </w:pPr>
            <w:bookmarkStart w:id="234" w:name="_Toc218468842"/>
            <w:bookmarkStart w:id="235" w:name="_Toc1549297222"/>
            <w:r>
              <w:rPr>
                <w:rFonts w:hint="eastAsia" w:asciiTheme="minorEastAsia" w:hAnsiTheme="minorEastAsia" w:eastAsiaTheme="minorEastAsia" w:cstheme="minorEastAsia"/>
                <w:b/>
                <w:bCs/>
                <w:color w:val="auto"/>
                <w:kern w:val="0"/>
                <w:szCs w:val="21"/>
                <w:highlight w:val="none"/>
              </w:rPr>
              <w:t>《城市供水水质管理规定》案由9项</w:t>
            </w:r>
            <w:bookmarkEnd w:id="234"/>
            <w:bookmarkEnd w:id="235"/>
          </w:p>
        </w:tc>
      </w:tr>
      <w:tr w14:paraId="24AB43B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8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C09952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05EA3DD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城市供水单位、二次供水管理单位未按规定进行水质检测或者委托检测</w:t>
            </w:r>
          </w:p>
        </w:tc>
        <w:tc>
          <w:tcPr>
            <w:tcW w:w="2793" w:type="dxa"/>
            <w:gridSpan w:val="2"/>
            <w:tcBorders>
              <w:top w:val="nil"/>
              <w:left w:val="nil"/>
              <w:bottom w:val="single" w:color="auto" w:sz="4" w:space="0"/>
              <w:right w:val="single" w:color="auto" w:sz="4" w:space="0"/>
            </w:tcBorders>
            <w:shd w:val="clear" w:color="auto" w:fill="auto"/>
            <w:vAlign w:val="center"/>
          </w:tcPr>
          <w:p w14:paraId="615C0FC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违反条款：第十一条第（四）项；第十四条；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处罚条款：第二十九条第（二）项，给予警告，并处以3万元的罚款。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14:paraId="6B809AF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14:paraId="34587F6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14:paraId="7FECC32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14:paraId="2A9152D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14:paraId="1402332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4D81CD3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69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182CE40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71B270A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城市供水单位未选用获证企业净水剂及与制水有关的材料等产品</w:t>
            </w:r>
          </w:p>
        </w:tc>
        <w:tc>
          <w:tcPr>
            <w:tcW w:w="2793" w:type="dxa"/>
            <w:gridSpan w:val="2"/>
            <w:tcBorders>
              <w:top w:val="nil"/>
              <w:left w:val="nil"/>
              <w:bottom w:val="single" w:color="auto" w:sz="4" w:space="0"/>
              <w:right w:val="single" w:color="auto" w:sz="4" w:space="0"/>
            </w:tcBorders>
            <w:shd w:val="clear" w:color="auto" w:fill="auto"/>
            <w:vAlign w:val="center"/>
          </w:tcPr>
          <w:p w14:paraId="5D55942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违反条款：第九条；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处罚条款：第二十九条第（三）项，给予警告，并处以3万元的罚款。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14:paraId="6DF3BE7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14:paraId="755D1F6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14:paraId="4C83F3D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14:paraId="7DEE90D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14:paraId="5E3861C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6484567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68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4DACCA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0EE45FB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城市供水单位使用未经检验或者检验不合格的净水剂及有关制水材料</w:t>
            </w:r>
          </w:p>
        </w:tc>
        <w:tc>
          <w:tcPr>
            <w:tcW w:w="2793" w:type="dxa"/>
            <w:gridSpan w:val="2"/>
            <w:tcBorders>
              <w:top w:val="nil"/>
              <w:left w:val="nil"/>
              <w:bottom w:val="single" w:color="auto" w:sz="4" w:space="0"/>
              <w:right w:val="single" w:color="auto" w:sz="4" w:space="0"/>
            </w:tcBorders>
            <w:shd w:val="clear" w:color="auto" w:fill="auto"/>
            <w:vAlign w:val="center"/>
          </w:tcPr>
          <w:p w14:paraId="6B1090B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违反条款：第九条；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处罚条款：第二十九条第（四）项，给予警告，并处以3万元的罚款。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14:paraId="7D28D6D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14:paraId="1EE11E7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14:paraId="291823A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14:paraId="7416657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14:paraId="6640217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942290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BFDB93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14:paraId="0D21D63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城市供水单位使用未经检验或者检验不合格的城市供水设备、管网</w:t>
            </w:r>
          </w:p>
        </w:tc>
        <w:tc>
          <w:tcPr>
            <w:tcW w:w="2793" w:type="dxa"/>
            <w:gridSpan w:val="2"/>
            <w:tcBorders>
              <w:top w:val="nil"/>
              <w:left w:val="nil"/>
              <w:bottom w:val="single" w:color="auto" w:sz="4" w:space="0"/>
              <w:right w:val="single" w:color="auto" w:sz="4" w:space="0"/>
            </w:tcBorders>
            <w:shd w:val="clear" w:color="auto" w:fill="auto"/>
            <w:vAlign w:val="center"/>
          </w:tcPr>
          <w:p w14:paraId="61DE754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处罚条款：第二十九条第（五）项，给予警告，并处以3万元的罚款。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14:paraId="747C9C9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14:paraId="683E671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14:paraId="7AAE7BB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14:paraId="0F9C3B3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14:paraId="1C09ED5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2334FF7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3CCA03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14:paraId="1FF8593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二次供水管理单位未按规定对各类储水设施进行清洗消毒</w:t>
            </w:r>
          </w:p>
        </w:tc>
        <w:tc>
          <w:tcPr>
            <w:tcW w:w="2793" w:type="dxa"/>
            <w:gridSpan w:val="2"/>
            <w:tcBorders>
              <w:top w:val="nil"/>
              <w:left w:val="nil"/>
              <w:bottom w:val="single" w:color="auto" w:sz="4" w:space="0"/>
              <w:right w:val="single" w:color="auto" w:sz="4" w:space="0"/>
            </w:tcBorders>
            <w:shd w:val="clear" w:color="auto" w:fill="auto"/>
            <w:vAlign w:val="center"/>
          </w:tcPr>
          <w:p w14:paraId="55F8A3F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处罚条款：第二十九条第（六）项，给予警告，并处以3万元的罚款。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14:paraId="6FD05D8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14:paraId="0DA6504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14:paraId="063E1D8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14:paraId="4D7B704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14:paraId="5A2092B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6B596FC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978355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14:paraId="243FB2C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城市供水单位、二次供水管理单位隐瞒、缓报、谎报水质突发事件或者水质信息</w:t>
            </w:r>
          </w:p>
        </w:tc>
        <w:tc>
          <w:tcPr>
            <w:tcW w:w="2793" w:type="dxa"/>
            <w:gridSpan w:val="2"/>
            <w:tcBorders>
              <w:top w:val="nil"/>
              <w:left w:val="nil"/>
              <w:bottom w:val="single" w:color="auto" w:sz="4" w:space="0"/>
              <w:right w:val="single" w:color="auto" w:sz="4" w:space="0"/>
            </w:tcBorders>
            <w:shd w:val="clear" w:color="auto" w:fill="auto"/>
            <w:vAlign w:val="center"/>
          </w:tcPr>
          <w:p w14:paraId="75B7785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处罚条款：第二十九条第（七）项，给予警告，并处以3万元的罚款。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14:paraId="50AD37E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14:paraId="5DCBBA3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14:paraId="1F536C0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14:paraId="3F0CB8E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14:paraId="2F9088B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7B0646B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841E4E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14:paraId="6CACF58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城市供水单位、二次供水管理单位有危害城市供水水质安全其他行为</w:t>
            </w:r>
          </w:p>
        </w:tc>
        <w:tc>
          <w:tcPr>
            <w:tcW w:w="2793" w:type="dxa"/>
            <w:gridSpan w:val="2"/>
            <w:tcBorders>
              <w:top w:val="nil"/>
              <w:left w:val="nil"/>
              <w:bottom w:val="single" w:color="auto" w:sz="4" w:space="0"/>
              <w:right w:val="single" w:color="auto" w:sz="4" w:space="0"/>
            </w:tcBorders>
            <w:shd w:val="clear" w:color="auto" w:fill="auto"/>
            <w:vAlign w:val="center"/>
          </w:tcPr>
          <w:p w14:paraId="3FC4FA5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违反条款：第二十九条第（八）项；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处罚条款：第二十九条第（八）项，给予警告，并处以3万元的罚款。</w:t>
            </w:r>
          </w:p>
        </w:tc>
        <w:tc>
          <w:tcPr>
            <w:tcW w:w="864" w:type="dxa"/>
            <w:gridSpan w:val="2"/>
            <w:tcBorders>
              <w:top w:val="nil"/>
              <w:left w:val="nil"/>
              <w:bottom w:val="single" w:color="auto" w:sz="4" w:space="0"/>
              <w:right w:val="single" w:color="auto" w:sz="4" w:space="0"/>
            </w:tcBorders>
            <w:shd w:val="clear" w:color="auto" w:fill="auto"/>
            <w:vAlign w:val="center"/>
          </w:tcPr>
          <w:p w14:paraId="1D21886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14:paraId="3BEDF5F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14:paraId="6493F44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shd w:val="clear" w:color="auto" w:fill="auto"/>
            <w:vAlign w:val="center"/>
          </w:tcPr>
          <w:p w14:paraId="31FDFA7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14:paraId="2336F91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20A8C01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13CB588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14:paraId="29B36B7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城市供水单位未制定城市供水水质突发事件应急预案</w:t>
            </w:r>
          </w:p>
        </w:tc>
        <w:tc>
          <w:tcPr>
            <w:tcW w:w="2793" w:type="dxa"/>
            <w:gridSpan w:val="2"/>
            <w:tcBorders>
              <w:top w:val="nil"/>
              <w:left w:val="nil"/>
              <w:bottom w:val="single" w:color="auto" w:sz="4" w:space="0"/>
              <w:right w:val="single" w:color="auto" w:sz="4" w:space="0"/>
            </w:tcBorders>
            <w:shd w:val="clear" w:color="auto" w:fill="auto"/>
            <w:vAlign w:val="center"/>
          </w:tcPr>
          <w:p w14:paraId="7908DBC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w:t>
            </w:r>
            <w:r>
              <w:rPr>
                <w:rFonts w:hint="eastAsia" w:asciiTheme="minorEastAsia" w:hAnsiTheme="minorEastAsia" w:eastAsiaTheme="minorEastAsia" w:cstheme="minorEastAsia"/>
                <w:color w:val="auto"/>
                <w:kern w:val="0"/>
                <w:sz w:val="15"/>
                <w:szCs w:val="15"/>
                <w:highlight w:val="none"/>
                <w:lang w:eastAsia="zh-CN"/>
              </w:rPr>
              <w:t>三十</w:t>
            </w:r>
            <w:r>
              <w:rPr>
                <w:rFonts w:hint="eastAsia" w:asciiTheme="minorEastAsia" w:hAnsiTheme="minorEastAsia" w:eastAsiaTheme="minorEastAsia" w:cstheme="minorEastAsia"/>
                <w:color w:val="auto"/>
                <w:kern w:val="0"/>
                <w:sz w:val="15"/>
                <w:szCs w:val="15"/>
                <w:highlight w:val="none"/>
              </w:rPr>
              <w:t>条第（一）项，给予警告，并处以5000元以上2万元以下的罚款。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57E8823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7F66829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9D4CE6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年供水量＜5万立方米，系数为0；2.5万立方米≤年供水量＜50万立方米，系数为1；3.50万立方米≤年供水量＜500万立方米，系数为2；4.500万立方米≤年供水量，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AE37FA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0E6C803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25B4FE6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196C3F4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14:paraId="36BCF8D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城市供水单位未按规定上报水质报表</w:t>
            </w:r>
          </w:p>
        </w:tc>
        <w:tc>
          <w:tcPr>
            <w:tcW w:w="2793" w:type="dxa"/>
            <w:gridSpan w:val="2"/>
            <w:tcBorders>
              <w:top w:val="nil"/>
              <w:left w:val="nil"/>
              <w:bottom w:val="single" w:color="auto" w:sz="4" w:space="0"/>
              <w:right w:val="single" w:color="auto" w:sz="4" w:space="0"/>
            </w:tcBorders>
            <w:shd w:val="clear" w:color="auto" w:fill="auto"/>
            <w:vAlign w:val="center"/>
          </w:tcPr>
          <w:p w14:paraId="112B795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违反条款：第十一条第（六）项；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处罚条款：第三十条第（二）项，给予警告，并处以5000元以上2万元以下的罚款。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28F7B14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65A6941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A91845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并处以下罚款：1.逾期报送时间＜2个工作日，系数为0；2.2个工作日≤逾期报送时间＜4个工作日，系数为1；3.4个工作日≤逾期报送时间＜6个工作日，系数为2；4.6个工作日≤逾期报送时间，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0381A1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044A72E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22258B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456D933E">
            <w:pPr>
              <w:widowControl/>
              <w:jc w:val="center"/>
              <w:outlineLvl w:val="1"/>
              <w:rPr>
                <w:rFonts w:hint="eastAsia" w:asciiTheme="minorEastAsia" w:hAnsiTheme="minorEastAsia" w:eastAsiaTheme="minorEastAsia" w:cstheme="minorEastAsia"/>
                <w:color w:val="auto"/>
                <w:kern w:val="0"/>
                <w:szCs w:val="21"/>
                <w:highlight w:val="none"/>
              </w:rPr>
            </w:pPr>
            <w:bookmarkStart w:id="236" w:name="_Toc491124558"/>
            <w:bookmarkStart w:id="237" w:name="_Toc218468843"/>
            <w:r>
              <w:rPr>
                <w:rFonts w:hint="eastAsia" w:asciiTheme="minorEastAsia" w:hAnsiTheme="minorEastAsia" w:eastAsiaTheme="minorEastAsia" w:cstheme="minorEastAsia"/>
                <w:b/>
                <w:bCs/>
                <w:color w:val="auto"/>
                <w:kern w:val="0"/>
                <w:szCs w:val="21"/>
                <w:highlight w:val="none"/>
              </w:rPr>
              <w:t>《生活饮用水卫生监督管理办法》案由2项</w:t>
            </w:r>
            <w:bookmarkEnd w:id="236"/>
            <w:bookmarkEnd w:id="237"/>
          </w:p>
        </w:tc>
      </w:tr>
      <w:tr w14:paraId="776EDEF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2B6D03C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06249BD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新建、改建、扩建的饮用水供水工程项目未经建设行政主管部门设计审查和竣工验收而擅自建设并投入使用</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28B9EAB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处罚条款：第二十八条第一款第（一）项，责令限期改进，并可处以违法所得3倍以下的罚款，但最高不超过30000元，没有违法所得的可处以10000元以下罚款。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61C6D85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违法所得</w:t>
            </w:r>
          </w:p>
        </w:tc>
        <w:tc>
          <w:tcPr>
            <w:tcW w:w="840" w:type="dxa"/>
            <w:tcBorders>
              <w:top w:val="nil"/>
              <w:left w:val="nil"/>
              <w:bottom w:val="single" w:color="auto" w:sz="4" w:space="0"/>
              <w:right w:val="single" w:color="auto" w:sz="4" w:space="0"/>
            </w:tcBorders>
            <w:shd w:val="clear" w:color="auto" w:fill="auto"/>
            <w:vAlign w:val="center"/>
          </w:tcPr>
          <w:p w14:paraId="0017AC2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FEC45F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1.年设计供水量＜50万立方米，系数为0；2.50万立方米≤年设计供水量＜500万立方米，系数为1；3.500万立方米≤年设计供水量，系数为2。4.存在基准2.1.3规定情形的，系数按照相关规定确定（基准2.1.3.5不适用）。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371E25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罚款金额=违法所得×（1+情节系数）</w:t>
            </w:r>
          </w:p>
        </w:tc>
        <w:tc>
          <w:tcPr>
            <w:tcW w:w="1972" w:type="dxa"/>
            <w:tcBorders>
              <w:top w:val="nil"/>
              <w:left w:val="nil"/>
              <w:bottom w:val="single" w:color="auto" w:sz="4" w:space="0"/>
              <w:right w:val="single" w:color="auto" w:sz="4" w:space="0"/>
            </w:tcBorders>
            <w:shd w:val="clear" w:color="auto" w:fill="auto"/>
            <w:vAlign w:val="center"/>
          </w:tcPr>
          <w:p w14:paraId="40845BD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需要作出1倍以下罚款决定的，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18F9711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2D0BEBF0">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6533D3A1">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457BC324">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40A0718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（无违法所得的）</w:t>
            </w:r>
          </w:p>
        </w:tc>
        <w:tc>
          <w:tcPr>
            <w:tcW w:w="840" w:type="dxa"/>
            <w:tcBorders>
              <w:top w:val="nil"/>
              <w:left w:val="nil"/>
              <w:bottom w:val="single" w:color="auto" w:sz="4" w:space="0"/>
              <w:right w:val="single" w:color="auto" w:sz="4" w:space="0"/>
            </w:tcBorders>
            <w:shd w:val="clear" w:color="auto" w:fill="auto"/>
            <w:vAlign w:val="center"/>
          </w:tcPr>
          <w:p w14:paraId="6BB17DC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65E320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1.年设计供水量＜50万立方米，系数为0；2.50万立方米≤年设计供水量＜500万立方米，系数为2；3.500万立方米≤年设计供水量，系数为4。4.存在基准2.1.3规定情形的，系数按照相关规定确定（基准2.1.3.5不适用）。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6554C1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罚款金额=2000×（1+情节系数）</w:t>
            </w:r>
          </w:p>
        </w:tc>
        <w:tc>
          <w:tcPr>
            <w:tcW w:w="1972" w:type="dxa"/>
            <w:tcBorders>
              <w:top w:val="nil"/>
              <w:left w:val="nil"/>
              <w:bottom w:val="single" w:color="auto" w:sz="4" w:space="0"/>
              <w:right w:val="single" w:color="auto" w:sz="4" w:space="0"/>
            </w:tcBorders>
            <w:shd w:val="clear" w:color="auto" w:fill="auto"/>
            <w:vAlign w:val="center"/>
          </w:tcPr>
          <w:p w14:paraId="4AB1BB3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需要作出2000元以下罚款决定的，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57990AB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07D947B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262CA56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未按规定进行日常性水质检验工作</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398D070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处罚条款：第二十八条第一款第（二）项，责令限期改进，并可处以违法所得3倍以下的罚款，但最高不超过30000元，没有违法所得的可处以10000元以下罚款。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06FF739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违法所得</w:t>
            </w:r>
          </w:p>
        </w:tc>
        <w:tc>
          <w:tcPr>
            <w:tcW w:w="840" w:type="dxa"/>
            <w:tcBorders>
              <w:top w:val="nil"/>
              <w:left w:val="nil"/>
              <w:bottom w:val="single" w:color="auto" w:sz="4" w:space="0"/>
              <w:right w:val="single" w:color="auto" w:sz="4" w:space="0"/>
            </w:tcBorders>
            <w:shd w:val="clear" w:color="auto" w:fill="auto"/>
            <w:vAlign w:val="center"/>
          </w:tcPr>
          <w:p w14:paraId="722C545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60D792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1.年设计供水量＜50万立方米，系数为0；2.50万立方米≤年设计供水量＜500万立方米，系数为1；3.500万立方米≤年设计供水量，系数为2。4.存在基准2.1.3规定情形的，系数按照相关规定确定（基准2.1.3.5不适用）。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F6C0B6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罚款金额=违法所得×（1+情节系数）</w:t>
            </w:r>
          </w:p>
        </w:tc>
        <w:tc>
          <w:tcPr>
            <w:tcW w:w="1972" w:type="dxa"/>
            <w:tcBorders>
              <w:top w:val="nil"/>
              <w:left w:val="nil"/>
              <w:bottom w:val="single" w:color="auto" w:sz="4" w:space="0"/>
              <w:right w:val="single" w:color="auto" w:sz="4" w:space="0"/>
            </w:tcBorders>
            <w:shd w:val="clear" w:color="auto" w:fill="auto"/>
            <w:vAlign w:val="center"/>
          </w:tcPr>
          <w:p w14:paraId="1078B3F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需要作出1倍以下罚款决定的，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5CD2434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6D7E3FA4">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417E6498">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20DB5CF3">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173DEB8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（无违法所得的）</w:t>
            </w:r>
          </w:p>
        </w:tc>
        <w:tc>
          <w:tcPr>
            <w:tcW w:w="840" w:type="dxa"/>
            <w:tcBorders>
              <w:top w:val="nil"/>
              <w:left w:val="nil"/>
              <w:bottom w:val="single" w:color="auto" w:sz="4" w:space="0"/>
              <w:right w:val="single" w:color="auto" w:sz="4" w:space="0"/>
            </w:tcBorders>
            <w:shd w:val="clear" w:color="auto" w:fill="auto"/>
            <w:vAlign w:val="center"/>
          </w:tcPr>
          <w:p w14:paraId="2A2E15E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F48349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1.年设计供水量＜50万立方米，系数为0；2.50万立方米≤年设计供水量＜500万立方米，系数为2；3.500万立方米≤年设计供水量，系数为4。4.存在基准2.1.3规定情形的，系数按照相关规定确定（基准2.1.3.5不适用）。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4DAC91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eastAsia" w:asciiTheme="minorEastAsia" w:hAnsiTheme="minorEastAsia" w:eastAsiaTheme="minorEastAsia" w:cstheme="minorEastAsia"/>
                <w:color w:val="auto"/>
                <w:kern w:val="0"/>
                <w:sz w:val="15"/>
                <w:szCs w:val="15"/>
                <w:highlight w:val="none"/>
                <w:lang w:val="en-US" w:eastAsia="zh-CN"/>
              </w:rPr>
              <w:t>2</w:t>
            </w:r>
            <w:r>
              <w:rPr>
                <w:rFonts w:hint="eastAsia" w:asciiTheme="minorEastAsia" w:hAnsiTheme="minorEastAsia" w:eastAsiaTheme="minorEastAsia" w:cstheme="minorEastAsia"/>
                <w:color w:val="auto"/>
                <w:kern w:val="0"/>
                <w:sz w:val="15"/>
                <w:szCs w:val="15"/>
                <w:highlight w:val="none"/>
              </w:rPr>
              <w:t>000×（1+情节系数）</w:t>
            </w:r>
          </w:p>
        </w:tc>
        <w:tc>
          <w:tcPr>
            <w:tcW w:w="1972" w:type="dxa"/>
            <w:tcBorders>
              <w:top w:val="nil"/>
              <w:left w:val="nil"/>
              <w:bottom w:val="single" w:color="auto" w:sz="4" w:space="0"/>
              <w:right w:val="single" w:color="auto" w:sz="4" w:space="0"/>
            </w:tcBorders>
            <w:shd w:val="clear" w:color="auto" w:fill="auto"/>
            <w:vAlign w:val="center"/>
          </w:tcPr>
          <w:p w14:paraId="6002B22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需要作出2000元以下罚款决定的，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3C839D1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vAlign w:val="center"/>
          </w:tcPr>
          <w:p w14:paraId="55CA5930">
            <w:pPr>
              <w:widowControl/>
              <w:jc w:val="center"/>
              <w:outlineLvl w:val="1"/>
              <w:rPr>
                <w:rFonts w:hint="eastAsia" w:asciiTheme="minorEastAsia" w:hAnsiTheme="minorEastAsia" w:eastAsiaTheme="minorEastAsia" w:cstheme="minorEastAsia"/>
                <w:color w:val="auto"/>
                <w:kern w:val="0"/>
                <w:szCs w:val="21"/>
                <w:highlight w:val="none"/>
              </w:rPr>
            </w:pPr>
            <w:bookmarkStart w:id="238" w:name="_Toc218468844"/>
            <w:bookmarkStart w:id="239" w:name="_Toc38190637"/>
            <w:r>
              <w:rPr>
                <w:rFonts w:hint="eastAsia" w:asciiTheme="minorEastAsia" w:hAnsiTheme="minorEastAsia" w:eastAsiaTheme="minorEastAsia" w:cstheme="minorEastAsia"/>
                <w:b/>
                <w:bCs/>
                <w:color w:val="auto"/>
                <w:kern w:val="0"/>
                <w:szCs w:val="21"/>
                <w:highlight w:val="none"/>
              </w:rPr>
              <w:t>《北京市节水条例》案由7项</w:t>
            </w:r>
            <w:bookmarkEnd w:id="238"/>
            <w:bookmarkEnd w:id="239"/>
          </w:p>
        </w:tc>
      </w:tr>
      <w:tr w14:paraId="354CB48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2083FF9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456E701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产生或者使用有毒有害物质的单位将其生产用水管网与供水管网直接连接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7D6F8A2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处罚条款：第六十三条第一款第（一）项，责令停止违法行为，限期恢复原状或者采取其他补救措施并承担相关费用，对单位处五万元以上十万元以下罚款，对个人处一万元以上五万元以下罚款。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271CC75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14:paraId="2022EB2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6CF60B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1.生产用水管网＜DN100，系数为0；2.DN100≤生产用水管网＜DN300，系数为0.5；3.DN300≤生产用水管网，系数为1。4.存在基准2.1.3规定情形的，系数按照相关规定确定（基准2.1.3.5不适用）。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4A4DED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6A4AE2C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B557F9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45B7FFD3">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3F7C7D5D">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4B7DA0D2">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3F6F651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71580FA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23B363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1.生产用水管网＜DN100，系数为0；2.DN100≤生产用水管网＜DN300，系数为2；3.DN300≤生产用水管网，系数为4。4.存在基准2.1.3规定情形的，系数按照相关规定确定（基准2.1.3.5不适用）。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81914D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7070FB9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794AD70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0DAD6E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6C40127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建设单位或者施工单位未与公共供水单位商定并采取相应的保护措施</w:t>
            </w:r>
          </w:p>
        </w:tc>
        <w:tc>
          <w:tcPr>
            <w:tcW w:w="2793" w:type="dxa"/>
            <w:gridSpan w:val="2"/>
            <w:tcBorders>
              <w:top w:val="nil"/>
              <w:left w:val="nil"/>
              <w:bottom w:val="single" w:color="auto" w:sz="4" w:space="0"/>
              <w:right w:val="single" w:color="auto" w:sz="4" w:space="0"/>
            </w:tcBorders>
            <w:shd w:val="clear" w:color="auto" w:fill="auto"/>
            <w:vAlign w:val="center"/>
          </w:tcPr>
          <w:p w14:paraId="45A86D5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违反条款：第二十五条第二款；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处罚条款：第五十九条，责令限期改正，给予警告；逾期不改正的，处二万元以上五万元以下罚款。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1090DF5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40CC272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EF0215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（一）限期改正，给予警告：（二）逾期不改正的，处以下罚款：1.施工区域内涉及1个检查井或涉及管网管径＜DN100，系数为0；2.施工区域内涉及2</w:t>
            </w:r>
            <w:r>
              <w:rPr>
                <w:rFonts w:hint="eastAsia" w:asciiTheme="minorEastAsia" w:hAnsiTheme="minorEastAsia" w:eastAsiaTheme="minorEastAsia" w:cstheme="minorEastAsia"/>
                <w:color w:val="auto"/>
                <w:kern w:val="0"/>
                <w:sz w:val="15"/>
                <w:szCs w:val="15"/>
                <w:highlight w:val="none"/>
                <w:lang w:val="en-US" w:eastAsia="zh-CN"/>
              </w:rPr>
              <w:t>-</w:t>
            </w:r>
            <w:r>
              <w:rPr>
                <w:rFonts w:hint="eastAsia" w:asciiTheme="minorEastAsia" w:hAnsiTheme="minorEastAsia" w:eastAsiaTheme="minorEastAsia" w:cstheme="minorEastAsia"/>
                <w:color w:val="auto"/>
                <w:kern w:val="0"/>
                <w:sz w:val="15"/>
                <w:szCs w:val="15"/>
                <w:highlight w:val="none"/>
              </w:rPr>
              <w:t>3个检查井或DN100≤涉及管网管径＜DN600，系数为0.5；3.施工区域内涉及4-6个检查井或DN600≤涉及管网管径＜DN1000，系数为1；4.施工区域内涉及7个检查井及以上或DN1000≤涉及管网管径，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C4F758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2D97E33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900A91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7A2FF0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0A06A07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居民生活用水变更为非居民用水未及时向供水单位报告</w:t>
            </w:r>
          </w:p>
        </w:tc>
        <w:tc>
          <w:tcPr>
            <w:tcW w:w="2793" w:type="dxa"/>
            <w:gridSpan w:val="2"/>
            <w:tcBorders>
              <w:top w:val="nil"/>
              <w:left w:val="nil"/>
              <w:bottom w:val="single" w:color="auto" w:sz="4" w:space="0"/>
              <w:right w:val="single" w:color="auto" w:sz="4" w:space="0"/>
            </w:tcBorders>
            <w:shd w:val="clear" w:color="auto" w:fill="auto"/>
            <w:vAlign w:val="center"/>
          </w:tcPr>
          <w:p w14:paraId="3959066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处罚条款：第六十条第一款，责令限期改正；逾期不改正的，处应补缴水费一倍以上三倍以下罚款。</w:t>
            </w:r>
          </w:p>
        </w:tc>
        <w:tc>
          <w:tcPr>
            <w:tcW w:w="864" w:type="dxa"/>
            <w:gridSpan w:val="2"/>
            <w:tcBorders>
              <w:top w:val="nil"/>
              <w:left w:val="nil"/>
              <w:bottom w:val="single" w:color="auto" w:sz="4" w:space="0"/>
              <w:right w:val="single" w:color="auto" w:sz="4" w:space="0"/>
            </w:tcBorders>
            <w:shd w:val="clear" w:color="auto" w:fill="auto"/>
            <w:vAlign w:val="center"/>
          </w:tcPr>
          <w:p w14:paraId="394D786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应补缴水费</w:t>
            </w:r>
          </w:p>
        </w:tc>
        <w:tc>
          <w:tcPr>
            <w:tcW w:w="840" w:type="dxa"/>
            <w:tcBorders>
              <w:top w:val="nil"/>
              <w:left w:val="nil"/>
              <w:bottom w:val="single" w:color="auto" w:sz="4" w:space="0"/>
              <w:right w:val="single" w:color="auto" w:sz="4" w:space="0"/>
            </w:tcBorders>
            <w:shd w:val="clear" w:color="auto" w:fill="auto"/>
            <w:vAlign w:val="center"/>
          </w:tcPr>
          <w:p w14:paraId="4A89F14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EE8A31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用水量＜20立方米，系数为0；2.20立方米≤日用水量＜30立方米，系数为0.5；3.30立方米≤日用水量＜70立方米，系数为1；4.70立方米≤日用水量＜100立方米，系数为1.5；5.100立方米≤日用水量，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D318A3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罚款金额=应补缴水费×（1+情节系数）</w:t>
            </w:r>
          </w:p>
        </w:tc>
        <w:tc>
          <w:tcPr>
            <w:tcW w:w="1972" w:type="dxa"/>
            <w:tcBorders>
              <w:top w:val="nil"/>
              <w:left w:val="nil"/>
              <w:bottom w:val="single" w:color="auto" w:sz="4" w:space="0"/>
              <w:right w:val="single" w:color="auto" w:sz="4" w:space="0"/>
            </w:tcBorders>
            <w:shd w:val="clear" w:color="auto" w:fill="auto"/>
            <w:vAlign w:val="center"/>
          </w:tcPr>
          <w:p w14:paraId="224117F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4521780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68ED952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57F8242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供水单位未按照国家和本市有关规定对供水管网进行巡护、检查、维修、管理</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5315F52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处罚条款：第五十八条，责令限期改正，给予警告；逾期不改正的，处一万元以上十万元以下罚款；造成严重后果的，处十万元以上五十万元以下罚款。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0BE02B3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07ADDD0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B1596F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给予警告；（二）逾期不改正的，处以下罚款：1.漏巡漏检长度占应巡应检管网总长度＜10%，系数为0；2.10%≤漏巡漏检长度占应巡应检管网总长度＜30%，系数为2；3.30%≤漏巡漏检长度占应巡应检管网总长度＜50%，系数为4；4.50%≤漏巡漏检长度占应巡应检管网总长度＜70%，系数为6；5.70%≤漏巡漏检长度占应巡应检管网总长度，系数为9。6.漏巡漏检2次，系数加1，每多1次，系数相应加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BC6E73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4A23996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（一）两年度内多次漏巡漏检的，以漏巡漏检管网长度较长的为准。</w:t>
            </w:r>
          </w:p>
        </w:tc>
      </w:tr>
      <w:tr w14:paraId="6C47EC5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42B4C434">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2E5217CB">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2049A853">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2F63346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14:paraId="2F2F7DB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DC92DB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的，处以下罚款：1.12小时≤3000户以上居民停水时间＜24小时，系数为0；2.24小时≤3000户以上居民停水时间＜48小时，系数为0.5；3.48小时≤3000户以上居民停水时间，系数为1；4.漏巡漏检2次，系数加1，每多1次，系数相应加1。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47B116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14:paraId="00CF6D8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（一）造成3000户以上居民停水时间≥12小时，可视为严重后果。</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（二）两年度内多次漏巡漏检的，以漏巡漏检管网长度较长的为准。</w:t>
            </w:r>
          </w:p>
        </w:tc>
      </w:tr>
      <w:tr w14:paraId="5C1401E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0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0A0035D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25BE530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破坏或者损坏供水管网、雨水管网、污水管网、再生水管网及其附属设施</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5EAEE62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处罚条款：第六十三条第二款，责令改正，恢复原状或者采取其他补救措施，处十万元以下罚款；造成严重后果的，处十万元以上三十万元以下罚款。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8B0E9B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463F4FD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64E2E2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损坏对象为非主干管或小型附属设施（如支管、阀门井盖板）或管径＜DN200，系数为0；2.损坏对象为区域性附属设施（如雨水箅子、检查井）或DN200≤管径＜DN300，系数为2；3.损坏对象为关键设施（如泵站、污水处理设备）或DN300≤管径＜DN400，系数为4；4.损坏对象为城市级枢纽设施（如再生水调蓄池、污水处理厂进水口）或DN400≤管径＜DN500，系数为6；5.损坏对象为城市主干网或核心设施（如饮用水源地输水管、输水主干管）或DN500≤管径＜DN600，系数为8。6.DN600≤管径＜DN800，系数为9。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94D332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3B94080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3988F9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0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71F9AD91">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5093C65D">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17633D52">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689B957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14:paraId="4F6630B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27CF05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造成严重后果的，处以下罚款：1. 12小时≤3000户以上居民停水时间＜24小时或DN800≤管径＜DN1200，系数为0；2. 24小时≤3000户以上居民停水时间＜36小时或DN1200≤管径＜DN1400，系数为0.4；3. 36小时≤3000户以上居民停水时间＜48小时或DN1400≤管径＜DN1600，系数为0.8；4. 48小时≤3000户以上居民停水时间＜60小时或DN1600≤管径＜DN1800，系数为1.2；5. 60小时≤3000户以上居民停水时间＜72小时或DN1800≤管径＜DN2000，系数为1.6；6. 72小时≤3000户以上居民停水时间＜84小时或DN2000≤管径，系数为2；7.存在基准2.1.3规定情形的，系数按照相关规定确定（基准2.1.3.5不适用）。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96B5E7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14:paraId="71D06CB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存在以下情形之一的，可视为严重后果：1.造成3000户以上居民停水时间≥12小时；2.管径≥DN800。</w:t>
            </w:r>
          </w:p>
        </w:tc>
      </w:tr>
      <w:tr w14:paraId="2A714F9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3138196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23D840C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供水单位、用水户擅自停止使用、拆除水计量设施或者破坏计量设施准确度</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42982CB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违反条款：第五十二条；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处罚条款：第六十九条，责令限期改正，对单位处五千元以上二万元以下罚款，对个人处五百元以上五千元以下罚款。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529822B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14:paraId="18CE6B5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EE364D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1.产生用水量＜50立方米，系数为0；2.50立方米≤产生用水量＜100立方米，系数为1；3.100立方米≤产生用水量＜150立方米，系数为2；4.150立方米≤产生用水量或造成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91AA8A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1CE9080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DEE1F9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53767A7F">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65E696DD">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292573AC">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4BF55AF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78117EC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9892D2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1.产生用水量＜50立方米，系数为0；2.50立方米≤产生用水量＜100立方米，系数为2；3.100立方米≤产生用水量＜150立方米，系数为4；4.150立方米≤产生用水量＜250立方米，系数为6；5.250立方米≤产生用水量或造成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105EC1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vMerge w:val="continue"/>
            <w:tcBorders>
              <w:top w:val="nil"/>
              <w:left w:val="single" w:color="auto" w:sz="4" w:space="0"/>
              <w:bottom w:val="single" w:color="auto" w:sz="4" w:space="0"/>
              <w:right w:val="single" w:color="auto" w:sz="4" w:space="0"/>
            </w:tcBorders>
            <w:vAlign w:val="center"/>
          </w:tcPr>
          <w:p w14:paraId="77F985F1">
            <w:pPr>
              <w:widowControl/>
              <w:jc w:val="left"/>
              <w:rPr>
                <w:rFonts w:hint="eastAsia" w:asciiTheme="minorEastAsia" w:hAnsiTheme="minorEastAsia" w:eastAsiaTheme="minorEastAsia" w:cstheme="minorEastAsia"/>
                <w:color w:val="auto"/>
                <w:kern w:val="0"/>
                <w:sz w:val="15"/>
                <w:szCs w:val="15"/>
                <w:highlight w:val="none"/>
              </w:rPr>
            </w:pPr>
          </w:p>
        </w:tc>
      </w:tr>
      <w:tr w14:paraId="35CD601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1F9C1CA3">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30267F23">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tcBorders>
              <w:top w:val="nil"/>
              <w:left w:val="nil"/>
              <w:bottom w:val="single" w:color="auto" w:sz="4" w:space="0"/>
              <w:right w:val="single" w:color="auto" w:sz="4" w:space="0"/>
            </w:tcBorders>
            <w:shd w:val="clear" w:color="auto" w:fill="auto"/>
            <w:vAlign w:val="center"/>
          </w:tcPr>
          <w:p w14:paraId="4F6B77B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违反条款：第五十二条；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处罚条款：第六十九条，责令限期改正，可以处二千元以下罚款。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BC400E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 </w:t>
            </w:r>
          </w:p>
        </w:tc>
        <w:tc>
          <w:tcPr>
            <w:tcW w:w="840" w:type="dxa"/>
            <w:tcBorders>
              <w:top w:val="nil"/>
              <w:left w:val="nil"/>
              <w:bottom w:val="single" w:color="auto" w:sz="4" w:space="0"/>
              <w:right w:val="single" w:color="auto" w:sz="4" w:space="0"/>
            </w:tcBorders>
            <w:shd w:val="clear" w:color="auto" w:fill="auto"/>
            <w:vAlign w:val="center"/>
          </w:tcPr>
          <w:p w14:paraId="137F86A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BCE6AA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1.产生用水量＜50立方米，系数为0；2.50立方米≤产生用水量＜100立方米，系数为1；3.100立方米≤产生用水量＜150立方米，系数为2；4.150立方米≤产生用水量或造成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D13755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tcBorders>
              <w:top w:val="nil"/>
              <w:left w:val="nil"/>
              <w:bottom w:val="single" w:color="auto" w:sz="4" w:space="0"/>
              <w:right w:val="single" w:color="auto" w:sz="4" w:space="0"/>
            </w:tcBorders>
            <w:shd w:val="clear" w:color="auto" w:fill="auto"/>
            <w:vAlign w:val="center"/>
          </w:tcPr>
          <w:p w14:paraId="666ECF1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14:paraId="4A6B733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7938855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037DF18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将雨水管网、污水管网、再生水管网混接</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54A767F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处罚条款：第六十三条第一款第（三）项，责令停止违法行为，限期恢复原状或者采取其他补救措施并承担相关费用，对单位处五万元以上十万元以下罚款，对个人处一万元以上五万元以下罚款。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51D50BF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14:paraId="6C27AC9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C295FB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1.混接管网管径＜DN100，系数为0；2.DN100≤混接管网管径＜DN300，系数为0.5；3.DN300≤混接管网管径或造成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BD98D5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4957C3A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B536E4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5CB26486">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2CEC2DFD">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504757F4">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5FE9EF4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292E58B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C395C3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1.混接管网管径＜DN100，系数为0；2.DN100≤混接管网管径＜DN300，系数为2；3.DN300≤混接管网管径或造成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1833B7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continue"/>
            <w:tcBorders>
              <w:top w:val="nil"/>
              <w:left w:val="single" w:color="auto" w:sz="4" w:space="0"/>
              <w:bottom w:val="single" w:color="auto" w:sz="4" w:space="0"/>
              <w:right w:val="single" w:color="auto" w:sz="4" w:space="0"/>
            </w:tcBorders>
            <w:vAlign w:val="center"/>
          </w:tcPr>
          <w:p w14:paraId="46E0B70E">
            <w:pPr>
              <w:widowControl/>
              <w:jc w:val="left"/>
              <w:rPr>
                <w:rFonts w:hint="eastAsia" w:asciiTheme="minorEastAsia" w:hAnsiTheme="minorEastAsia" w:eastAsiaTheme="minorEastAsia" w:cstheme="minorEastAsia"/>
                <w:color w:val="auto"/>
                <w:kern w:val="0"/>
                <w:sz w:val="15"/>
                <w:szCs w:val="15"/>
                <w:highlight w:val="none"/>
              </w:rPr>
            </w:pPr>
          </w:p>
        </w:tc>
      </w:tr>
      <w:tr w14:paraId="18642F2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14:paraId="5F5EC195">
            <w:pPr>
              <w:widowControl/>
              <w:jc w:val="center"/>
              <w:outlineLvl w:val="1"/>
              <w:rPr>
                <w:rFonts w:hint="eastAsia" w:asciiTheme="minorEastAsia" w:hAnsiTheme="minorEastAsia" w:eastAsiaTheme="minorEastAsia" w:cstheme="minorEastAsia"/>
                <w:color w:val="auto"/>
                <w:kern w:val="0"/>
                <w:szCs w:val="21"/>
                <w:highlight w:val="none"/>
              </w:rPr>
            </w:pPr>
            <w:bookmarkStart w:id="240" w:name="_Toc218468845"/>
            <w:bookmarkStart w:id="241" w:name="_Toc656996450"/>
            <w:r>
              <w:rPr>
                <w:rFonts w:hint="eastAsia" w:asciiTheme="minorEastAsia" w:hAnsiTheme="minorEastAsia" w:eastAsiaTheme="minorEastAsia" w:cstheme="minorEastAsia"/>
                <w:b/>
                <w:bCs/>
                <w:color w:val="auto"/>
                <w:kern w:val="0"/>
                <w:szCs w:val="21"/>
                <w:highlight w:val="none"/>
              </w:rPr>
              <w:t>《北京市物业管理条例》案由1项</w:t>
            </w:r>
            <w:bookmarkEnd w:id="240"/>
            <w:bookmarkEnd w:id="241"/>
          </w:p>
        </w:tc>
      </w:tr>
      <w:tr w14:paraId="3B1084C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7C23FC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25D99C5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擅自拆改供水、排水、再生水等管线</w:t>
            </w:r>
          </w:p>
        </w:tc>
        <w:tc>
          <w:tcPr>
            <w:tcW w:w="2793" w:type="dxa"/>
            <w:gridSpan w:val="2"/>
            <w:tcBorders>
              <w:top w:val="nil"/>
              <w:left w:val="nil"/>
              <w:bottom w:val="single" w:color="auto" w:sz="4" w:space="0"/>
              <w:right w:val="single" w:color="auto" w:sz="4" w:space="0"/>
            </w:tcBorders>
            <w:shd w:val="clear" w:color="auto" w:fill="auto"/>
            <w:vAlign w:val="center"/>
          </w:tcPr>
          <w:p w14:paraId="4053C1B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违反条款：第七十八条第（六）项；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处罚条款：第九十八条第一款第（六）项，责令限期改正，处一万元以上三万元以下的罚款。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64A9466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67500D5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2B0256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拆改管网管径＜DN100或拆改管网长度＜10米，系数为0；2.DN100≤拆改管网管径＜DN300或10米≤拆改管网长度＜30米，系数为0.5；3.DN300≤拆改管网管径＜DN600或30米≤拆改管网长度＜60米，系数为1；4.DN600≤拆改管网管径＜DN1500或60米≤拆改管网长度＜150米，系数为1.5；5.DN1500≤拆改管网管径或150米≤拆改管网长度，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2297AD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6E94E0F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82CBAF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5D31E11C">
            <w:pPr>
              <w:widowControl/>
              <w:jc w:val="center"/>
              <w:outlineLvl w:val="1"/>
              <w:rPr>
                <w:rFonts w:hint="eastAsia" w:asciiTheme="minorEastAsia" w:hAnsiTheme="minorEastAsia" w:eastAsiaTheme="minorEastAsia" w:cstheme="minorEastAsia"/>
                <w:color w:val="auto"/>
                <w:kern w:val="0"/>
                <w:szCs w:val="21"/>
                <w:highlight w:val="none"/>
              </w:rPr>
            </w:pPr>
            <w:bookmarkStart w:id="242" w:name="_Toc557309740"/>
            <w:bookmarkStart w:id="243" w:name="_Toc218468846"/>
            <w:r>
              <w:rPr>
                <w:rFonts w:hint="eastAsia" w:asciiTheme="minorEastAsia" w:hAnsiTheme="minorEastAsia" w:eastAsiaTheme="minorEastAsia" w:cstheme="minorEastAsia"/>
                <w:b/>
                <w:bCs/>
                <w:color w:val="auto"/>
                <w:kern w:val="0"/>
                <w:szCs w:val="21"/>
                <w:highlight w:val="none"/>
              </w:rPr>
              <w:t>《北京市城市公共供水管理办法》案由7项</w:t>
            </w:r>
            <w:bookmarkEnd w:id="242"/>
            <w:bookmarkEnd w:id="243"/>
          </w:p>
        </w:tc>
      </w:tr>
      <w:tr w14:paraId="6540F1F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1AC5464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76C742E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城市公共供水企业对公共供水设施不做定期检查、维护，造成公共供水设施损坏或者发生供水事故</w:t>
            </w:r>
          </w:p>
        </w:tc>
        <w:tc>
          <w:tcPr>
            <w:tcW w:w="2793" w:type="dxa"/>
            <w:gridSpan w:val="2"/>
            <w:tcBorders>
              <w:top w:val="nil"/>
              <w:left w:val="nil"/>
              <w:bottom w:val="single" w:color="auto" w:sz="4" w:space="0"/>
              <w:right w:val="single" w:color="auto" w:sz="4" w:space="0"/>
            </w:tcBorders>
            <w:shd w:val="clear" w:color="auto" w:fill="auto"/>
            <w:vAlign w:val="center"/>
          </w:tcPr>
          <w:p w14:paraId="4F20714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处罚条款：第十八条第一款第（二）项，处3000元以下罚款。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759BD1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600 </w:t>
            </w:r>
          </w:p>
        </w:tc>
        <w:tc>
          <w:tcPr>
            <w:tcW w:w="840" w:type="dxa"/>
            <w:tcBorders>
              <w:top w:val="nil"/>
              <w:left w:val="nil"/>
              <w:bottom w:val="single" w:color="auto" w:sz="4" w:space="0"/>
              <w:right w:val="single" w:color="auto" w:sz="4" w:space="0"/>
            </w:tcBorders>
            <w:shd w:val="clear" w:color="auto" w:fill="auto"/>
            <w:vAlign w:val="center"/>
          </w:tcPr>
          <w:p w14:paraId="0C8537C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FF2EAC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造成设施损坏但未影响正常供水，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942045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罚款金额=600×（1+情节系数）</w:t>
            </w:r>
          </w:p>
        </w:tc>
        <w:tc>
          <w:tcPr>
            <w:tcW w:w="1972" w:type="dxa"/>
            <w:tcBorders>
              <w:top w:val="nil"/>
              <w:left w:val="nil"/>
              <w:bottom w:val="single" w:color="auto" w:sz="4" w:space="0"/>
              <w:right w:val="single" w:color="auto" w:sz="4" w:space="0"/>
            </w:tcBorders>
            <w:shd w:val="clear" w:color="auto" w:fill="auto"/>
            <w:vAlign w:val="center"/>
          </w:tcPr>
          <w:p w14:paraId="00A96B4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（一）需要作出600元以下罚款决定的，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14:paraId="1ED74A8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3325A2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4E5B658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供水设施发生故障，影响正常供水，不及时抢修</w:t>
            </w:r>
          </w:p>
        </w:tc>
        <w:tc>
          <w:tcPr>
            <w:tcW w:w="2793" w:type="dxa"/>
            <w:gridSpan w:val="2"/>
            <w:tcBorders>
              <w:top w:val="nil"/>
              <w:left w:val="nil"/>
              <w:bottom w:val="single" w:color="auto" w:sz="4" w:space="0"/>
              <w:right w:val="single" w:color="auto" w:sz="4" w:space="0"/>
            </w:tcBorders>
            <w:shd w:val="clear" w:color="auto" w:fill="auto"/>
            <w:vAlign w:val="center"/>
          </w:tcPr>
          <w:p w14:paraId="6682168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违反条款：第四条第一款第（四）项；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处罚条款：第十八条第一款第（三）项，处5000元以下罚款。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8B0CE1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14:paraId="23FC5DA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CC39F1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影响小区＜1个（未整体影响）或影响居民户＜500户或停水时间＜2小时，系数为0；2.1个≤影响小区＜3个或500户≤影响居民户＜1000户或2小时≤停水时间＜12小时，系数为1；3.3个≤影响小区＜5个或1000户≤影响居民户＜3000户或12小时≤停水时间＜18小时，系数为2；4.5个≤影响小区＜10个或3000户≤影响居民户＜5000户或18小时≤停水时间＜24小时，系数为3。5.10个≤影响小区或5000户≤影响居民户或24小时≤停水时间或情节严重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A430CA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14:paraId="614712E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（一）供水设施发生故障导致出水水质连续三次检测不达标视为情节严重。拟作出停业整顿的，在作出处罚决定前，要邀请行业主管部门共同会商，并报相关人民政府批准。</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14:paraId="00110CB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9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A6C09C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5EC530D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用水单位或居民利用公共供水设施转售用水</w:t>
            </w:r>
          </w:p>
        </w:tc>
        <w:tc>
          <w:tcPr>
            <w:tcW w:w="2793" w:type="dxa"/>
            <w:gridSpan w:val="2"/>
            <w:tcBorders>
              <w:top w:val="nil"/>
              <w:left w:val="nil"/>
              <w:bottom w:val="single" w:color="auto" w:sz="4" w:space="0"/>
              <w:right w:val="single" w:color="auto" w:sz="4" w:space="0"/>
            </w:tcBorders>
            <w:shd w:val="clear" w:color="auto" w:fill="auto"/>
            <w:vAlign w:val="center"/>
          </w:tcPr>
          <w:p w14:paraId="545A93B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违反条款：第五条第（四）项；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处罚条款：第十九条第一款第（一）项，责令改正，处3000元以下罚款，情节严重的，可以依法停止供水。</w:t>
            </w:r>
          </w:p>
        </w:tc>
        <w:tc>
          <w:tcPr>
            <w:tcW w:w="864" w:type="dxa"/>
            <w:gridSpan w:val="2"/>
            <w:tcBorders>
              <w:top w:val="nil"/>
              <w:left w:val="nil"/>
              <w:bottom w:val="single" w:color="auto" w:sz="4" w:space="0"/>
              <w:right w:val="single" w:color="auto" w:sz="4" w:space="0"/>
            </w:tcBorders>
            <w:shd w:val="clear" w:color="auto" w:fill="auto"/>
            <w:vAlign w:val="center"/>
          </w:tcPr>
          <w:p w14:paraId="2A0F8B3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14:paraId="10B5D70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D227B2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转售用水量＜100立方米，系数为0；2.100立方米≤转售用水量＜200立方米，系数为0.5；3.200立方米≤转售用水量＜300立方米，系数为1；4.300立方米≤转售用水量＜400立方米，系数为1.5；5.400立方米≤转售用水量或情节严重的，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BA1D47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14:paraId="6320FD1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存在以下情形之一的，可视为情节严重：1.拒不改正且转售用水量＞1000立方米；2.经执法部门处罚后，一年度内再次发生同类型违法行为。拟作出停止供水的（限制生产经营），在作出处罚决定前，要邀请行业主管部门共同会商。</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（二）需要作出1000元以下罚款决定的，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14:paraId="6877646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534D47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14:paraId="560AD42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在埋设公共供水设施的地面上及两侧安全间距内挖坑、取土、植树、埋杆、倾倒废渣废液</w:t>
            </w:r>
          </w:p>
        </w:tc>
        <w:tc>
          <w:tcPr>
            <w:tcW w:w="2793" w:type="dxa"/>
            <w:gridSpan w:val="2"/>
            <w:tcBorders>
              <w:top w:val="nil"/>
              <w:left w:val="nil"/>
              <w:bottom w:val="single" w:color="auto" w:sz="4" w:space="0"/>
              <w:right w:val="single" w:color="auto" w:sz="4" w:space="0"/>
            </w:tcBorders>
            <w:shd w:val="clear" w:color="auto" w:fill="auto"/>
            <w:vAlign w:val="center"/>
          </w:tcPr>
          <w:p w14:paraId="49A0580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处罚条款：第十九条第（五）项，责令改正，恢复原状，处责任单位3000元以下罚款。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69B9A26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14:paraId="0C64E21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A3B83E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1.未对公共供水设施造成实际影响的，系数为0；2.对公共供水设施造成实际影响的，系数为2。3.存在基准2.1.3规定情形的，系数按照相关规定确定（基准2.1.3.5不适用）。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A3C1CC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14:paraId="6AE7437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14:paraId="4B0CD6C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AB45E9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14:paraId="45D3A50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在埋设公共供水设施的地面上及两侧安全间距内修建与公共供水无关的建筑物、构筑物或堆物堆料</w:t>
            </w:r>
          </w:p>
        </w:tc>
        <w:tc>
          <w:tcPr>
            <w:tcW w:w="2793" w:type="dxa"/>
            <w:gridSpan w:val="2"/>
            <w:tcBorders>
              <w:top w:val="nil"/>
              <w:left w:val="nil"/>
              <w:bottom w:val="single" w:color="auto" w:sz="4" w:space="0"/>
              <w:right w:val="single" w:color="auto" w:sz="4" w:space="0"/>
            </w:tcBorders>
            <w:shd w:val="clear" w:color="auto" w:fill="auto"/>
            <w:vAlign w:val="center"/>
          </w:tcPr>
          <w:p w14:paraId="51945E2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违反条款：第十七条第（七）项；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处罚条款：第十九条第（六）项，责令限期拆除或者清除，处责任单位5000元以下罚款。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5C78187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shd w:val="clear" w:color="auto" w:fill="auto"/>
            <w:vAlign w:val="center"/>
          </w:tcPr>
          <w:p w14:paraId="26C53E7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CE5913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1.占压管径＜DN600或除水源井外的</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公共供水设施及其安全范围，系数为0；2.占压管径≥DN600或水源井及其安全范围，系数为0.5；3.堆放易燃易爆等危险物品，系数为1；4.造成严重供水事故，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96D6CF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罚款金额=2000×（1+情节系数）</w:t>
            </w:r>
          </w:p>
        </w:tc>
        <w:tc>
          <w:tcPr>
            <w:tcW w:w="1972" w:type="dxa"/>
            <w:tcBorders>
              <w:top w:val="nil"/>
              <w:left w:val="nil"/>
              <w:bottom w:val="single" w:color="auto" w:sz="4" w:space="0"/>
              <w:right w:val="single" w:color="auto" w:sz="4" w:space="0"/>
            </w:tcBorders>
            <w:shd w:val="clear" w:color="auto" w:fill="auto"/>
            <w:vAlign w:val="center"/>
          </w:tcPr>
          <w:p w14:paraId="5C5676A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需要作出2000元以下罚款决定的，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1C64291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3EAFAE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14:paraId="5E3C565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将自备水源管道与公共供水设施接通或者在公共供水管网上直抽加压</w:t>
            </w:r>
          </w:p>
        </w:tc>
        <w:tc>
          <w:tcPr>
            <w:tcW w:w="2793" w:type="dxa"/>
            <w:gridSpan w:val="2"/>
            <w:tcBorders>
              <w:top w:val="nil"/>
              <w:left w:val="nil"/>
              <w:bottom w:val="single" w:color="auto" w:sz="4" w:space="0"/>
              <w:right w:val="single" w:color="auto" w:sz="4" w:space="0"/>
            </w:tcBorders>
            <w:shd w:val="clear" w:color="auto" w:fill="auto"/>
            <w:vAlign w:val="center"/>
          </w:tcPr>
          <w:p w14:paraId="0B5888B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违反条款：第十七条第（四）项、第（五）项；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处罚条款：第十九条第一款第（三）项，责令拆除，处责任单位3000元以下罚款。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D5BB17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14:paraId="49114B9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86289E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管网管径＜DN100，系数为0；2.DN100≤管网管径＜DN300，系数为0.5；3.DN300≤管网管径＜DN600，系数为1；4.DN600≤管网管径＜DN1500，系数为1.5；5.DN1500≤管网管径，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91F7C5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14:paraId="4641C97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14:paraId="08CDB67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1E9356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14:paraId="0897899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擅自接装、改装公共供水设施或者在水表井安装水管管线、穿插其他管道</w:t>
            </w:r>
          </w:p>
        </w:tc>
        <w:tc>
          <w:tcPr>
            <w:tcW w:w="2793" w:type="dxa"/>
            <w:gridSpan w:val="2"/>
            <w:tcBorders>
              <w:top w:val="nil"/>
              <w:left w:val="nil"/>
              <w:bottom w:val="single" w:color="auto" w:sz="4" w:space="0"/>
              <w:right w:val="single" w:color="auto" w:sz="4" w:space="0"/>
            </w:tcBorders>
            <w:shd w:val="clear" w:color="auto" w:fill="auto"/>
            <w:vAlign w:val="center"/>
          </w:tcPr>
          <w:p w14:paraId="548ED1A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违反条款：第十七条第（一）项、第（二）项；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处罚条款：第十九条第一款第（二）项，责令拆除，处责任单位3000元以下罚款。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3138801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14:paraId="225B47E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614CE8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1.接装、改装公共供水设施1个或管网管径＜DN100，系数为0；2.接装、改装公共供水设施</w:t>
            </w:r>
            <w:r>
              <w:rPr>
                <w:rFonts w:hint="eastAsia" w:asciiTheme="minorEastAsia" w:hAnsiTheme="minorEastAsia" w:eastAsiaTheme="minorEastAsia" w:cstheme="minorEastAsia"/>
                <w:color w:val="auto"/>
                <w:kern w:val="0"/>
                <w:sz w:val="15"/>
                <w:szCs w:val="15"/>
                <w:highlight w:val="none"/>
                <w:lang w:val="en-US" w:eastAsia="zh-CN"/>
              </w:rPr>
              <w:t>2-3</w:t>
            </w:r>
            <w:r>
              <w:rPr>
                <w:rFonts w:hint="eastAsia" w:asciiTheme="minorEastAsia" w:hAnsiTheme="minorEastAsia" w:eastAsiaTheme="minorEastAsia" w:cstheme="minorEastAsia"/>
                <w:color w:val="auto"/>
                <w:kern w:val="0"/>
                <w:sz w:val="15"/>
                <w:szCs w:val="15"/>
                <w:highlight w:val="none"/>
              </w:rPr>
              <w:t>个或DN100≤管网管径＜DN300，系数为0.5；3.接装、改装公共供水设施4-6个或DN300≤管网管径＜DN600，系数为1；4.接装、改装公共供水设施7-9个或DN600≤管网管径＜DN1500，系数为1.5；5.接装、改装公共供水设施10个以上或DN1500≤混接管网管径，系数为2。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72C087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14:paraId="142FC7C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14:paraId="0802C42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1F7A49E3">
            <w:pPr>
              <w:widowControl/>
              <w:jc w:val="center"/>
              <w:outlineLvl w:val="1"/>
              <w:rPr>
                <w:rFonts w:hint="eastAsia" w:asciiTheme="minorEastAsia" w:hAnsiTheme="minorEastAsia" w:eastAsiaTheme="minorEastAsia" w:cstheme="minorEastAsia"/>
                <w:color w:val="auto"/>
                <w:kern w:val="0"/>
                <w:szCs w:val="21"/>
                <w:highlight w:val="none"/>
              </w:rPr>
            </w:pPr>
            <w:bookmarkStart w:id="244" w:name="_Toc121246374"/>
            <w:bookmarkStart w:id="245" w:name="_Toc218468847"/>
            <w:r>
              <w:rPr>
                <w:rFonts w:hint="eastAsia" w:asciiTheme="minorEastAsia" w:hAnsiTheme="minorEastAsia" w:eastAsiaTheme="minorEastAsia" w:cstheme="minorEastAsia"/>
                <w:b/>
                <w:bCs/>
                <w:color w:val="auto"/>
                <w:kern w:val="0"/>
                <w:szCs w:val="21"/>
                <w:highlight w:val="none"/>
              </w:rPr>
              <w:t>《北京市自建设施供水管理办法》《城市供水条例》案由3项</w:t>
            </w:r>
            <w:bookmarkEnd w:id="244"/>
            <w:bookmarkEnd w:id="245"/>
          </w:p>
        </w:tc>
      </w:tr>
      <w:tr w14:paraId="4717368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531750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5CD11B9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自建设施供水单位未按照规定检查、维护自建供水设施，未及时排除供水设施故障</w:t>
            </w:r>
          </w:p>
        </w:tc>
        <w:tc>
          <w:tcPr>
            <w:tcW w:w="2793" w:type="dxa"/>
            <w:gridSpan w:val="2"/>
            <w:tcBorders>
              <w:top w:val="nil"/>
              <w:left w:val="nil"/>
              <w:bottom w:val="single" w:color="auto" w:sz="4" w:space="0"/>
              <w:right w:val="single" w:color="auto" w:sz="4" w:space="0"/>
            </w:tcBorders>
            <w:shd w:val="clear" w:color="auto" w:fill="auto"/>
            <w:vAlign w:val="center"/>
          </w:tcPr>
          <w:p w14:paraId="325D795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违反条款：《办法》第十一条第一款第（一）项；《条例》第二十七条；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处罚条款：《办法》第二十条第一款第（三）项，责令限期改正，并可处1000元以上5000元以下的罚款；《条例》第三十三条第一款第（三）项 ，责令改正，可以处以罚款；情节严重的，报经县级以上人民政府批准，可以责令停业整顿。</w:t>
            </w:r>
          </w:p>
        </w:tc>
        <w:tc>
          <w:tcPr>
            <w:tcW w:w="864" w:type="dxa"/>
            <w:gridSpan w:val="2"/>
            <w:tcBorders>
              <w:top w:val="nil"/>
              <w:left w:val="nil"/>
              <w:bottom w:val="single" w:color="auto" w:sz="4" w:space="0"/>
              <w:right w:val="single" w:color="auto" w:sz="4" w:space="0"/>
            </w:tcBorders>
            <w:shd w:val="clear" w:color="auto" w:fill="auto"/>
            <w:vAlign w:val="center"/>
          </w:tcPr>
          <w:p w14:paraId="6FED26F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14:paraId="5AB17D1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2FB54C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造成实际影响，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1B9CE5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14:paraId="0208F1B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经执法部门从重处罚后，一年度内再次发生同类型违法行为视为情节严重。拟作出停业整顿的，在作出处罚决定前，要邀请行业主管部门共同会商，并报相关人民政府批准。</w:t>
            </w:r>
          </w:p>
        </w:tc>
      </w:tr>
      <w:tr w14:paraId="477548E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992F56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65A2C96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擅自停止供水或者未履行停水通知义务</w:t>
            </w:r>
          </w:p>
        </w:tc>
        <w:tc>
          <w:tcPr>
            <w:tcW w:w="2793" w:type="dxa"/>
            <w:gridSpan w:val="2"/>
            <w:tcBorders>
              <w:top w:val="nil"/>
              <w:left w:val="nil"/>
              <w:bottom w:val="single" w:color="auto" w:sz="4" w:space="0"/>
              <w:right w:val="single" w:color="auto" w:sz="4" w:space="0"/>
            </w:tcBorders>
            <w:shd w:val="clear" w:color="auto" w:fill="auto"/>
            <w:vAlign w:val="center"/>
          </w:tcPr>
          <w:p w14:paraId="5419951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违反条款：《办法》第十三条；《条例》第二十二条；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条第一款第（二）项，责令限期改正，并可处1000元以上5000元以下的罚款；《条例》第三十三条第一款第（二）项，责令改正，可以处以罚款；情节严重的，报经县级以上人民政府批准，可以责令停业整顿。</w:t>
            </w:r>
          </w:p>
        </w:tc>
        <w:tc>
          <w:tcPr>
            <w:tcW w:w="864" w:type="dxa"/>
            <w:gridSpan w:val="2"/>
            <w:tcBorders>
              <w:top w:val="nil"/>
              <w:left w:val="nil"/>
              <w:bottom w:val="single" w:color="auto" w:sz="4" w:space="0"/>
              <w:right w:val="single" w:color="auto" w:sz="4" w:space="0"/>
            </w:tcBorders>
            <w:shd w:val="clear" w:color="auto" w:fill="auto"/>
            <w:vAlign w:val="center"/>
          </w:tcPr>
          <w:p w14:paraId="518DD85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14:paraId="298DB88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31D4D9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擅自停水＜2个小时或影响居民户＜500户，系数为0；2.2个小时≤擅自停水＜4个小时或500户≤影响居民户＜1000户，系数为1；3.4个小时≤擅自停水＜6个小时或1000户≤影响居民户＜3000户，系数为2；4.6个小时≤擅自停水＜8个小时或3000户≤影响居民户＜5000户，系数为3；5.8个小时≤擅自停水或5000户≤影响居民户或情节严重的，系数为4。6.未发布任何停水通告的，以上系数加2。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5AC37F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14:paraId="061E9E7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经执法部门从重处罚后，一年度内再次发生同类型违法行为视为情节严重。拟作出停业整顿的，在作出处罚决定前，要邀请行业主管部门共同会商，并报相关人民政府批准。</w:t>
            </w:r>
          </w:p>
        </w:tc>
      </w:tr>
      <w:tr w14:paraId="5B32EE6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0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0DC9AD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594A2AD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未经自建设施供水单位同意擅自拆除、改装、迁移或者毁坏向周边单位、居民供水的自建供水设施</w:t>
            </w:r>
          </w:p>
        </w:tc>
        <w:tc>
          <w:tcPr>
            <w:tcW w:w="2793" w:type="dxa"/>
            <w:gridSpan w:val="2"/>
            <w:tcBorders>
              <w:top w:val="nil"/>
              <w:left w:val="nil"/>
              <w:bottom w:val="single" w:color="auto" w:sz="4" w:space="0"/>
              <w:right w:val="single" w:color="auto" w:sz="4" w:space="0"/>
            </w:tcBorders>
            <w:shd w:val="clear" w:color="auto" w:fill="auto"/>
            <w:vAlign w:val="center"/>
          </w:tcPr>
          <w:p w14:paraId="08282E2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违反条款：《办法》第二十一条；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处罚条款：《办法》第二十一条，可处1000元以上5000元以下的罚款。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21BD20E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shd w:val="clear" w:color="auto" w:fill="auto"/>
            <w:vAlign w:val="center"/>
          </w:tcPr>
          <w:p w14:paraId="167906C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F4AF8E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造成实际供水异常，仅存在设施表面问题，系数为0；2.影响小区＜1个（未整体影响）或影响居民户＜500户或停水时间＜2小时，系数为1；3.1个≤影响小区＜3个或500户≤影响居民户＜1000户或2小时≤停水时间＜12小时，系数为2；4.3个≤影响小区＜10个或1000户≤影响居民户＜5000户或12小时≤停水时间＜24小时，系数为3；5.10个≤影响小区或5000户≤影响居民户或24小时≤停水时间或情节严重的，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7F09EA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tcBorders>
              <w:top w:val="nil"/>
              <w:left w:val="nil"/>
              <w:bottom w:val="single" w:color="auto" w:sz="4" w:space="0"/>
              <w:right w:val="single" w:color="auto" w:sz="4" w:space="0"/>
            </w:tcBorders>
            <w:shd w:val="clear" w:color="auto" w:fill="auto"/>
            <w:vAlign w:val="center"/>
          </w:tcPr>
          <w:p w14:paraId="71D9670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7EB32DA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77469084">
            <w:pPr>
              <w:widowControl/>
              <w:jc w:val="center"/>
              <w:outlineLvl w:val="0"/>
              <w:rPr>
                <w:rFonts w:ascii="Times New Roman" w:hAnsi="Times New Roman" w:eastAsia="宋体" w:cs="Times New Roman"/>
                <w:color w:val="auto"/>
                <w:kern w:val="0"/>
                <w:sz w:val="28"/>
                <w:szCs w:val="28"/>
                <w:highlight w:val="none"/>
              </w:rPr>
            </w:pPr>
            <w:bookmarkStart w:id="246" w:name="_Toc218468848"/>
            <w:bookmarkStart w:id="247" w:name="_Toc2032251055"/>
            <w:r>
              <w:rPr>
                <w:rFonts w:hint="eastAsia" w:ascii="黑体" w:hAnsi="黑体" w:eastAsia="黑体" w:cs="黑体"/>
                <w:color w:val="auto"/>
                <w:kern w:val="0"/>
                <w:sz w:val="28"/>
                <w:szCs w:val="28"/>
                <w:highlight w:val="none"/>
              </w:rPr>
              <w:t>水环境管理方面</w:t>
            </w:r>
            <w:bookmarkEnd w:id="246"/>
            <w:bookmarkEnd w:id="247"/>
          </w:p>
        </w:tc>
      </w:tr>
      <w:tr w14:paraId="464EFCF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694B6AF3">
            <w:pPr>
              <w:widowControl/>
              <w:jc w:val="center"/>
              <w:outlineLvl w:val="1"/>
              <w:rPr>
                <w:rFonts w:hint="eastAsia" w:asciiTheme="minorEastAsia" w:hAnsiTheme="minorEastAsia" w:eastAsiaTheme="minorEastAsia" w:cstheme="minorEastAsia"/>
                <w:color w:val="auto"/>
                <w:kern w:val="0"/>
                <w:szCs w:val="21"/>
                <w:highlight w:val="none"/>
              </w:rPr>
            </w:pPr>
            <w:bookmarkStart w:id="248" w:name="_Toc218468849"/>
            <w:bookmarkStart w:id="249" w:name="_Toc2135085845"/>
            <w:r>
              <w:rPr>
                <w:rFonts w:hint="eastAsia" w:asciiTheme="minorEastAsia" w:hAnsiTheme="minorEastAsia" w:eastAsiaTheme="minorEastAsia" w:cstheme="minorEastAsia"/>
                <w:b/>
                <w:bCs/>
                <w:color w:val="auto"/>
                <w:kern w:val="0"/>
                <w:szCs w:val="21"/>
                <w:highlight w:val="none"/>
              </w:rPr>
              <w:t>《中华人民共和国防洪法》《中华人民共和国水法》《北京市河湖保护管理条例》案由2项</w:t>
            </w:r>
            <w:bookmarkEnd w:id="248"/>
            <w:bookmarkEnd w:id="249"/>
          </w:p>
        </w:tc>
      </w:tr>
      <w:tr w14:paraId="032F4EE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66" w:hRule="atLeast"/>
        </w:trPr>
        <w:tc>
          <w:tcPr>
            <w:tcW w:w="612" w:type="dxa"/>
            <w:gridSpan w:val="2"/>
            <w:vMerge w:val="restart"/>
            <w:tcBorders>
              <w:top w:val="nil"/>
              <w:left w:val="single" w:color="auto" w:sz="4" w:space="0"/>
              <w:right w:val="single" w:color="auto" w:sz="4" w:space="0"/>
            </w:tcBorders>
            <w:shd w:val="clear" w:color="auto" w:fill="auto"/>
            <w:noWrap/>
            <w:vAlign w:val="center"/>
          </w:tcPr>
          <w:p w14:paraId="4C8A51C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nil"/>
              <w:right w:val="single" w:color="auto" w:sz="4" w:space="0"/>
            </w:tcBorders>
            <w:shd w:val="clear" w:color="auto" w:fill="auto"/>
            <w:vAlign w:val="center"/>
          </w:tcPr>
          <w:p w14:paraId="0840035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在河道、湖泊管理范围内倾倒垃圾、渣土从事影响河势稳定、危害河岸堤防安全和其他妨碍河道行洪的活动</w:t>
            </w:r>
          </w:p>
        </w:tc>
        <w:tc>
          <w:tcPr>
            <w:tcW w:w="2793" w:type="dxa"/>
            <w:gridSpan w:val="2"/>
            <w:vMerge w:val="restart"/>
            <w:tcBorders>
              <w:top w:val="nil"/>
              <w:left w:val="nil"/>
              <w:right w:val="single" w:color="auto" w:sz="4" w:space="0"/>
            </w:tcBorders>
            <w:shd w:val="clear" w:color="auto" w:fill="auto"/>
            <w:vAlign w:val="center"/>
          </w:tcPr>
          <w:p w14:paraId="123E6D9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违反条款：《防洪法》第二十二条第二款；《条例》第十九条第一款第（一）项、第（三）项；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防洪法》第五十五条第一款第（二）项，责令停止违法行为，排除阻碍或者采取其他补救措施，可以处五万元以下的罚款；《条例》第三十八条，有第（一）项规定行为的，处一万元以上五万元以下罚款；有其他项规定行为的，可以处五万元以下罚款，有违法所得的，没收违法所得。</w:t>
            </w:r>
          </w:p>
        </w:tc>
        <w:tc>
          <w:tcPr>
            <w:tcW w:w="864" w:type="dxa"/>
            <w:gridSpan w:val="2"/>
            <w:tcBorders>
              <w:top w:val="nil"/>
              <w:left w:val="nil"/>
              <w:bottom w:val="single" w:color="auto" w:sz="4" w:space="0"/>
              <w:right w:val="single" w:color="auto" w:sz="4" w:space="0"/>
            </w:tcBorders>
            <w:shd w:val="clear" w:color="auto" w:fill="auto"/>
            <w:vAlign w:val="center"/>
          </w:tcPr>
          <w:p w14:paraId="312D482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0A2218D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D4D4F8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倾倒垃圾、渣土倾倒体积＜20立方米，系数为0；2.20立方米≤倾倒垃圾、渣土倾倒体积＜50立方米，系数为2；3.50立方米≤倾倒垃圾、渣土倾倒体积＜100立方米，系数为4；4.100立方米≤倾倒垃圾、渣土倾倒体积＜200立方米，系数为6；5.200立方米≤倾倒垃圾、渣土倾倒体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6313E1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5032B0F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3012C64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620" w:hRule="atLeast"/>
        </w:trPr>
        <w:tc>
          <w:tcPr>
            <w:tcW w:w="612" w:type="dxa"/>
            <w:gridSpan w:val="2"/>
            <w:vMerge w:val="continue"/>
            <w:tcBorders>
              <w:left w:val="single" w:color="auto" w:sz="4" w:space="0"/>
              <w:bottom w:val="single" w:color="auto" w:sz="4" w:space="0"/>
              <w:right w:val="single" w:color="auto" w:sz="4" w:space="0"/>
            </w:tcBorders>
            <w:shd w:val="clear" w:color="auto" w:fill="auto"/>
            <w:noWrap/>
            <w:vAlign w:val="center"/>
          </w:tcPr>
          <w:p w14:paraId="443E755E">
            <w:pPr>
              <w:widowControl/>
              <w:jc w:val="center"/>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left w:val="nil"/>
              <w:bottom w:val="single" w:color="auto" w:sz="4" w:space="0"/>
              <w:right w:val="single" w:color="auto" w:sz="4" w:space="0"/>
            </w:tcBorders>
            <w:shd w:val="clear" w:color="auto" w:fill="auto"/>
            <w:vAlign w:val="center"/>
          </w:tcPr>
          <w:p w14:paraId="5509E179">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left w:val="nil"/>
              <w:bottom w:val="single" w:color="auto" w:sz="4" w:space="0"/>
              <w:right w:val="single" w:color="auto" w:sz="4" w:space="0"/>
            </w:tcBorders>
            <w:shd w:val="clear" w:color="auto" w:fill="auto"/>
            <w:vAlign w:val="center"/>
          </w:tcPr>
          <w:p w14:paraId="5A926B6C">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4CD02271">
            <w:pPr>
              <w:widowControl/>
              <w:jc w:val="center"/>
              <w:rPr>
                <w:rFonts w:hint="default" w:asciiTheme="minorEastAsia" w:hAnsiTheme="minorEastAsia" w:eastAsiaTheme="minorEastAsia" w:cstheme="minorEastAsia"/>
                <w:color w:val="auto"/>
                <w:kern w:val="0"/>
                <w:sz w:val="15"/>
                <w:szCs w:val="15"/>
                <w:highlight w:val="none"/>
                <w:lang w:val="en-US"/>
              </w:rPr>
            </w:pPr>
            <w:r>
              <w:rPr>
                <w:rFonts w:hint="eastAsia" w:ascii="宋体" w:hAnsi="宋体" w:cs="宋体"/>
                <w:color w:val="auto"/>
                <w:kern w:val="0"/>
                <w:sz w:val="15"/>
                <w:szCs w:val="15"/>
                <w:highlight w:val="none"/>
                <w:lang w:val="en-US" w:eastAsia="zh-CN"/>
              </w:rPr>
              <w:t>10000</w:t>
            </w:r>
          </w:p>
        </w:tc>
        <w:tc>
          <w:tcPr>
            <w:tcW w:w="840" w:type="dxa"/>
            <w:tcBorders>
              <w:top w:val="nil"/>
              <w:left w:val="nil"/>
              <w:bottom w:val="single" w:color="auto" w:sz="4" w:space="0"/>
              <w:right w:val="single" w:color="auto" w:sz="4" w:space="0"/>
            </w:tcBorders>
            <w:shd w:val="clear" w:color="auto" w:fill="auto"/>
            <w:vAlign w:val="center"/>
          </w:tcPr>
          <w:p w14:paraId="3A9B677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宋体" w:hAnsi="宋体" w:cs="宋体"/>
                <w:color w:val="auto"/>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shd w:val="clear" w:color="auto" w:fill="auto"/>
            <w:vAlign w:val="center"/>
          </w:tcPr>
          <w:p w14:paraId="223E1A73">
            <w:pPr>
              <w:widowControl/>
              <w:jc w:val="left"/>
              <w:rPr>
                <w:rFonts w:hint="eastAsia" w:asciiTheme="minorEastAsia" w:hAnsiTheme="minorEastAsia" w:eastAsiaTheme="minorEastAsia" w:cstheme="minorEastAsia"/>
                <w:color w:val="auto"/>
                <w:kern w:val="0"/>
                <w:sz w:val="15"/>
                <w:szCs w:val="15"/>
                <w:highlight w:val="none"/>
              </w:rPr>
            </w:pPr>
            <w:r>
              <w:rPr>
                <w:rFonts w:hint="eastAsia" w:ascii="宋体" w:hAnsi="宋体" w:eastAsia="宋体" w:cs="宋体"/>
                <w:color w:val="auto"/>
                <w:kern w:val="0"/>
                <w:sz w:val="15"/>
                <w:szCs w:val="15"/>
                <w:highlight w:val="none"/>
              </w:rPr>
              <w:t>1.</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＜10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米，系数为0；2.10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＜50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米，系数为1；3.50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米，系数为2；4.</w:t>
            </w:r>
            <w:r>
              <w:rPr>
                <w:rFonts w:hint="eastAsia" w:ascii="宋体" w:hAnsi="宋体" w:eastAsia="宋体" w:cs="宋体"/>
                <w:color w:val="auto"/>
                <w:kern w:val="0"/>
                <w:sz w:val="15"/>
                <w:szCs w:val="15"/>
                <w:highlight w:val="none"/>
                <w:lang w:val="en-US" w:eastAsia="zh-CN"/>
              </w:rPr>
              <w:t>2</w:t>
            </w:r>
            <w:r>
              <w:rPr>
                <w:rFonts w:hint="eastAsia" w:ascii="宋体" w:hAnsi="宋体" w:eastAsia="宋体" w:cs="宋体"/>
                <w:color w:val="auto"/>
                <w:kern w:val="0"/>
                <w:sz w:val="15"/>
                <w:szCs w:val="15"/>
                <w:highlight w:val="none"/>
              </w:rPr>
              <w:t>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eastAsia="宋体" w:cs="宋体"/>
                <w:color w:val="auto"/>
                <w:kern w:val="0"/>
                <w:sz w:val="15"/>
                <w:szCs w:val="15"/>
                <w:highlight w:val="none"/>
                <w:lang w:eastAsia="zh-CN"/>
              </w:rPr>
              <w:t>单次采砂量</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val="en-US" w:eastAsia="zh-CN"/>
              </w:rPr>
              <w:t>50</w:t>
            </w:r>
            <w:r>
              <w:rPr>
                <w:rFonts w:hint="eastAsia" w:ascii="宋体" w:hAnsi="宋体" w:eastAsia="宋体" w:cs="宋体"/>
                <w:color w:val="auto"/>
                <w:kern w:val="0"/>
                <w:sz w:val="15"/>
                <w:szCs w:val="15"/>
                <w:highlight w:val="none"/>
              </w:rPr>
              <w:t>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米，系数为3；5.</w:t>
            </w:r>
            <w:r>
              <w:rPr>
                <w:rFonts w:hint="eastAsia" w:ascii="宋体" w:hAnsi="宋体" w:eastAsia="宋体" w:cs="宋体"/>
                <w:color w:val="auto"/>
                <w:kern w:val="0"/>
                <w:sz w:val="15"/>
                <w:szCs w:val="15"/>
                <w:highlight w:val="none"/>
                <w:lang w:val="en-US" w:eastAsia="zh-CN"/>
              </w:rPr>
              <w:t>500</w:t>
            </w:r>
            <w:r>
              <w:rPr>
                <w:rFonts w:hint="eastAsia" w:ascii="宋体" w:hAnsi="宋体" w:eastAsia="宋体" w:cs="宋体"/>
                <w:color w:val="auto"/>
                <w:kern w:val="0"/>
                <w:sz w:val="15"/>
                <w:szCs w:val="15"/>
                <w:highlight w:val="none"/>
                <w:lang w:eastAsia="zh-CN"/>
              </w:rPr>
              <w:t>立方</w:t>
            </w:r>
            <w:r>
              <w:rPr>
                <w:rFonts w:hint="eastAsia" w:ascii="宋体" w:hAnsi="宋体" w:eastAsia="宋体" w:cs="宋体"/>
                <w:color w:val="auto"/>
                <w:kern w:val="0"/>
                <w:sz w:val="15"/>
                <w:szCs w:val="15"/>
                <w:highlight w:val="none"/>
              </w:rPr>
              <w:t>米≤</w:t>
            </w:r>
            <w:r>
              <w:rPr>
                <w:rFonts w:hint="eastAsia" w:ascii="宋体" w:hAnsi="宋体" w:cs="宋体"/>
                <w:color w:val="auto"/>
                <w:kern w:val="0"/>
                <w:sz w:val="15"/>
                <w:szCs w:val="15"/>
                <w:highlight w:val="none"/>
                <w:lang w:eastAsia="zh-CN"/>
              </w:rPr>
              <w:t>采砂</w:t>
            </w:r>
            <w:r>
              <w:rPr>
                <w:rFonts w:hint="eastAsia" w:ascii="宋体" w:hAnsi="宋体" w:eastAsia="宋体" w:cs="宋体"/>
                <w:color w:val="auto"/>
                <w:kern w:val="0"/>
                <w:sz w:val="15"/>
                <w:szCs w:val="15"/>
                <w:highlight w:val="none"/>
              </w:rPr>
              <w:t>占地面积，系数为4。6.存在基准2.1.3规定情形的，系数按照相关规定确定（基准2.1.3.5不适用）。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03FD5C0">
            <w:pPr>
              <w:widowControl/>
              <w:jc w:val="left"/>
              <w:rPr>
                <w:rFonts w:hint="eastAsia" w:asciiTheme="minorEastAsia" w:hAnsiTheme="minorEastAsia" w:eastAsiaTheme="minorEastAsia" w:cstheme="minorEastAsia"/>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cs="宋体"/>
                <w:color w:val="auto"/>
                <w:kern w:val="0"/>
                <w:sz w:val="15"/>
                <w:szCs w:val="15"/>
                <w:highlight w:val="none"/>
                <w:lang w:val="en-US" w:eastAsia="zh-CN"/>
              </w:rPr>
              <w:t>10</w:t>
            </w:r>
            <w:r>
              <w:rPr>
                <w:rFonts w:hint="eastAsia" w:ascii="宋体" w:hAnsi="宋体" w:eastAsia="宋体" w:cs="宋体"/>
                <w:color w:val="auto"/>
                <w:kern w:val="0"/>
                <w:sz w:val="15"/>
                <w:szCs w:val="15"/>
                <w:highlight w:val="none"/>
              </w:rPr>
              <w:t>000×（1+情节系数）</w:t>
            </w:r>
          </w:p>
        </w:tc>
        <w:tc>
          <w:tcPr>
            <w:tcW w:w="1972" w:type="dxa"/>
            <w:tcBorders>
              <w:top w:val="nil"/>
              <w:left w:val="nil"/>
              <w:bottom w:val="single" w:color="auto" w:sz="4" w:space="0"/>
              <w:right w:val="single" w:color="auto" w:sz="4" w:space="0"/>
            </w:tcBorders>
            <w:shd w:val="clear" w:color="auto" w:fill="auto"/>
            <w:vAlign w:val="center"/>
          </w:tcPr>
          <w:p w14:paraId="294C487B">
            <w:pPr>
              <w:widowControl/>
              <w:jc w:val="left"/>
              <w:rPr>
                <w:rFonts w:hint="eastAsia" w:asciiTheme="minorEastAsia" w:hAnsiTheme="minorEastAsia" w:eastAsiaTheme="minorEastAsia" w:cstheme="minorEastAsia"/>
                <w:color w:val="auto"/>
                <w:kern w:val="0"/>
                <w:sz w:val="15"/>
                <w:szCs w:val="15"/>
                <w:highlight w:val="none"/>
              </w:rPr>
            </w:pPr>
            <w:r>
              <w:rPr>
                <w:rFonts w:hint="eastAsia" w:ascii="宋体" w:hAnsi="宋体" w:cs="宋体"/>
                <w:strike w:val="0"/>
                <w:dstrike w:val="0"/>
                <w:color w:val="auto"/>
                <w:kern w:val="0"/>
                <w:sz w:val="15"/>
                <w:szCs w:val="15"/>
                <w:highlight w:val="none"/>
                <w:lang w:eastAsia="zh-CN"/>
              </w:rPr>
              <w:t>适用于在河道、渠道、湖泊、水库和其他水工程管理范围内采砂的行为。</w:t>
            </w:r>
          </w:p>
        </w:tc>
      </w:tr>
      <w:tr w14:paraId="41AAF49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35E7DF6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6640AFA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在江河、湖泊、水库、运河、渠道内弃置、堆放阻碍行洪的物体和种植阻碍行洪的林木及高秆作物</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016BDBA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违反条款：《防洪法》第二十三条第三款；《水法》第二十四条第一款、第二款；《北京市河湖保护管理条例》第十九条第一款第（四）项；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防洪法》第五十五条第一款第（三）项，责令停止违法行为，排除阻碍或者采取其他补救措施，可以处五万元以下的罚款；《水法》第六十六条第一款第（一）项，责令停止违法行为，限期清除障碍或者采取其他补救措施，处一万元以上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467D764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7AE77B4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79E2C1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1.种植面积＜50平方米，系数为0；2.50平方米≤种植面积＜100平方米，系数为1；3.100平方米≤种植面积＜200平方米，系数为2；4.200平方米≤种植面积＜300平方米，系数为3；5.300平方米≤种植面积，或者造成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690140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0DE5A92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（一）主要针对在河道内种植林木和高秆作物的，优先适用《中华人民共和国防洪法》。（二）需要作出10000元以下罚款决定的，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400D62C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78A873A7">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754CCD79">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07ED9631">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74CE779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62D55F3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33C613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1.弃置、堆放阻碍行洪的物体</w:t>
            </w:r>
            <w:r>
              <w:rPr>
                <w:rFonts w:hint="eastAsia" w:asciiTheme="minorEastAsia" w:hAnsiTheme="minorEastAsia" w:eastAsiaTheme="minorEastAsia" w:cstheme="minorEastAsia"/>
                <w:color w:val="auto"/>
                <w:kern w:val="0"/>
                <w:sz w:val="15"/>
                <w:szCs w:val="15"/>
                <w:highlight w:val="none"/>
                <w:lang w:eastAsia="zh-CN"/>
              </w:rPr>
              <w:t>面积</w:t>
            </w:r>
            <w:r>
              <w:rPr>
                <w:rFonts w:hint="eastAsia" w:asciiTheme="minorEastAsia" w:hAnsiTheme="minorEastAsia" w:eastAsiaTheme="minorEastAsia" w:cstheme="minorEastAsia"/>
                <w:color w:val="auto"/>
                <w:kern w:val="0"/>
                <w:sz w:val="15"/>
                <w:szCs w:val="15"/>
                <w:highlight w:val="none"/>
              </w:rPr>
              <w:t>＜5平方米，系数为0；2.5平方米≤弃置、堆放阻碍行洪的物体</w:t>
            </w:r>
            <w:r>
              <w:rPr>
                <w:rFonts w:hint="eastAsia" w:asciiTheme="minorEastAsia" w:hAnsiTheme="minorEastAsia" w:eastAsiaTheme="minorEastAsia" w:cstheme="minorEastAsia"/>
                <w:color w:val="auto"/>
                <w:kern w:val="0"/>
                <w:sz w:val="15"/>
                <w:szCs w:val="15"/>
                <w:highlight w:val="none"/>
                <w:lang w:eastAsia="zh-CN"/>
              </w:rPr>
              <w:t>面积</w:t>
            </w:r>
            <w:r>
              <w:rPr>
                <w:rFonts w:hint="eastAsia" w:asciiTheme="minorEastAsia" w:hAnsiTheme="minorEastAsia" w:eastAsiaTheme="minorEastAsia" w:cstheme="minorEastAsia"/>
                <w:color w:val="auto"/>
                <w:kern w:val="0"/>
                <w:sz w:val="15"/>
                <w:szCs w:val="15"/>
                <w:highlight w:val="none"/>
              </w:rPr>
              <w:t>＜20平方米，系数为1；3.20平方米≤弃置、堆放阻碍行洪的物体</w:t>
            </w:r>
            <w:r>
              <w:rPr>
                <w:rFonts w:hint="eastAsia" w:asciiTheme="minorEastAsia" w:hAnsiTheme="minorEastAsia" w:eastAsiaTheme="minorEastAsia" w:cstheme="minorEastAsia"/>
                <w:color w:val="auto"/>
                <w:kern w:val="0"/>
                <w:sz w:val="15"/>
                <w:szCs w:val="15"/>
                <w:highlight w:val="none"/>
                <w:lang w:eastAsia="zh-CN"/>
              </w:rPr>
              <w:t>面积</w:t>
            </w:r>
            <w:r>
              <w:rPr>
                <w:rFonts w:hint="eastAsia" w:asciiTheme="minorEastAsia" w:hAnsiTheme="minorEastAsia" w:eastAsiaTheme="minorEastAsia" w:cstheme="minorEastAsia"/>
                <w:color w:val="auto"/>
                <w:kern w:val="0"/>
                <w:sz w:val="15"/>
                <w:szCs w:val="15"/>
                <w:highlight w:val="none"/>
              </w:rPr>
              <w:t>＜50平方米，系数为2；4.50平方米≤弃置、堆放阻碍行洪的物体</w:t>
            </w:r>
            <w:r>
              <w:rPr>
                <w:rFonts w:hint="eastAsia" w:asciiTheme="minorEastAsia" w:hAnsiTheme="minorEastAsia" w:eastAsiaTheme="minorEastAsia" w:cstheme="minorEastAsia"/>
                <w:color w:val="auto"/>
                <w:kern w:val="0"/>
                <w:sz w:val="15"/>
                <w:szCs w:val="15"/>
                <w:highlight w:val="none"/>
                <w:lang w:eastAsia="zh-CN"/>
              </w:rPr>
              <w:t>面积</w:t>
            </w:r>
            <w:r>
              <w:rPr>
                <w:rFonts w:hint="eastAsia" w:asciiTheme="minorEastAsia" w:hAnsiTheme="minorEastAsia" w:eastAsiaTheme="minorEastAsia" w:cstheme="minorEastAsia"/>
                <w:color w:val="auto"/>
                <w:kern w:val="0"/>
                <w:sz w:val="15"/>
                <w:szCs w:val="15"/>
                <w:highlight w:val="none"/>
              </w:rPr>
              <w:t>＜100平方米，系数为3；5.100平方米≤弃置、堆放阻碍行洪的物体</w:t>
            </w:r>
            <w:r>
              <w:rPr>
                <w:rFonts w:hint="eastAsia" w:asciiTheme="minorEastAsia" w:hAnsiTheme="minorEastAsia" w:eastAsiaTheme="minorEastAsia" w:cstheme="minorEastAsia"/>
                <w:color w:val="auto"/>
                <w:kern w:val="0"/>
                <w:sz w:val="15"/>
                <w:szCs w:val="15"/>
                <w:highlight w:val="none"/>
                <w:lang w:eastAsia="zh-CN"/>
              </w:rPr>
              <w:t>面积</w:t>
            </w:r>
            <w:r>
              <w:rPr>
                <w:rFonts w:hint="eastAsia" w:asciiTheme="minorEastAsia" w:hAnsiTheme="minorEastAsia" w:eastAsiaTheme="minorEastAsia" w:cstheme="minorEastAsia"/>
                <w:color w:val="auto"/>
                <w:kern w:val="0"/>
                <w:sz w:val="15"/>
                <w:szCs w:val="15"/>
                <w:highlight w:val="none"/>
              </w:rPr>
              <w:t>，或者造成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753D7B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0C4EA58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针对在河道内弃置、堆放阻碍行洪的物体的，优先适用《中华人民共和国水法》。</w:t>
            </w:r>
          </w:p>
        </w:tc>
      </w:tr>
      <w:tr w14:paraId="5ADD77E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14:paraId="44D0E4FD">
            <w:pPr>
              <w:widowControl/>
              <w:jc w:val="center"/>
              <w:outlineLvl w:val="1"/>
              <w:rPr>
                <w:rFonts w:hint="eastAsia" w:asciiTheme="minorEastAsia" w:hAnsiTheme="minorEastAsia" w:eastAsiaTheme="minorEastAsia" w:cstheme="minorEastAsia"/>
                <w:color w:val="auto"/>
                <w:kern w:val="0"/>
                <w:szCs w:val="21"/>
                <w:highlight w:val="none"/>
              </w:rPr>
            </w:pPr>
            <w:bookmarkStart w:id="250" w:name="_Toc218468850"/>
            <w:bookmarkStart w:id="251" w:name="_Toc127862157"/>
            <w:r>
              <w:rPr>
                <w:rFonts w:hint="eastAsia" w:asciiTheme="minorEastAsia" w:hAnsiTheme="minorEastAsia" w:eastAsiaTheme="minorEastAsia" w:cstheme="minorEastAsia"/>
                <w:b/>
                <w:bCs/>
                <w:color w:val="auto"/>
                <w:kern w:val="0"/>
                <w:szCs w:val="21"/>
                <w:highlight w:val="none"/>
              </w:rPr>
              <w:t>《中华人民共和国水污染防治法》案由1项</w:t>
            </w:r>
            <w:bookmarkEnd w:id="250"/>
            <w:bookmarkEnd w:id="251"/>
          </w:p>
        </w:tc>
      </w:tr>
      <w:tr w14:paraId="2BECEFB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7F049F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0366F62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拒绝水行政主管部门的监督检查，或者在接受监督检查时弄虚作假</w:t>
            </w:r>
          </w:p>
        </w:tc>
        <w:tc>
          <w:tcPr>
            <w:tcW w:w="2793" w:type="dxa"/>
            <w:gridSpan w:val="2"/>
            <w:tcBorders>
              <w:top w:val="nil"/>
              <w:left w:val="nil"/>
              <w:bottom w:val="single" w:color="auto" w:sz="4" w:space="0"/>
              <w:right w:val="single" w:color="auto" w:sz="4" w:space="0"/>
            </w:tcBorders>
            <w:shd w:val="clear" w:color="auto" w:fill="auto"/>
            <w:vAlign w:val="center"/>
          </w:tcPr>
          <w:p w14:paraId="1A8FD13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处罚条款：第八十一条，责令改正，处二万元以上二十万元以下的罚款。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7BCAE57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3B09847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19CBD9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系数为0。（二）逾期不改正的，处以下罚款：日用水量＜200立方米，系数为1；200立方米≤日用水量＜300立方米，系数为2；日用水量每增加100立方米（不足100立方米的，按100立方米计），系数加1；900立方米≤日用水量，系数为9。（三）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EE8884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3B04377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03CC58E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78B4618A">
            <w:pPr>
              <w:widowControl/>
              <w:jc w:val="center"/>
              <w:outlineLvl w:val="1"/>
              <w:rPr>
                <w:rFonts w:hint="eastAsia" w:asciiTheme="minorEastAsia" w:hAnsiTheme="minorEastAsia" w:eastAsiaTheme="minorEastAsia" w:cstheme="minorEastAsia"/>
                <w:color w:val="auto"/>
                <w:kern w:val="0"/>
                <w:szCs w:val="21"/>
                <w:highlight w:val="none"/>
              </w:rPr>
            </w:pPr>
            <w:bookmarkStart w:id="252" w:name="_Toc218468851"/>
            <w:bookmarkStart w:id="253" w:name="_Toc1082822815"/>
            <w:r>
              <w:rPr>
                <w:rFonts w:hint="eastAsia" w:asciiTheme="minorEastAsia" w:hAnsiTheme="minorEastAsia" w:eastAsiaTheme="minorEastAsia" w:cstheme="minorEastAsia"/>
                <w:b/>
                <w:bCs/>
                <w:color w:val="auto"/>
                <w:kern w:val="0"/>
                <w:szCs w:val="21"/>
                <w:highlight w:val="none"/>
              </w:rPr>
              <w:t>《中华人民共和国河道管理条例》《北京市河湖保护管理条例》案由2项</w:t>
            </w:r>
            <w:bookmarkEnd w:id="252"/>
            <w:bookmarkEnd w:id="253"/>
          </w:p>
        </w:tc>
      </w:tr>
      <w:tr w14:paraId="6A82A0E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54698B8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04B1D6D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擅自砍伐护堤护岸林木</w:t>
            </w:r>
          </w:p>
        </w:tc>
        <w:tc>
          <w:tcPr>
            <w:tcW w:w="2793" w:type="dxa"/>
            <w:gridSpan w:val="2"/>
            <w:tcBorders>
              <w:top w:val="nil"/>
              <w:left w:val="nil"/>
              <w:bottom w:val="single" w:color="auto" w:sz="4" w:space="0"/>
              <w:right w:val="single" w:color="auto" w:sz="4" w:space="0"/>
            </w:tcBorders>
            <w:shd w:val="clear" w:color="auto" w:fill="auto"/>
            <w:vAlign w:val="center"/>
          </w:tcPr>
          <w:p w14:paraId="723DE94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违反条款：《河道管理条例》第三十条第一款；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处罚条款：《河道管理条例》第四十四条第一款第（七）项，责令其纠正违法行为、采取补救措施，可以并处警告、罚款、没收非法所得</w:t>
            </w:r>
          </w:p>
        </w:tc>
        <w:tc>
          <w:tcPr>
            <w:tcW w:w="864" w:type="dxa"/>
            <w:gridSpan w:val="2"/>
            <w:tcBorders>
              <w:top w:val="nil"/>
              <w:left w:val="nil"/>
              <w:bottom w:val="single" w:color="auto" w:sz="4" w:space="0"/>
              <w:right w:val="single" w:color="auto" w:sz="4" w:space="0"/>
            </w:tcBorders>
            <w:shd w:val="clear" w:color="auto" w:fill="auto"/>
            <w:vAlign w:val="center"/>
          </w:tcPr>
          <w:p w14:paraId="01174AA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840" w:type="dxa"/>
            <w:tcBorders>
              <w:top w:val="nil"/>
              <w:left w:val="nil"/>
              <w:bottom w:val="single" w:color="auto" w:sz="4" w:space="0"/>
              <w:right w:val="single" w:color="auto" w:sz="4" w:space="0"/>
            </w:tcBorders>
            <w:shd w:val="clear" w:color="auto" w:fill="auto"/>
            <w:vAlign w:val="center"/>
          </w:tcPr>
          <w:p w14:paraId="2BD9DB7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14:paraId="1938609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给予警告，有违法所得的，没收违法所得。</w:t>
            </w:r>
          </w:p>
        </w:tc>
        <w:tc>
          <w:tcPr>
            <w:tcW w:w="1881" w:type="dxa"/>
            <w:gridSpan w:val="2"/>
            <w:tcBorders>
              <w:top w:val="nil"/>
              <w:left w:val="nil"/>
              <w:bottom w:val="single" w:color="auto" w:sz="4" w:space="0"/>
              <w:right w:val="single" w:color="auto" w:sz="4" w:space="0"/>
            </w:tcBorders>
            <w:shd w:val="clear" w:color="auto" w:fill="auto"/>
            <w:vAlign w:val="center"/>
          </w:tcPr>
          <w:p w14:paraId="45F278F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1972" w:type="dxa"/>
            <w:tcBorders>
              <w:top w:val="nil"/>
              <w:left w:val="nil"/>
              <w:bottom w:val="single" w:color="auto" w:sz="4" w:space="0"/>
              <w:right w:val="single" w:color="auto" w:sz="4" w:space="0"/>
            </w:tcBorders>
            <w:shd w:val="clear" w:color="auto" w:fill="auto"/>
            <w:vAlign w:val="center"/>
          </w:tcPr>
          <w:p w14:paraId="1C069A0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ECFDE1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9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01DD91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0F6893B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在堤防和护堤地，从事放牧、葬坟、晒粮、开渠、打井、挖窖、取土、存放物料、开办集市贸易、开采地下资源、进行考古发掘、垦植等活动</w:t>
            </w:r>
          </w:p>
        </w:tc>
        <w:tc>
          <w:tcPr>
            <w:tcW w:w="2793" w:type="dxa"/>
            <w:gridSpan w:val="2"/>
            <w:tcBorders>
              <w:top w:val="nil"/>
              <w:left w:val="nil"/>
              <w:bottom w:val="single" w:color="auto" w:sz="4" w:space="0"/>
              <w:right w:val="single" w:color="auto" w:sz="4" w:space="0"/>
            </w:tcBorders>
            <w:shd w:val="clear" w:color="auto" w:fill="auto"/>
            <w:vAlign w:val="center"/>
          </w:tcPr>
          <w:p w14:paraId="59EB25B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违反条款：《河道管理条例》第二十四条第二款；《河湖保护管理条例》第十九条第一款第（六）项、第（七）项；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河道管理条例》第四十四条第一款第（二）项，责令其纠正违法行为、采取补救措施，可以并处警告、罚款、没收非法所得；《河湖保护管理条例》第三十八条，可以处五万元以下罚款，有违法所得的，没收违法所得。</w:t>
            </w:r>
          </w:p>
        </w:tc>
        <w:tc>
          <w:tcPr>
            <w:tcW w:w="864" w:type="dxa"/>
            <w:gridSpan w:val="2"/>
            <w:tcBorders>
              <w:top w:val="nil"/>
              <w:left w:val="nil"/>
              <w:bottom w:val="single" w:color="auto" w:sz="4" w:space="0"/>
              <w:right w:val="single" w:color="auto" w:sz="4" w:space="0"/>
            </w:tcBorders>
            <w:shd w:val="clear" w:color="auto" w:fill="auto"/>
            <w:vAlign w:val="center"/>
          </w:tcPr>
          <w:p w14:paraId="4A9B74E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0201E0F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0A5682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区级河湖堤防和护堤地，从事放牧、葬坟、晒粮、开渠、打井、挖窖、取土、存放物料、开办集市贸易、开采地下资源、进行考古发掘等活动，系数为0；2.在市级河湖堤防和护堤地，从事放牧、葬坟、晒粮、开渠、打井、挖窖、取土、存放物料、开办集市贸易、开采地下资源、进行考古发掘等活动，系数为4；3.造成恶劣影响，系数为9。4.存在基准2.1.3规定情形的，系数按照相关规定确定（基准2.1.3.5不适用）。以上情形有违法所得的，同时没收违法所得。</w:t>
            </w:r>
          </w:p>
        </w:tc>
        <w:tc>
          <w:tcPr>
            <w:tcW w:w="1881" w:type="dxa"/>
            <w:gridSpan w:val="2"/>
            <w:tcBorders>
              <w:top w:val="nil"/>
              <w:left w:val="nil"/>
              <w:bottom w:val="single" w:color="auto" w:sz="4" w:space="0"/>
              <w:right w:val="single" w:color="auto" w:sz="4" w:space="0"/>
            </w:tcBorders>
            <w:shd w:val="clear" w:color="auto" w:fill="auto"/>
            <w:vAlign w:val="center"/>
          </w:tcPr>
          <w:p w14:paraId="617FDF7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5F68E7E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183C402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177F9549">
            <w:pPr>
              <w:widowControl/>
              <w:jc w:val="center"/>
              <w:outlineLvl w:val="1"/>
              <w:rPr>
                <w:rFonts w:hint="eastAsia" w:asciiTheme="minorEastAsia" w:hAnsiTheme="minorEastAsia" w:eastAsiaTheme="minorEastAsia" w:cstheme="minorEastAsia"/>
                <w:color w:val="auto"/>
                <w:kern w:val="0"/>
                <w:szCs w:val="21"/>
                <w:highlight w:val="none"/>
              </w:rPr>
            </w:pPr>
            <w:bookmarkStart w:id="254" w:name="_Toc32530988"/>
            <w:bookmarkStart w:id="255" w:name="_Toc218468852"/>
            <w:r>
              <w:rPr>
                <w:rFonts w:hint="eastAsia" w:asciiTheme="minorEastAsia" w:hAnsiTheme="minorEastAsia" w:eastAsiaTheme="minorEastAsia" w:cstheme="minorEastAsia"/>
                <w:b/>
                <w:bCs/>
                <w:color w:val="auto"/>
                <w:kern w:val="0"/>
                <w:szCs w:val="21"/>
                <w:highlight w:val="none"/>
              </w:rPr>
              <w:t>《公路安全保护条例》案由1项</w:t>
            </w:r>
            <w:bookmarkEnd w:id="254"/>
            <w:bookmarkEnd w:id="255"/>
          </w:p>
        </w:tc>
      </w:tr>
      <w:tr w14:paraId="360FD06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D583F5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3CD9CEA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在公路桥梁跨越的河道上下游的禁止采砂范围内采砂</w:t>
            </w:r>
          </w:p>
        </w:tc>
        <w:tc>
          <w:tcPr>
            <w:tcW w:w="2793" w:type="dxa"/>
            <w:gridSpan w:val="2"/>
            <w:tcBorders>
              <w:top w:val="nil"/>
              <w:left w:val="nil"/>
              <w:bottom w:val="single" w:color="auto" w:sz="4" w:space="0"/>
              <w:right w:val="single" w:color="auto" w:sz="4" w:space="0"/>
            </w:tcBorders>
            <w:shd w:val="clear" w:color="auto" w:fill="auto"/>
            <w:vAlign w:val="center"/>
          </w:tcPr>
          <w:p w14:paraId="295016A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处罚条款：第五十八条，责令改正，可以处3万元以下的罚款。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4C37ABE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14:paraId="58DFA52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B00C58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单次采砂量＜10立方米，系数为0；2.10立方米≤单次采砂量＜50立方米，系数为2；3.50立方米≤单次采砂量＜200立方米，系数为4；4.200立方米≤单次采砂量＜500立方米，系数为6；5.500立方米≤单次采砂量，或者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35189F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14:paraId="277FE53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需要作出3000元以下罚款决定的，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3B14989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6A858F74">
            <w:pPr>
              <w:widowControl/>
              <w:jc w:val="center"/>
              <w:outlineLvl w:val="1"/>
              <w:rPr>
                <w:rFonts w:hint="eastAsia" w:asciiTheme="minorEastAsia" w:hAnsiTheme="minorEastAsia" w:eastAsiaTheme="minorEastAsia" w:cstheme="minorEastAsia"/>
                <w:color w:val="auto"/>
                <w:kern w:val="0"/>
                <w:szCs w:val="21"/>
                <w:highlight w:val="none"/>
              </w:rPr>
            </w:pPr>
            <w:bookmarkStart w:id="256" w:name="_Toc1090376351"/>
            <w:bookmarkStart w:id="257" w:name="_Toc218468853"/>
            <w:r>
              <w:rPr>
                <w:rFonts w:hint="eastAsia" w:asciiTheme="minorEastAsia" w:hAnsiTheme="minorEastAsia" w:eastAsiaTheme="minorEastAsia" w:cstheme="minorEastAsia"/>
                <w:b/>
                <w:bCs/>
                <w:color w:val="auto"/>
                <w:kern w:val="0"/>
                <w:szCs w:val="21"/>
                <w:highlight w:val="none"/>
              </w:rPr>
              <w:t>《北京市河湖保护管理条例》案由4项</w:t>
            </w:r>
            <w:bookmarkEnd w:id="256"/>
            <w:bookmarkEnd w:id="257"/>
          </w:p>
        </w:tc>
      </w:tr>
      <w:tr w14:paraId="686ECCA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1D8522D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57F916F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毁坏或者拆除保护名录中的河道、水域和水工建筑物、构筑物、遗址</w:t>
            </w:r>
          </w:p>
        </w:tc>
        <w:tc>
          <w:tcPr>
            <w:tcW w:w="2793" w:type="dxa"/>
            <w:gridSpan w:val="2"/>
            <w:tcBorders>
              <w:top w:val="nil"/>
              <w:left w:val="nil"/>
              <w:bottom w:val="single" w:color="auto" w:sz="4" w:space="0"/>
              <w:right w:val="single" w:color="auto" w:sz="4" w:space="0"/>
            </w:tcBorders>
            <w:shd w:val="clear" w:color="auto" w:fill="auto"/>
            <w:vAlign w:val="center"/>
          </w:tcPr>
          <w:p w14:paraId="19D377D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违反条款：第二十四条第二款；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处罚条款：第四十二条，责令其停止违法行为，限期恢复原状，处十万元以上五十万元以下的罚款。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707820F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shd w:val="clear" w:color="auto" w:fill="auto"/>
            <w:vAlign w:val="center"/>
          </w:tcPr>
          <w:p w14:paraId="17DCAE2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495D77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r>
              <w:rPr>
                <w:rFonts w:hint="eastAsia" w:asciiTheme="minorEastAsia" w:hAnsiTheme="minorEastAsia" w:eastAsiaTheme="minorEastAsia" w:cstheme="minorEastAsia"/>
                <w:color w:val="auto"/>
                <w:kern w:val="0"/>
                <w:sz w:val="15"/>
                <w:szCs w:val="15"/>
                <w:highlight w:val="none"/>
                <w:lang w:eastAsia="zh-CN"/>
              </w:rPr>
              <w:t>未丧失功能，系数为</w:t>
            </w:r>
            <w:r>
              <w:rPr>
                <w:rFonts w:hint="eastAsia" w:asciiTheme="minorEastAsia" w:hAnsiTheme="minorEastAsia" w:eastAsiaTheme="minorEastAsia" w:cstheme="minorEastAsia"/>
                <w:color w:val="auto"/>
                <w:kern w:val="0"/>
                <w:sz w:val="15"/>
                <w:szCs w:val="15"/>
                <w:highlight w:val="none"/>
              </w:rPr>
              <w:t>0；</w:t>
            </w:r>
            <w:r>
              <w:rPr>
                <w:rFonts w:hint="eastAsia" w:asciiTheme="minorEastAsia" w:hAnsiTheme="minorEastAsia" w:eastAsiaTheme="minorEastAsia" w:cstheme="minorEastAsia"/>
                <w:color w:val="auto"/>
                <w:kern w:val="0"/>
                <w:sz w:val="15"/>
                <w:szCs w:val="15"/>
                <w:highlight w:val="none"/>
                <w:lang w:eastAsia="zh-CN"/>
              </w:rPr>
              <w:t>有</w:t>
            </w:r>
            <w:r>
              <w:rPr>
                <w:rFonts w:hint="eastAsia" w:asciiTheme="minorEastAsia" w:hAnsiTheme="minorEastAsia" w:eastAsiaTheme="minorEastAsia" w:cstheme="minorEastAsia"/>
                <w:color w:val="auto"/>
                <w:kern w:val="0"/>
                <w:sz w:val="15"/>
                <w:szCs w:val="15"/>
                <w:highlight w:val="none"/>
              </w:rPr>
              <w:t>丧失</w:t>
            </w:r>
            <w:r>
              <w:rPr>
                <w:rFonts w:hint="eastAsia" w:asciiTheme="minorEastAsia" w:hAnsiTheme="minorEastAsia" w:eastAsiaTheme="minorEastAsia" w:cstheme="minorEastAsia"/>
                <w:color w:val="auto"/>
                <w:kern w:val="0"/>
                <w:sz w:val="15"/>
                <w:szCs w:val="15"/>
                <w:highlight w:val="none"/>
                <w:lang w:eastAsia="zh-CN"/>
              </w:rPr>
              <w:t>功能</w:t>
            </w:r>
            <w:r>
              <w:rPr>
                <w:rFonts w:hint="eastAsia" w:asciiTheme="minorEastAsia" w:hAnsiTheme="minorEastAsia" w:eastAsiaTheme="minorEastAsia" w:cstheme="minorEastAsia"/>
                <w:color w:val="auto"/>
                <w:kern w:val="0"/>
                <w:sz w:val="15"/>
                <w:szCs w:val="15"/>
                <w:highlight w:val="none"/>
              </w:rPr>
              <w:t>，系数为1。2.毁坏1处，系数为0；毁坏2处，系数为0.5；以此类推。3.</w:t>
            </w:r>
            <w:r>
              <w:rPr>
                <w:rFonts w:hint="eastAsia" w:asciiTheme="minorEastAsia" w:hAnsiTheme="minorEastAsia" w:eastAsiaTheme="minorEastAsia" w:cstheme="minorEastAsia"/>
                <w:color w:val="auto"/>
                <w:kern w:val="0"/>
                <w:sz w:val="15"/>
                <w:szCs w:val="15"/>
                <w:highlight w:val="none"/>
                <w:lang w:eastAsia="zh-CN"/>
              </w:rPr>
              <w:t>毁坏或</w:t>
            </w:r>
            <w:r>
              <w:rPr>
                <w:rFonts w:hint="eastAsia" w:asciiTheme="minorEastAsia" w:hAnsiTheme="minorEastAsia" w:eastAsiaTheme="minorEastAsia" w:cstheme="minorEastAsia"/>
                <w:color w:val="auto"/>
                <w:kern w:val="0"/>
                <w:sz w:val="15"/>
                <w:szCs w:val="15"/>
                <w:highlight w:val="none"/>
              </w:rPr>
              <w:t>拆除面积＜500平方米，系数为0；500平方米≤</w:t>
            </w:r>
            <w:r>
              <w:rPr>
                <w:rFonts w:hint="eastAsia" w:asciiTheme="minorEastAsia" w:hAnsiTheme="minorEastAsia" w:eastAsiaTheme="minorEastAsia" w:cstheme="minorEastAsia"/>
                <w:color w:val="auto"/>
                <w:kern w:val="0"/>
                <w:sz w:val="15"/>
                <w:szCs w:val="15"/>
                <w:highlight w:val="none"/>
                <w:lang w:eastAsia="zh-CN"/>
              </w:rPr>
              <w:t>毁坏或</w:t>
            </w:r>
            <w:r>
              <w:rPr>
                <w:rFonts w:hint="eastAsia" w:asciiTheme="minorEastAsia" w:hAnsiTheme="minorEastAsia" w:eastAsiaTheme="minorEastAsia" w:cstheme="minorEastAsia"/>
                <w:color w:val="auto"/>
                <w:kern w:val="0"/>
                <w:sz w:val="15"/>
                <w:szCs w:val="15"/>
                <w:highlight w:val="none"/>
              </w:rPr>
              <w:t>拆除面积＜1000平方米，系数为0.5；每增加500平方米（不足500平方米，按500平方米计），系数增加0.5。4.存在基准2.1.3规定情形的，系数按照相关规定确定（基准2.1.3.5不适用）。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B9BE1D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罚款金额=100000×（1+情节系数）</w:t>
            </w:r>
          </w:p>
        </w:tc>
        <w:tc>
          <w:tcPr>
            <w:tcW w:w="1972" w:type="dxa"/>
            <w:tcBorders>
              <w:top w:val="nil"/>
              <w:left w:val="nil"/>
              <w:bottom w:val="single" w:color="auto" w:sz="4" w:space="0"/>
              <w:right w:val="single" w:color="auto" w:sz="4" w:space="0"/>
            </w:tcBorders>
            <w:shd w:val="clear" w:color="auto" w:fill="auto"/>
            <w:vAlign w:val="center"/>
          </w:tcPr>
          <w:p w14:paraId="72A935D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ECFBBA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8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3E9945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4C4167F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开展水上旅游项目或者其他利用活动时使用以柴油、汽油为动力的游船</w:t>
            </w:r>
          </w:p>
        </w:tc>
        <w:tc>
          <w:tcPr>
            <w:tcW w:w="2793" w:type="dxa"/>
            <w:gridSpan w:val="2"/>
            <w:tcBorders>
              <w:top w:val="nil"/>
              <w:left w:val="nil"/>
              <w:bottom w:val="single" w:color="auto" w:sz="4" w:space="0"/>
              <w:right w:val="single" w:color="auto" w:sz="4" w:space="0"/>
            </w:tcBorders>
            <w:shd w:val="clear" w:color="auto" w:fill="auto"/>
            <w:vAlign w:val="center"/>
          </w:tcPr>
          <w:p w14:paraId="1121B40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处罚条款：第四十四条第一款，责令停止违法行为，限期改正，处八千元以上八万元以下的罚款。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5410E15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8000 </w:t>
            </w:r>
          </w:p>
        </w:tc>
        <w:tc>
          <w:tcPr>
            <w:tcW w:w="840" w:type="dxa"/>
            <w:tcBorders>
              <w:top w:val="nil"/>
              <w:left w:val="nil"/>
              <w:bottom w:val="single" w:color="auto" w:sz="4" w:space="0"/>
              <w:right w:val="single" w:color="auto" w:sz="4" w:space="0"/>
            </w:tcBorders>
            <w:shd w:val="clear" w:color="auto" w:fill="auto"/>
            <w:vAlign w:val="center"/>
          </w:tcPr>
          <w:p w14:paraId="3EB52E1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DF3807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1.使用小型动力游船（功率＜20马力），系数为0，每增加1艘</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系数加1；2.使用中型动力游船（20马力≤功率＜50马力），系数为2，每增加1艘</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系数加2；3.使用大型动力游船（50马力≤功率），系数为4，每增加1艘</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系数加3；4.在禁航时段作业，系数为9。5.存在基准2.1.3规定情形的，系数按照相关规定确定（基准2.1.3.5不适用）。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72E8E8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罚款金额=8000×（1+情节系数）</w:t>
            </w:r>
          </w:p>
        </w:tc>
        <w:tc>
          <w:tcPr>
            <w:tcW w:w="1972" w:type="dxa"/>
            <w:tcBorders>
              <w:top w:val="nil"/>
              <w:left w:val="nil"/>
              <w:bottom w:val="single" w:color="auto" w:sz="4" w:space="0"/>
              <w:right w:val="single" w:color="auto" w:sz="4" w:space="0"/>
            </w:tcBorders>
            <w:shd w:val="clear" w:color="auto" w:fill="auto"/>
            <w:vAlign w:val="center"/>
          </w:tcPr>
          <w:p w14:paraId="2ADDCDD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4B1A37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3C93ED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6B844AA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未经批准擅自利用河湖开办旅游项目或者从事其他利用活动</w:t>
            </w:r>
          </w:p>
        </w:tc>
        <w:tc>
          <w:tcPr>
            <w:tcW w:w="2793" w:type="dxa"/>
            <w:gridSpan w:val="2"/>
            <w:tcBorders>
              <w:top w:val="nil"/>
              <w:left w:val="nil"/>
              <w:bottom w:val="single" w:color="auto" w:sz="4" w:space="0"/>
              <w:right w:val="single" w:color="auto" w:sz="4" w:space="0"/>
            </w:tcBorders>
            <w:shd w:val="clear" w:color="auto" w:fill="auto"/>
            <w:vAlign w:val="center"/>
          </w:tcPr>
          <w:p w14:paraId="14CF916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处罚条款：第四十四条第二款，责令停止违法行为，限期改正，处二万元以上十万元以下的罚款。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781BF50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2CAD1F5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A78C5F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活动持续时间＜3天或参与人数＜200人，系数为0；2.3天≤活动持续时间＜5天或200人≤参与人数＜500人，系数为1；3.5天≤活动持续时间＜10天或500人≤参与人数＜1000人，系数为2；4.10天≤活动持续时间＜15天或1000人≤参与人数＜2000人，系数为3；5.15天≤活动持续时间或2000人≤参与人数，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F0706D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31C9B91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268BF3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1444B14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14:paraId="03A9F65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擅自在河湖管理范围内新建、改建或者扩大排水口</w:t>
            </w:r>
          </w:p>
        </w:tc>
        <w:tc>
          <w:tcPr>
            <w:tcW w:w="2793" w:type="dxa"/>
            <w:gridSpan w:val="2"/>
            <w:tcBorders>
              <w:top w:val="nil"/>
              <w:left w:val="nil"/>
              <w:bottom w:val="single" w:color="auto" w:sz="4" w:space="0"/>
              <w:right w:val="single" w:color="auto" w:sz="4" w:space="0"/>
            </w:tcBorders>
            <w:shd w:val="clear" w:color="auto" w:fill="auto"/>
            <w:vAlign w:val="center"/>
          </w:tcPr>
          <w:p w14:paraId="55528EB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违反条款：第二十八条第一款；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处罚条款：第四十三条，责令停止违法行为，限期恢复原状，处五万元以上十万元以下的罚款。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3CE05F1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14:paraId="0825B40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7F6C13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新建、改建或者扩大排水口＜DN200，系数为0；2.DN200≤新建、改建或者扩大排水口＜DN600，系数为0.5；3.DN600≤新建、改建或者扩大排水口，系数为1；4.新建、改建或者扩大2个及以上排水口，系数为1。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55B917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770BFBD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F34AA5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154D6C19">
            <w:pPr>
              <w:widowControl/>
              <w:jc w:val="center"/>
              <w:outlineLvl w:val="1"/>
              <w:rPr>
                <w:rFonts w:hint="eastAsia" w:asciiTheme="minorEastAsia" w:hAnsiTheme="minorEastAsia" w:eastAsiaTheme="minorEastAsia" w:cstheme="minorEastAsia"/>
                <w:color w:val="auto"/>
                <w:kern w:val="0"/>
                <w:szCs w:val="21"/>
                <w:highlight w:val="none"/>
              </w:rPr>
            </w:pPr>
            <w:bookmarkStart w:id="258" w:name="_Toc196076589"/>
            <w:bookmarkStart w:id="259" w:name="_Toc218468854"/>
            <w:r>
              <w:rPr>
                <w:rFonts w:hint="eastAsia" w:asciiTheme="minorEastAsia" w:hAnsiTheme="minorEastAsia" w:eastAsiaTheme="minorEastAsia" w:cstheme="minorEastAsia"/>
                <w:b/>
                <w:bCs/>
                <w:color w:val="auto"/>
                <w:kern w:val="0"/>
                <w:szCs w:val="21"/>
                <w:highlight w:val="none"/>
              </w:rPr>
              <w:t>《北京市湿地保护条例》案由8项</w:t>
            </w:r>
            <w:bookmarkEnd w:id="258"/>
            <w:bookmarkEnd w:id="259"/>
          </w:p>
        </w:tc>
      </w:tr>
      <w:tr w14:paraId="3919748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659C5F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39A231D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未经批准擅自开垦、占用湿地或者改变湿地用途</w:t>
            </w:r>
          </w:p>
        </w:tc>
        <w:tc>
          <w:tcPr>
            <w:tcW w:w="2793" w:type="dxa"/>
            <w:gridSpan w:val="2"/>
            <w:tcBorders>
              <w:top w:val="nil"/>
              <w:left w:val="nil"/>
              <w:bottom w:val="single" w:color="auto" w:sz="4" w:space="0"/>
              <w:right w:val="single" w:color="auto" w:sz="4" w:space="0"/>
            </w:tcBorders>
            <w:shd w:val="clear" w:color="auto" w:fill="auto"/>
            <w:vAlign w:val="center"/>
          </w:tcPr>
          <w:p w14:paraId="5708384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违反条款：第二十七条第一款；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处罚条款：第四十二条第一款，责令停止违法行为、限期恢复原状，并按照占用湿地或者改变湿地用途的面积，以每平方米2000元以上5000元以下的标准处以罚款。</w:t>
            </w:r>
          </w:p>
        </w:tc>
        <w:tc>
          <w:tcPr>
            <w:tcW w:w="864" w:type="dxa"/>
            <w:gridSpan w:val="2"/>
            <w:tcBorders>
              <w:top w:val="nil"/>
              <w:left w:val="nil"/>
              <w:bottom w:val="single" w:color="auto" w:sz="4" w:space="0"/>
              <w:right w:val="single" w:color="auto" w:sz="4" w:space="0"/>
            </w:tcBorders>
            <w:shd w:val="clear" w:color="auto" w:fill="auto"/>
            <w:vAlign w:val="center"/>
          </w:tcPr>
          <w:p w14:paraId="3A0D263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shd w:val="clear" w:color="auto" w:fill="auto"/>
            <w:vAlign w:val="center"/>
          </w:tcPr>
          <w:p w14:paraId="23C479A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03CEED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1.在一般湿地内开展违法行为，系数为0；2.在区级湿地内开展违法行为，系数为0.5；3.在市级湿地内开展违法行为，系数为1；4.在国家重要湿地内开展违法行为或造成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CF1E7B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 ×（1+情节系数）×占用湿地或者改变湿地用途的面积</w:t>
            </w:r>
          </w:p>
        </w:tc>
        <w:tc>
          <w:tcPr>
            <w:tcW w:w="1972" w:type="dxa"/>
            <w:tcBorders>
              <w:top w:val="nil"/>
              <w:left w:val="nil"/>
              <w:bottom w:val="single" w:color="auto" w:sz="4" w:space="0"/>
              <w:right w:val="single" w:color="auto" w:sz="4" w:space="0"/>
            </w:tcBorders>
            <w:shd w:val="clear" w:color="auto" w:fill="auto"/>
            <w:vAlign w:val="center"/>
          </w:tcPr>
          <w:p w14:paraId="2112A91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77764A1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4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429FFD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3A65441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在列入名录的湿地保护范围内采集泥炭、采挖野生植物、捡拾鸟蛋</w:t>
            </w:r>
          </w:p>
        </w:tc>
        <w:tc>
          <w:tcPr>
            <w:tcW w:w="2793" w:type="dxa"/>
            <w:gridSpan w:val="2"/>
            <w:tcBorders>
              <w:top w:val="nil"/>
              <w:left w:val="nil"/>
              <w:bottom w:val="single" w:color="auto" w:sz="4" w:space="0"/>
              <w:right w:val="single" w:color="auto" w:sz="4" w:space="0"/>
            </w:tcBorders>
            <w:shd w:val="clear" w:color="auto" w:fill="auto"/>
            <w:vAlign w:val="center"/>
          </w:tcPr>
          <w:p w14:paraId="4AC163B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处罚条款：第四十三条第一款，责令改正或者恢复原状，处500元以上5000元以下罚款。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6A5CA48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 </w:t>
            </w:r>
          </w:p>
        </w:tc>
        <w:tc>
          <w:tcPr>
            <w:tcW w:w="840" w:type="dxa"/>
            <w:tcBorders>
              <w:top w:val="nil"/>
              <w:left w:val="nil"/>
              <w:bottom w:val="single" w:color="auto" w:sz="4" w:space="0"/>
              <w:right w:val="single" w:color="auto" w:sz="4" w:space="0"/>
            </w:tcBorders>
            <w:shd w:val="clear" w:color="auto" w:fill="auto"/>
            <w:vAlign w:val="center"/>
          </w:tcPr>
          <w:p w14:paraId="5B426AE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4192A7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采集泥炭单次采集量＜1立方米或采挖非国家重点保护植物＜5株或捡拾非保护鸟类鸟蛋＜3枚，系数为0；2.1立方米≤采集泥炭单次采集量＜5立方米或5株≤采挖非国家重点保护植物＜20株或3枚≤捡拾非保护鸟类鸟蛋＜10枚（保护鸟类鸟蛋＜2枚），系数为2；3.5立方米≤采集泥炭单次采集量＜20立方米或20株≤采挖非国家重点保护植物＜50株（采挖国家二级保护植物＜5株）或10枚≤捡拾非保护鸟类鸟蛋（2枚≤保护鸟类鸟蛋＜5枚），系数为4；4.20立方米≤采集泥炭单次采集量或5株≤采挖国家二级保护植物（采挖国家一级保护植物＜2株）或5枚≤捡拾保护鸟类鸟蛋＜10枚，系数为6；5.采集泥炭大规模机械化采集或2株≤采挖国家一级保护植物或10枚≤捡拾保护鸟类鸟蛋，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3499DA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tcBorders>
              <w:top w:val="nil"/>
              <w:left w:val="nil"/>
              <w:bottom w:val="single" w:color="auto" w:sz="4" w:space="0"/>
              <w:right w:val="single" w:color="auto" w:sz="4" w:space="0"/>
            </w:tcBorders>
            <w:shd w:val="clear" w:color="auto" w:fill="auto"/>
            <w:vAlign w:val="center"/>
          </w:tcPr>
          <w:p w14:paraId="02B6485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FB3016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4"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291CB1E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66143BF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在列入名录的湿地保护范围内抓捕野生动物，破坏野生动物繁殖区和栖息地</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6819BE4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449B53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34F10F7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76CA0D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抓捕非国家重点保护野生动物＜3只（头、条）或破坏栖息地面积＜5平方米，系数为0；2.3只（头、条）≤抓捕非国家重点保护野生动物＜10只（头、条）或5平方米≤破坏栖息地面积＜20平方米，系数为2；3.10只（头、条）≤抓捕非国家重点保护野生动物（单次抓捕国家二级保护野生动物＜2只）或5平方米≤破坏栖息地面积＜200平方米，系数为4；4.2只（头、条）≤抓捕国家二级保护野生动物或200平方米≤破坏栖息地面积＜500平方米，系数为6；5.抓捕国家一级保护野生动物1只（头、条）或500平方米≤破坏栖息地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BB7505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48C80EB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70B14C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3125E581">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71566D22">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5D9ABB4D">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4FD8641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14:paraId="78C51CB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F111EF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不可以恢复原状但未造成动物种群和生境完全破坏，系数为0；2.抓捕国家一级保护野生动物2只（头、条），系数为1，每增加1只（头、条），系数加1；3.不可以恢复原状且造成动物种群或生境完全破坏，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947DAB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5ECF061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存在以下情形之一的，可视为严重后果：1.不可以恢复原状；2.抓捕国家一级保护野生动物1只（头、条）以上。</w:t>
            </w:r>
          </w:p>
        </w:tc>
      </w:tr>
      <w:tr w14:paraId="0B68482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8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2CD9855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4AE6BF3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在列入名录的湿地保护范围内投放有毒有害物质、倾倒废弃物或者排放未经处理的污水</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30EA210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6F4ED5B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1ABA4C4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A904A2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排放未经处理的生活污水排放量＜5吨或倾倒废弃物＜5立方米，系数为0；2.在一般湿地内，5吨≤排放未经处理的生活污水排放量＜20吨或5立方米≤倾倒废弃物＜20立方米，系数为2；3.在一般湿地内，20吨≤排放未经处理的生活污水排放量＜50吨或20立方米≤倾倒废弃物＜50立方米，系数为4；4.在一般湿地内，50吨≤排放未经处理的生活污水排放量＜80吨或50立方米≤倾倒废弃物＜80立方米，或投放有毒有害物质，系数为6；5.在一般湿地内，80吨≤排放未经处理的生活污水排放量或80立方米≤倾倒废弃物，或投放有毒有害物质造成严重后果，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shd w:val="clear" w:color="auto" w:fill="auto"/>
            <w:vAlign w:val="center"/>
          </w:tcPr>
          <w:p w14:paraId="5DD211A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39DC8B1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625D262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613B713A">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1973CF21">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44CEF20A">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269CBD4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14:paraId="7778980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06CE47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在国家级湿地内，排放未经处理的生活污水排放量＜5吨或倾倒废弃物＜5立方米，系数为0；5吨≤排放未经处理的生活污水排放量＜10吨或5立方米≤倾倒废弃物＜10立方米，系数为1；每增加5吨（不足5吨的，按5吨计）或5立方米（不足5立方米的，按5立方米计），系数加1；45吨≤排放未经处理的生活污水排放量或45立方米≤倾倒废弃物，系数为9；2.投放有毒有害物质造成严重后果，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355443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228A0D6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违法行为发生在国家级湿地内，视为造成严重后果。</w:t>
            </w:r>
          </w:p>
        </w:tc>
      </w:tr>
      <w:tr w14:paraId="55E9E6E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9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029273E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2FD5E1E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在列入名录的湿地保护范围内投放有害物种或者擅自引入外来物种</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10026DE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5540E3A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37A4D0D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38990A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投放有害物种或者擅自引入外来物种＜3只（头、条、株），系数为0；2.在一般湿地内，3只（头、条、株）≤投放有害物种或者擅自引入外来物种＜10只（头、条、株），系数为2；3.在一般湿地内，10只（头、条、株）≤投放有害物种或者擅自引入外来物种＜20只（头、条、株），系数为4；4.在一般湿地内，20只（头、条、株）≤投放有害物种或者擅自引入外来物种＜40只（头、条、株），系数为6；5.在一般湿地内，40只（头、条、株）≤投放有害物种或者擅自引入外来物种，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shd w:val="clear" w:color="auto" w:fill="auto"/>
            <w:vAlign w:val="center"/>
          </w:tcPr>
          <w:p w14:paraId="5D35632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40FFB2E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9C96A2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162C0486">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11716894">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70844CDC">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44BD609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14:paraId="12032B2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2E443E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在国家级湿地内，投放有害物种或者擅自引入外来物种＜5只（头、条、株），系数为0；5只（头、条、株）≤投放有害物种或者擅自引入外来物种＜10只（头、条、株），系数为1；每增加5只（头、条、株，不足5只的，按5只计），系数加1；45只（头、条、株）≤投放有害物种或擅自引入外来物种，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F1B080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113EB1C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违法行为发生在国家级湿地内，视为造成严重后果。</w:t>
            </w:r>
          </w:p>
        </w:tc>
      </w:tr>
      <w:tr w14:paraId="22FDAE8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2972EB4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6F33FC6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在列入名录的湿地保护范围内擅自排放湿地水资源或者堵截湿地水系与外围水系的</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6743AB6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违反条款：第三十一条第一款第（五）项；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0C4C97F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611209F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BD330A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排放量＜100立方米或堵截时间＜1天，系数为0；2.在一般湿地内，100立方米≤排放量＜500立方米或1天≤堵截时间＜3天，系数为2；3.在一般湿地内，500立方米≤排放量＜1000立方米或3天≤堵截时间＜5天，系数为4；4.在一般湿地内，1000立方米≤排放量＜2000立方米或5天≤堵截时间＜10天，系数为6；5.在一般湿地内，2000立方米≤排放量或10天≤堵截时间，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shd w:val="clear" w:color="auto" w:fill="auto"/>
            <w:vAlign w:val="center"/>
          </w:tcPr>
          <w:p w14:paraId="64B3995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0C44A9A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6BB54A9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69C668CB">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5E902D24">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4B7EB707">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5392617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14:paraId="7AF459B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670721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在国家级湿地内，排放量＜100立方米或堵截时间＜1天，系数为0；100立方米≤排放量＜300立方米或1天≤堵截时间＜2天，系数为1；排放量每增加200立方米（不足200立方米的，按200立方米计）或堵截时间每增加1天（不足1天的，按1天计），系数加1；1700立方米≤排放量0或9天≤堵截时间，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781D7C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570FF10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违法行为发生在国家级湿地内，视为造成严重后果。</w:t>
            </w:r>
          </w:p>
        </w:tc>
      </w:tr>
      <w:tr w14:paraId="7CE7F72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6316048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0A06991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在列入名录的湿地保护范围内破坏湿地保护监测设施设备</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290B599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3FA760A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05052A4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8581B9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设备原值＜1万元，系数为0；2.在一般湿地内，1万元≤设备原值＜5万元，系数为2；3.在一般湿地内，5万元≤设备原值＜10万元，系数为4；4.在一般湿地内，10万元≤设备原值＜50万元，系数为6；5.在一般湿地内，50万元≤设备原值，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shd w:val="clear" w:color="auto" w:fill="auto"/>
            <w:vAlign w:val="center"/>
          </w:tcPr>
          <w:p w14:paraId="1467928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09DCD5B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76BD06F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7756B32E">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1DA8C339">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4BAFEEC2">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43E68FF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14:paraId="0CE1AED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F2E058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在国家级湿地内，设备原值＜1万元，系数为0；1万元≤设备原值＜5万元，系数为1；设备原值每增加5万元（不足5万元的，按5万元计），系数加1；40万元≤设备原值，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E437CC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3EA5A4C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违法行为发生在国家级湿地内，视为造成严重后果。</w:t>
            </w:r>
          </w:p>
        </w:tc>
      </w:tr>
      <w:tr w14:paraId="5B32A45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4"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103EE2A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596E4BF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在列入名录的湿地保护范围内擅自建造建筑物、构筑物</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6BBF704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违反条款：第三十一条第一款第（七）项；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处罚条款：第四十三条第二款，责令改正或者恢复原状，处5000元以上5万元以下罚款；造成严重后果的，处5万元以上50万元以下罚款。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364B0B8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089881A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3E0644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建造建筑物、构筑物建筑面积＜20平方米，系数为0；2.在一般湿地内，20平方米≤建造建筑物、构筑物建筑面积＜100平方米，系数为2；3.在一般湿地内，100平方米≤建造建筑物、构筑物建筑面积＜500平方米，系数为4；4.在一般湿地内，500平方米≤建造建筑物、构筑物建筑面积＜1000平方米，系数为6；5.在一般湿地内，1000平方米≤建造建筑物、构筑物建筑面积，或者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恶劣影响，系数为9。6.存在基准2.1.3规定情形的，系数按照相关规定确定（基准2.1.3.5不适用）。在区级湿地内发生以上行为，系数加1；在市级湿地内发生以上行为，系数加2。</w:t>
            </w:r>
          </w:p>
        </w:tc>
        <w:tc>
          <w:tcPr>
            <w:tcW w:w="1881" w:type="dxa"/>
            <w:gridSpan w:val="2"/>
            <w:tcBorders>
              <w:top w:val="nil"/>
              <w:left w:val="nil"/>
              <w:bottom w:val="single" w:color="auto" w:sz="4" w:space="0"/>
              <w:right w:val="single" w:color="auto" w:sz="4" w:space="0"/>
            </w:tcBorders>
            <w:shd w:val="clear" w:color="auto" w:fill="auto"/>
            <w:vAlign w:val="center"/>
          </w:tcPr>
          <w:p w14:paraId="3716213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04CF830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A0045B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79D8E7B7">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476A2852">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6F53583A">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38C2A1E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（严重后果）</w:t>
            </w:r>
          </w:p>
        </w:tc>
        <w:tc>
          <w:tcPr>
            <w:tcW w:w="840" w:type="dxa"/>
            <w:tcBorders>
              <w:top w:val="nil"/>
              <w:left w:val="nil"/>
              <w:bottom w:val="single" w:color="auto" w:sz="4" w:space="0"/>
              <w:right w:val="single" w:color="auto" w:sz="4" w:space="0"/>
            </w:tcBorders>
            <w:shd w:val="clear" w:color="auto" w:fill="auto"/>
            <w:vAlign w:val="center"/>
          </w:tcPr>
          <w:p w14:paraId="3071C0D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06F779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严重后果，处以下罚款：1.在国家级湿地内，建造建筑物、构筑物建筑面积＜20平方米，系数为0；20平方米≤建造建筑物、构筑物建筑面积＜100平方米，系数为1；每增加100平方米（不足100平方米的，按100平方米计），系数加1；800平方米≤建造建筑物、构筑物建筑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807802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1A72809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违法行为发生在国家级湿地内，视为造成严重后果。</w:t>
            </w:r>
          </w:p>
        </w:tc>
      </w:tr>
      <w:tr w14:paraId="2155C07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14:paraId="728B0497">
            <w:pPr>
              <w:widowControl/>
              <w:jc w:val="center"/>
              <w:outlineLvl w:val="1"/>
              <w:rPr>
                <w:rFonts w:hint="eastAsia" w:asciiTheme="minorEastAsia" w:hAnsiTheme="minorEastAsia" w:eastAsiaTheme="minorEastAsia" w:cstheme="minorEastAsia"/>
                <w:color w:val="auto"/>
                <w:kern w:val="0"/>
                <w:szCs w:val="21"/>
                <w:highlight w:val="none"/>
              </w:rPr>
            </w:pPr>
            <w:bookmarkStart w:id="260" w:name="_Toc24614177"/>
            <w:bookmarkStart w:id="261" w:name="_Toc218468855"/>
            <w:r>
              <w:rPr>
                <w:rFonts w:hint="eastAsia" w:asciiTheme="minorEastAsia" w:hAnsiTheme="minorEastAsia" w:eastAsiaTheme="minorEastAsia" w:cstheme="minorEastAsia"/>
                <w:b/>
                <w:bCs/>
                <w:color w:val="auto"/>
                <w:kern w:val="0"/>
                <w:szCs w:val="21"/>
                <w:highlight w:val="none"/>
              </w:rPr>
              <w:t>《北京市水污染防治条例》案由2项</w:t>
            </w:r>
            <w:bookmarkEnd w:id="260"/>
            <w:bookmarkEnd w:id="261"/>
          </w:p>
        </w:tc>
      </w:tr>
      <w:tr w14:paraId="7415B27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6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245FF71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77CF569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在地表饮用水水源一级保护区的水域内垂钓</w:t>
            </w:r>
          </w:p>
        </w:tc>
        <w:tc>
          <w:tcPr>
            <w:tcW w:w="2793" w:type="dxa"/>
            <w:gridSpan w:val="2"/>
            <w:tcBorders>
              <w:top w:val="nil"/>
              <w:left w:val="nil"/>
              <w:bottom w:val="single" w:color="auto" w:sz="4" w:space="0"/>
              <w:right w:val="single" w:color="auto" w:sz="4" w:space="0"/>
            </w:tcBorders>
            <w:shd w:val="clear" w:color="auto" w:fill="auto"/>
            <w:vAlign w:val="center"/>
          </w:tcPr>
          <w:p w14:paraId="0876497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违反条款：第五十七条第二款；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处罚条款：第八十条第二款，责令停止违法行为，并可以处五百元以下的罚款。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6D0B0E0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 </w:t>
            </w:r>
          </w:p>
        </w:tc>
        <w:tc>
          <w:tcPr>
            <w:tcW w:w="840" w:type="dxa"/>
            <w:tcBorders>
              <w:top w:val="nil"/>
              <w:left w:val="nil"/>
              <w:bottom w:val="single" w:color="auto" w:sz="4" w:space="0"/>
              <w:right w:val="single" w:color="auto" w:sz="4" w:space="0"/>
            </w:tcBorders>
            <w:shd w:val="clear" w:color="auto" w:fill="auto"/>
            <w:vAlign w:val="center"/>
          </w:tcPr>
          <w:p w14:paraId="278E7C9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B260C6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614D5E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罚款金额=100×（1+情节系数）</w:t>
            </w:r>
          </w:p>
        </w:tc>
        <w:tc>
          <w:tcPr>
            <w:tcW w:w="1972" w:type="dxa"/>
            <w:tcBorders>
              <w:top w:val="nil"/>
              <w:left w:val="nil"/>
              <w:bottom w:val="single" w:color="auto" w:sz="4" w:space="0"/>
              <w:right w:val="single" w:color="auto" w:sz="4" w:space="0"/>
            </w:tcBorders>
            <w:shd w:val="clear" w:color="auto" w:fill="auto"/>
            <w:vAlign w:val="center"/>
          </w:tcPr>
          <w:p w14:paraId="7C6EDEF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14:paraId="3BF381F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B319F3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4221F74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在地表饮用水水源保护区组织水上旅游或者其他可能污染饮用水水源活动</w:t>
            </w:r>
          </w:p>
        </w:tc>
        <w:tc>
          <w:tcPr>
            <w:tcW w:w="2793" w:type="dxa"/>
            <w:gridSpan w:val="2"/>
            <w:tcBorders>
              <w:top w:val="nil"/>
              <w:left w:val="nil"/>
              <w:bottom w:val="single" w:color="auto" w:sz="4" w:space="0"/>
              <w:right w:val="single" w:color="auto" w:sz="4" w:space="0"/>
            </w:tcBorders>
            <w:shd w:val="clear" w:color="auto" w:fill="auto"/>
            <w:vAlign w:val="center"/>
          </w:tcPr>
          <w:p w14:paraId="661F2A4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违反条款：第六十条第（三）项；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处罚条款：第八十条第二款，责令停止违法行为，并处二万元以上十万元以下的罚款。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2C706F1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11C23EF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4A2F2C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参与人数＜10人，系数为0；2.10人≤参与人数＜30人，系数为1；3.30人≤参与人数＜50人，系数为2；4.50人≤参与人数＜100人，系数为3；5.100人≤参与人数，或造成水源污染等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09253F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5DB4DE2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75E9881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374"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385B79AC">
            <w:pPr>
              <w:widowControl/>
              <w:jc w:val="center"/>
              <w:outlineLvl w:val="0"/>
              <w:rPr>
                <w:rFonts w:hint="eastAsia" w:asciiTheme="minorEastAsia" w:hAnsiTheme="minorEastAsia" w:eastAsiaTheme="minorEastAsia" w:cstheme="minorEastAsia"/>
                <w:color w:val="auto"/>
                <w:kern w:val="0"/>
                <w:sz w:val="28"/>
                <w:szCs w:val="28"/>
                <w:highlight w:val="none"/>
              </w:rPr>
            </w:pPr>
            <w:bookmarkStart w:id="262" w:name="_Toc218468856"/>
            <w:bookmarkStart w:id="263" w:name="_Toc1104583919"/>
            <w:r>
              <w:rPr>
                <w:rFonts w:hint="eastAsia" w:ascii="黑体" w:hAnsi="黑体" w:eastAsia="黑体" w:cs="黑体"/>
                <w:color w:val="auto"/>
                <w:kern w:val="0"/>
                <w:sz w:val="28"/>
                <w:szCs w:val="28"/>
                <w:highlight w:val="none"/>
              </w:rPr>
              <w:t>水土保持管理方面</w:t>
            </w:r>
            <w:bookmarkEnd w:id="262"/>
            <w:bookmarkEnd w:id="263"/>
          </w:p>
        </w:tc>
      </w:tr>
      <w:tr w14:paraId="0B14C0F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33323563">
            <w:pPr>
              <w:widowControl/>
              <w:jc w:val="center"/>
              <w:outlineLvl w:val="1"/>
              <w:rPr>
                <w:rFonts w:hint="eastAsia" w:asciiTheme="minorEastAsia" w:hAnsiTheme="minorEastAsia" w:eastAsiaTheme="minorEastAsia" w:cstheme="minorEastAsia"/>
                <w:color w:val="auto"/>
                <w:kern w:val="0"/>
                <w:szCs w:val="21"/>
                <w:highlight w:val="none"/>
              </w:rPr>
            </w:pPr>
            <w:bookmarkStart w:id="264" w:name="_Toc218468857"/>
            <w:bookmarkStart w:id="265" w:name="_Toc800003415"/>
            <w:r>
              <w:rPr>
                <w:rFonts w:hint="eastAsia" w:asciiTheme="minorEastAsia" w:hAnsiTheme="minorEastAsia" w:eastAsiaTheme="minorEastAsia" w:cstheme="minorEastAsia"/>
                <w:b/>
                <w:bCs/>
                <w:color w:val="auto"/>
                <w:kern w:val="0"/>
                <w:szCs w:val="21"/>
                <w:highlight w:val="none"/>
              </w:rPr>
              <w:t>《中华人民共和国水土保持法》案由9项</w:t>
            </w:r>
            <w:bookmarkEnd w:id="264"/>
            <w:bookmarkEnd w:id="265"/>
          </w:p>
        </w:tc>
      </w:tr>
      <w:tr w14:paraId="073F919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00D982B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1B9D64D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采集发菜，或者在水土流失重点预防区和重点治理区铲草皮、挖树兜、滥挖虫草、甘草、麻黄等</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7587E2D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处罚条款：第五十一条第一款，责令停止违法行为，采取补救措施，没收违法所得，并处违法所得一倍以上五倍以下的罚款；没有违法所得的，可以处五万元以下的罚款。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0165F1D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违法所得</w:t>
            </w:r>
          </w:p>
        </w:tc>
        <w:tc>
          <w:tcPr>
            <w:tcW w:w="840" w:type="dxa"/>
            <w:tcBorders>
              <w:top w:val="nil"/>
              <w:left w:val="nil"/>
              <w:bottom w:val="single" w:color="auto" w:sz="4" w:space="0"/>
              <w:right w:val="single" w:color="auto" w:sz="4" w:space="0"/>
            </w:tcBorders>
            <w:shd w:val="clear" w:color="auto" w:fill="auto"/>
            <w:vAlign w:val="center"/>
          </w:tcPr>
          <w:p w14:paraId="077478B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94A8B9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有违法所得的，没收违法所得，并处以下罚款：1.采挖量或采挖面积＜10株或100平方米，系数为0；2.10株或100平方米≤采挖量或采挖面积＜20株或200平方米，系数为1；3.20株或200平方米≤采挖量或采挖面积＜30株或300平方米，系数为2；4.30株或300平方米≤采挖量或采挖面积＜40株或400平方米，系数为3；5.40株或400平方米≤采挖量或采挖面积，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2CC614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罚款金额=违法所得×（1+情节系数）</w:t>
            </w:r>
          </w:p>
        </w:tc>
        <w:tc>
          <w:tcPr>
            <w:tcW w:w="1972" w:type="dxa"/>
            <w:tcBorders>
              <w:top w:val="nil"/>
              <w:left w:val="nil"/>
              <w:bottom w:val="single" w:color="auto" w:sz="4" w:space="0"/>
              <w:right w:val="single" w:color="auto" w:sz="4" w:space="0"/>
            </w:tcBorders>
            <w:shd w:val="clear" w:color="auto" w:fill="auto"/>
            <w:vAlign w:val="center"/>
          </w:tcPr>
          <w:p w14:paraId="0CAD68B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28C3516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0CFC7B47">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4CBDCDD9">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052E56B6">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6261CD3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1C0774C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C773FD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没有违法所得的，处以下罚款：1.采挖量或采挖面积＜10株或100平方米，系数为0；2.10株或100平方米≤采挖量或采挖面积＜20株或200平方米，系数为2；3.20株或200平方米≤采挖量或采挖面积＜30株或300平方米，系数为4；4.30株或300平方米≤采挖量或采挖面积＜40株或400平方米，系数为6；5.40株或400平方米≤采挖量或采挖面积，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C20904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553417D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01DC19F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2EA7025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75E3FA2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依法应当编制水土保持方案的生产建设项目，未编制水土保持方案或者编制的水土保持方案未经批准而开工建设</w:t>
            </w:r>
          </w:p>
        </w:tc>
        <w:tc>
          <w:tcPr>
            <w:tcW w:w="2793" w:type="dxa"/>
            <w:gridSpan w:val="2"/>
            <w:tcBorders>
              <w:top w:val="nil"/>
              <w:left w:val="nil"/>
              <w:bottom w:val="single" w:color="auto" w:sz="4" w:space="0"/>
              <w:right w:val="single" w:color="auto" w:sz="4" w:space="0"/>
            </w:tcBorders>
            <w:shd w:val="clear" w:color="auto" w:fill="auto"/>
            <w:vAlign w:val="center"/>
          </w:tcPr>
          <w:p w14:paraId="0B2F479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处罚条款：第五十三条第一款第（一）项，责令停止违法行为，限期补办手续；逾期不补办手续的，处五万元以上五十万元以下的罚款。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761DC13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14:paraId="601B6E7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A48C8B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045E93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0BDDADE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A31A93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79C136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582C2FB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生产建设项目的地点、规模发生重大变化，未补充、修改水土保持方案或者补充、修改的水土保持方案未经原审批机关批准</w:t>
            </w:r>
          </w:p>
        </w:tc>
        <w:tc>
          <w:tcPr>
            <w:tcW w:w="2793" w:type="dxa"/>
            <w:gridSpan w:val="2"/>
            <w:tcBorders>
              <w:top w:val="nil"/>
              <w:left w:val="nil"/>
              <w:bottom w:val="single" w:color="auto" w:sz="4" w:space="0"/>
              <w:right w:val="single" w:color="auto" w:sz="4" w:space="0"/>
            </w:tcBorders>
            <w:shd w:val="clear" w:color="auto" w:fill="auto"/>
            <w:vAlign w:val="center"/>
          </w:tcPr>
          <w:p w14:paraId="14BC3C9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违反条款：第二十五条第三款；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处罚条款：第五十三条第一款第（二）项，责令停止违法行为，限期补办手续；逾期不补办手续的，处五万元以上五十万元以下的罚款。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1A703BD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14:paraId="45C4DFD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73D9B5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79332C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1D30180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6136596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50755B7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14:paraId="00F8EBB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水土保持方案实施过程中，未经原审批机关批准，对水土保持措施做出重大变更</w:t>
            </w:r>
          </w:p>
        </w:tc>
        <w:tc>
          <w:tcPr>
            <w:tcW w:w="2793" w:type="dxa"/>
            <w:gridSpan w:val="2"/>
            <w:tcBorders>
              <w:top w:val="nil"/>
              <w:left w:val="nil"/>
              <w:bottom w:val="single" w:color="auto" w:sz="4" w:space="0"/>
              <w:right w:val="single" w:color="auto" w:sz="4" w:space="0"/>
            </w:tcBorders>
            <w:shd w:val="clear" w:color="auto" w:fill="auto"/>
            <w:vAlign w:val="center"/>
          </w:tcPr>
          <w:p w14:paraId="7B8A634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违反条款：第二十五条第三款；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处罚条款：第五十三条第一款第（三）项，责令停止违法行为，限期补办手续；逾期不补办手续的，处五万元以上五十万元以下的罚款。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4F4DC44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14:paraId="494E08C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2F4327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5E63C1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7DB3CA1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02ADF61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1FE047B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14:paraId="265F661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水土保持设施未经验收或者验收不合格将生产建设项目投产使用</w:t>
            </w:r>
          </w:p>
        </w:tc>
        <w:tc>
          <w:tcPr>
            <w:tcW w:w="2793" w:type="dxa"/>
            <w:gridSpan w:val="2"/>
            <w:tcBorders>
              <w:top w:val="nil"/>
              <w:left w:val="nil"/>
              <w:bottom w:val="single" w:color="auto" w:sz="4" w:space="0"/>
              <w:right w:val="single" w:color="auto" w:sz="4" w:space="0"/>
            </w:tcBorders>
            <w:shd w:val="clear" w:color="auto" w:fill="auto"/>
            <w:vAlign w:val="center"/>
          </w:tcPr>
          <w:p w14:paraId="55B0BA3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处罚条款：第五十四条，责令停止生产或者使用，直至验收合格，并处五万元以上五十万元以下的罚款。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725F96E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14:paraId="0B83DFF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416E33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投产使用面积＜20公顷，系数为0；20公顷≤项目投产使用面积＜60公顷，系数为1；每增加20公顷（不足20公顷，按20公顷计），系数加1；200公顷≤项目投产使用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D03F82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2F94894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40F6BD4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6D331AD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3D0DA0B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在禁止开垦坡度以上陡坡地开垦种植农作物，或者在禁止开垦、开发的植物保护带内开垦、开发</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4F1190C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处罚条款：第四十九条，责令停止违法行为；按照开垦或者开发面积，可以对个人处每平方米二元以下的罚款、对单位处每平方米十元以下的罚款。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08E0096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1FC42F3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AAD6E7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（一）限期改正，系数为0。（二）逾期不改正的，系数为1。（三）存在基准2.1.3规定情形的，系数按照相关规定确定（基准2.1.3.5不适用）。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5C26D2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罚款金额=2×（1+情节系数）×开垦或者开发面积</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455BA0B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需要作出对个人处每平方米小于1元、对单位处每平方米小于5元的罚款决定的，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7855D03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74D06ADD">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0A82C91E">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7D4E93B1">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04F29C8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14:paraId="5D1355C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732467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（一）限期改正，系数为0。（二）逾期不改正的，系数为1。（三）存在基准2.1.3规定情形的，系数按照相关规定确定（基准2.1.3.5不适用）。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09FDC6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罚款金额=5×（1+情节系数）×开垦或者开发面积</w:t>
            </w:r>
          </w:p>
        </w:tc>
        <w:tc>
          <w:tcPr>
            <w:tcW w:w="1972" w:type="dxa"/>
            <w:vMerge w:val="continue"/>
            <w:tcBorders>
              <w:top w:val="nil"/>
              <w:left w:val="single" w:color="auto" w:sz="4" w:space="0"/>
              <w:bottom w:val="single" w:color="auto" w:sz="4" w:space="0"/>
              <w:right w:val="single" w:color="auto" w:sz="4" w:space="0"/>
            </w:tcBorders>
            <w:vAlign w:val="center"/>
          </w:tcPr>
          <w:p w14:paraId="60F1AB15">
            <w:pPr>
              <w:widowControl/>
              <w:jc w:val="left"/>
              <w:rPr>
                <w:rFonts w:hint="eastAsia" w:asciiTheme="minorEastAsia" w:hAnsiTheme="minorEastAsia" w:eastAsiaTheme="minorEastAsia" w:cstheme="minorEastAsia"/>
                <w:color w:val="auto"/>
                <w:kern w:val="0"/>
                <w:sz w:val="15"/>
                <w:szCs w:val="15"/>
                <w:highlight w:val="none"/>
              </w:rPr>
            </w:pPr>
          </w:p>
        </w:tc>
      </w:tr>
      <w:tr w14:paraId="5D4BA8C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396E9DB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79EAAA5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在崩塌、滑坡危险区或者泥石流易发区从事取土、挖砂、采石等可能造成水土流失的活动</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0C28FEA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处罚条款：第四十八条，责令停止违法行为，没收违法所得，对个人处一千元以上一万元以下的罚款，对单位处二万元以上二十万元以下的罚款。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0E7A6D4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14:paraId="4448602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0F7BCE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没收违法所得，并处以下罚款：1.采挖量＜100立方米，系数为0；100立方米≤采挖量＜150立方米，系数为1；每增加50立方米（不足50立方米，按50立方米计），系数加1；500立方米≤采挖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A2A6B7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2CC9C75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261B523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086750CC">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3F3914DE">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1E983B81">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1241156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vAlign w:val="center"/>
          </w:tcPr>
          <w:p w14:paraId="74F9FDA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B9FFDB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没收违法所得，并处以下罚款：1.采挖量＜10立方米，系数为0，2.10立方米≤采挖量＜20立方米，系数为2；3.20立方米≤采挖量＜30立方米，系数为4；4.30立方米≤采挖量＜40立方米，系数为6；5.40立方米≤采挖量，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31BEE8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罚款金额=1000×（1+情节系数）</w:t>
            </w:r>
          </w:p>
        </w:tc>
        <w:tc>
          <w:tcPr>
            <w:tcW w:w="1972" w:type="dxa"/>
            <w:vMerge w:val="continue"/>
            <w:tcBorders>
              <w:top w:val="nil"/>
              <w:left w:val="single" w:color="auto" w:sz="4" w:space="0"/>
              <w:bottom w:val="single" w:color="auto" w:sz="4" w:space="0"/>
              <w:right w:val="single" w:color="auto" w:sz="4" w:space="0"/>
            </w:tcBorders>
            <w:vAlign w:val="center"/>
          </w:tcPr>
          <w:p w14:paraId="6D8A8FAC">
            <w:pPr>
              <w:widowControl/>
              <w:jc w:val="left"/>
              <w:rPr>
                <w:rFonts w:hint="eastAsia" w:asciiTheme="minorEastAsia" w:hAnsiTheme="minorEastAsia" w:eastAsiaTheme="minorEastAsia" w:cstheme="minorEastAsia"/>
                <w:color w:val="auto"/>
                <w:kern w:val="0"/>
                <w:sz w:val="15"/>
                <w:szCs w:val="15"/>
                <w:highlight w:val="none"/>
              </w:rPr>
            </w:pPr>
          </w:p>
        </w:tc>
      </w:tr>
      <w:tr w14:paraId="3A24407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29A0F78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14:paraId="7A3CE41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在林区采伐林木不依法采取防止水土流失措施</w:t>
            </w:r>
          </w:p>
        </w:tc>
        <w:tc>
          <w:tcPr>
            <w:tcW w:w="2793" w:type="dxa"/>
            <w:gridSpan w:val="2"/>
            <w:tcBorders>
              <w:top w:val="nil"/>
              <w:left w:val="nil"/>
              <w:bottom w:val="single" w:color="auto" w:sz="4" w:space="0"/>
              <w:right w:val="single" w:color="auto" w:sz="4" w:space="0"/>
            </w:tcBorders>
            <w:shd w:val="clear" w:color="auto" w:fill="auto"/>
            <w:vAlign w:val="center"/>
          </w:tcPr>
          <w:p w14:paraId="68B0BA8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处罚条款：第五十二条，责令限期改正，采取补救措施；造成水土流失的，由水行政主管部门按照造成水土流失的面积处每平方米二元以上十元以下的罚款。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07925F6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 </w:t>
            </w:r>
          </w:p>
        </w:tc>
        <w:tc>
          <w:tcPr>
            <w:tcW w:w="840" w:type="dxa"/>
            <w:tcBorders>
              <w:top w:val="nil"/>
              <w:left w:val="nil"/>
              <w:bottom w:val="single" w:color="auto" w:sz="4" w:space="0"/>
              <w:right w:val="single" w:color="auto" w:sz="4" w:space="0"/>
            </w:tcBorders>
            <w:shd w:val="clear" w:color="auto" w:fill="auto"/>
            <w:vAlign w:val="center"/>
          </w:tcPr>
          <w:p w14:paraId="630F672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EB9D85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水土流失面积＜500平方米，系数为0；2.500平方米≤水土流失面积＜2000平方米，系数为1；3.2000平方米≤水土流失面积＜5000平方米，系数为2；4.5000平方米≤水土流失面积＜10000平方米，系数为3；5.10000平方米≤水土流失面积，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379FC1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罚款金额=2元/平方米×（1+情节系数）×水土流失面积</w:t>
            </w:r>
          </w:p>
        </w:tc>
        <w:tc>
          <w:tcPr>
            <w:tcW w:w="1972" w:type="dxa"/>
            <w:tcBorders>
              <w:top w:val="nil"/>
              <w:left w:val="nil"/>
              <w:bottom w:val="single" w:color="auto" w:sz="4" w:space="0"/>
              <w:right w:val="single" w:color="auto" w:sz="4" w:space="0"/>
            </w:tcBorders>
            <w:shd w:val="clear" w:color="auto" w:fill="auto"/>
            <w:vAlign w:val="center"/>
          </w:tcPr>
          <w:p w14:paraId="49F2809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79DE027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00E2FA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14:paraId="47E0627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在水土保持方案确定的专门存放地以外的区域倾倒砂、石、土、矸石、尾矿、废渣等</w:t>
            </w:r>
          </w:p>
        </w:tc>
        <w:tc>
          <w:tcPr>
            <w:tcW w:w="2793" w:type="dxa"/>
            <w:gridSpan w:val="2"/>
            <w:tcBorders>
              <w:top w:val="nil"/>
              <w:left w:val="nil"/>
              <w:bottom w:val="single" w:color="auto" w:sz="4" w:space="0"/>
              <w:right w:val="single" w:color="auto" w:sz="4" w:space="0"/>
            </w:tcBorders>
            <w:shd w:val="clear" w:color="auto" w:fill="auto"/>
            <w:vAlign w:val="center"/>
          </w:tcPr>
          <w:p w14:paraId="5C27E27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处罚条款：第五十五条，责令停止违法行为，限期清理，按照倾倒数量处每立方米十元以上二十元以下的罚款。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21FD4A1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 </w:t>
            </w:r>
          </w:p>
        </w:tc>
        <w:tc>
          <w:tcPr>
            <w:tcW w:w="840" w:type="dxa"/>
            <w:tcBorders>
              <w:top w:val="nil"/>
              <w:left w:val="nil"/>
              <w:bottom w:val="single" w:color="auto" w:sz="4" w:space="0"/>
              <w:right w:val="single" w:color="auto" w:sz="4" w:space="0"/>
            </w:tcBorders>
            <w:shd w:val="clear" w:color="auto" w:fill="auto"/>
            <w:vAlign w:val="center"/>
          </w:tcPr>
          <w:p w14:paraId="5EE082D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88CB6D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水土保持方案确定的专门存放地以外的区域倾倒砂、石、土、矸石、尾矿、废渣等但采取有效措施的，系数为0。2.在水土保持方案确定的专门存放地以外的区域倾倒砂、石、土、矸石、尾矿、废渣等且未采取有效措施的，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B9DC4A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罚款金额=10×（1+情节系数）×堆土弃渣量</w:t>
            </w:r>
          </w:p>
        </w:tc>
        <w:tc>
          <w:tcPr>
            <w:tcW w:w="1972" w:type="dxa"/>
            <w:tcBorders>
              <w:top w:val="nil"/>
              <w:left w:val="nil"/>
              <w:bottom w:val="single" w:color="auto" w:sz="4" w:space="0"/>
              <w:right w:val="single" w:color="auto" w:sz="4" w:space="0"/>
            </w:tcBorders>
            <w:shd w:val="clear" w:color="auto" w:fill="auto"/>
            <w:vAlign w:val="center"/>
          </w:tcPr>
          <w:p w14:paraId="6C153CB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4C6F44D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5874034F">
            <w:pPr>
              <w:widowControl/>
              <w:jc w:val="center"/>
              <w:outlineLvl w:val="1"/>
              <w:rPr>
                <w:rFonts w:hint="eastAsia" w:asciiTheme="minorEastAsia" w:hAnsiTheme="minorEastAsia" w:eastAsiaTheme="minorEastAsia" w:cstheme="minorEastAsia"/>
                <w:color w:val="auto"/>
                <w:kern w:val="0"/>
                <w:szCs w:val="21"/>
                <w:highlight w:val="none"/>
              </w:rPr>
            </w:pPr>
            <w:bookmarkStart w:id="266" w:name="_Toc698480480"/>
            <w:bookmarkStart w:id="267" w:name="_Toc218468858"/>
            <w:r>
              <w:rPr>
                <w:rFonts w:hint="eastAsia" w:asciiTheme="minorEastAsia" w:hAnsiTheme="minorEastAsia" w:eastAsiaTheme="minorEastAsia" w:cstheme="minorEastAsia"/>
                <w:b/>
                <w:bCs/>
                <w:color w:val="auto"/>
                <w:kern w:val="0"/>
                <w:szCs w:val="21"/>
                <w:highlight w:val="none"/>
              </w:rPr>
              <w:t>《北京市水土保持条例》案由9项</w:t>
            </w:r>
            <w:bookmarkEnd w:id="266"/>
            <w:bookmarkEnd w:id="267"/>
          </w:p>
        </w:tc>
      </w:tr>
      <w:tr w14:paraId="4AC8DD0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36F27B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4A44507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拒不缴纳水土保持补偿费</w:t>
            </w:r>
          </w:p>
        </w:tc>
        <w:tc>
          <w:tcPr>
            <w:tcW w:w="2793" w:type="dxa"/>
            <w:gridSpan w:val="2"/>
            <w:tcBorders>
              <w:top w:val="nil"/>
              <w:left w:val="nil"/>
              <w:bottom w:val="single" w:color="auto" w:sz="4" w:space="0"/>
              <w:right w:val="single" w:color="auto" w:sz="4" w:space="0"/>
            </w:tcBorders>
            <w:shd w:val="clear" w:color="auto" w:fill="auto"/>
            <w:vAlign w:val="center"/>
          </w:tcPr>
          <w:p w14:paraId="7869CF1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违反条款：第三十一条；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处罚条款：第五十七条，责令限期缴纳；逾期不缴纳的，可以处应缴水土保持补偿费三倍以下的罚款。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0217BF7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应缴水土保持补偿费×1倍</w:t>
            </w:r>
          </w:p>
        </w:tc>
        <w:tc>
          <w:tcPr>
            <w:tcW w:w="840" w:type="dxa"/>
            <w:tcBorders>
              <w:top w:val="nil"/>
              <w:left w:val="nil"/>
              <w:bottom w:val="single" w:color="auto" w:sz="4" w:space="0"/>
              <w:right w:val="single" w:color="auto" w:sz="4" w:space="0"/>
            </w:tcBorders>
            <w:shd w:val="clear" w:color="auto" w:fill="auto"/>
            <w:vAlign w:val="center"/>
          </w:tcPr>
          <w:p w14:paraId="16CD0C5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DD50BF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1.持续违法时间＜6个月，系数为0；2.6个月≤持续违法时间＜12个月，系数为1；3.12个月≤持续违法时间，系数为2。4.存在基准2.1.3规定情形的，系数按照相关规定确定（基准2.1.3.5不适用）。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809FF9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罚款金额=应缴水土保持补偿费×1倍×（1+情节系数）</w:t>
            </w:r>
          </w:p>
        </w:tc>
        <w:tc>
          <w:tcPr>
            <w:tcW w:w="1972" w:type="dxa"/>
            <w:tcBorders>
              <w:top w:val="nil"/>
              <w:left w:val="nil"/>
              <w:bottom w:val="single" w:color="auto" w:sz="4" w:space="0"/>
              <w:right w:val="single" w:color="auto" w:sz="4" w:space="0"/>
            </w:tcBorders>
            <w:shd w:val="clear" w:color="auto" w:fill="auto"/>
            <w:vAlign w:val="center"/>
          </w:tcPr>
          <w:p w14:paraId="57DD4AF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需要作出1倍以下罚款决定的，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10AE08B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1471510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42D139F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未将水土保持设施纳入项目主体工程设计</w:t>
            </w:r>
          </w:p>
        </w:tc>
        <w:tc>
          <w:tcPr>
            <w:tcW w:w="2793" w:type="dxa"/>
            <w:gridSpan w:val="2"/>
            <w:tcBorders>
              <w:top w:val="nil"/>
              <w:left w:val="nil"/>
              <w:bottom w:val="single" w:color="auto" w:sz="4" w:space="0"/>
              <w:right w:val="single" w:color="auto" w:sz="4" w:space="0"/>
            </w:tcBorders>
            <w:shd w:val="clear" w:color="auto" w:fill="auto"/>
            <w:vAlign w:val="center"/>
          </w:tcPr>
          <w:p w14:paraId="23F27B7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违反条款：第二十五条第一款；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处罚条款：第三十七条第一款，责令改正，处五万元以上五十万元以下罚款。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145FAF5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14:paraId="20FC2B7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6A984E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征占地面积＜20公顷，系数为0；20公顷≤项目征占地面积＜60公顷，系数为1；每增加20公顷（不足20公顷，按20公顷计），系数加1；200公顷≤项目征占地面积，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ACAC4A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6A2A42D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D6504D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851DB6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3CCC2D7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水土保持设施管护单位未保存水土保持设施清单和管护记录</w:t>
            </w:r>
          </w:p>
        </w:tc>
        <w:tc>
          <w:tcPr>
            <w:tcW w:w="2793" w:type="dxa"/>
            <w:gridSpan w:val="2"/>
            <w:tcBorders>
              <w:top w:val="nil"/>
              <w:left w:val="nil"/>
              <w:bottom w:val="single" w:color="auto" w:sz="4" w:space="0"/>
              <w:right w:val="single" w:color="auto" w:sz="4" w:space="0"/>
            </w:tcBorders>
            <w:shd w:val="clear" w:color="auto" w:fill="auto"/>
            <w:vAlign w:val="center"/>
          </w:tcPr>
          <w:p w14:paraId="63C6FB1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违反条款：第二十五条第三款；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处罚条款：第三十七条第二款，责令改正，可处五千元罚款。</w:t>
            </w:r>
          </w:p>
        </w:tc>
        <w:tc>
          <w:tcPr>
            <w:tcW w:w="864" w:type="dxa"/>
            <w:gridSpan w:val="2"/>
            <w:tcBorders>
              <w:top w:val="nil"/>
              <w:left w:val="nil"/>
              <w:bottom w:val="single" w:color="auto" w:sz="4" w:space="0"/>
              <w:right w:val="single" w:color="auto" w:sz="4" w:space="0"/>
            </w:tcBorders>
            <w:shd w:val="clear" w:color="auto" w:fill="auto"/>
            <w:vAlign w:val="center"/>
          </w:tcPr>
          <w:p w14:paraId="7CD933F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7CCE443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14:paraId="0565B17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罚款5000元。</w:t>
            </w:r>
          </w:p>
        </w:tc>
        <w:tc>
          <w:tcPr>
            <w:tcW w:w="1881" w:type="dxa"/>
            <w:gridSpan w:val="2"/>
            <w:tcBorders>
              <w:top w:val="nil"/>
              <w:left w:val="nil"/>
              <w:bottom w:val="single" w:color="auto" w:sz="4" w:space="0"/>
              <w:right w:val="single" w:color="auto" w:sz="4" w:space="0"/>
            </w:tcBorders>
            <w:shd w:val="clear" w:color="auto" w:fill="auto"/>
            <w:vAlign w:val="center"/>
          </w:tcPr>
          <w:p w14:paraId="7FE1CEA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w:t>
            </w:r>
          </w:p>
        </w:tc>
        <w:tc>
          <w:tcPr>
            <w:tcW w:w="1972" w:type="dxa"/>
            <w:tcBorders>
              <w:top w:val="nil"/>
              <w:left w:val="nil"/>
              <w:bottom w:val="single" w:color="auto" w:sz="4" w:space="0"/>
              <w:right w:val="single" w:color="auto" w:sz="4" w:space="0"/>
            </w:tcBorders>
            <w:shd w:val="clear" w:color="auto" w:fill="auto"/>
            <w:vAlign w:val="center"/>
          </w:tcPr>
          <w:p w14:paraId="18E88BF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5F5777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C720E3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14:paraId="7E8B65D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未按时报送水土保持监测情况</w:t>
            </w:r>
          </w:p>
        </w:tc>
        <w:tc>
          <w:tcPr>
            <w:tcW w:w="2793" w:type="dxa"/>
            <w:gridSpan w:val="2"/>
            <w:tcBorders>
              <w:top w:val="nil"/>
              <w:left w:val="nil"/>
              <w:bottom w:val="single" w:color="auto" w:sz="4" w:space="0"/>
              <w:right w:val="single" w:color="auto" w:sz="4" w:space="0"/>
            </w:tcBorders>
            <w:shd w:val="clear" w:color="auto" w:fill="auto"/>
            <w:vAlign w:val="center"/>
          </w:tcPr>
          <w:p w14:paraId="6ABD381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处罚条款：第三十九条，责令限期改正，处五千元以上二万元以下罚款。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57D0BAE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5D08127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02A4ED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征占地面积＜20公顷，系数为0；2.20公顷≤项目征占地面积＜80公顷，系数为1；3.80公顷≤项目征占地面积＜140公顷，系数为2；4.140公顷≤项目征占地面积，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F356C8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78693DF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745562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839661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14:paraId="093A2C8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未建设集雨式绿地、透水铺装、雨水集蓄利用等设施</w:t>
            </w:r>
          </w:p>
        </w:tc>
        <w:tc>
          <w:tcPr>
            <w:tcW w:w="2793" w:type="dxa"/>
            <w:gridSpan w:val="2"/>
            <w:tcBorders>
              <w:top w:val="nil"/>
              <w:left w:val="nil"/>
              <w:bottom w:val="single" w:color="auto" w:sz="4" w:space="0"/>
              <w:right w:val="single" w:color="auto" w:sz="4" w:space="0"/>
            </w:tcBorders>
            <w:shd w:val="clear" w:color="auto" w:fill="auto"/>
            <w:vAlign w:val="center"/>
          </w:tcPr>
          <w:p w14:paraId="27530BB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处罚条款：第四十条，责令改正，处五万元以上五十万元以下罚款。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8B5FA4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14:paraId="2DE6563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C29A65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1.实际值与标准值偏差＜10%，系数为0；10%≤实际值与标准值偏差＜20%，系数为1；每增加10%（不足10%，按10%计），系数加1；90%≤实际值与标准值偏差，系数为 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AC0128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126B24D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64B91EE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1D8C83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14:paraId="52EC4E0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生产建设单位在土石方堆放、转运和综合利用中未采取有效措施加强土石方管理，造成水土流失</w:t>
            </w:r>
          </w:p>
        </w:tc>
        <w:tc>
          <w:tcPr>
            <w:tcW w:w="2793" w:type="dxa"/>
            <w:gridSpan w:val="2"/>
            <w:tcBorders>
              <w:top w:val="nil"/>
              <w:left w:val="nil"/>
              <w:bottom w:val="single" w:color="auto" w:sz="4" w:space="0"/>
              <w:right w:val="single" w:color="auto" w:sz="4" w:space="0"/>
            </w:tcBorders>
            <w:shd w:val="clear" w:color="auto" w:fill="auto"/>
            <w:vAlign w:val="center"/>
          </w:tcPr>
          <w:p w14:paraId="36C99C3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违反条款：第二十六条；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处罚条款：第三十八条，责令改正，处五万元以上五十万元以下罚款。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7B621BF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shd w:val="clear" w:color="auto" w:fill="auto"/>
            <w:vAlign w:val="center"/>
          </w:tcPr>
          <w:p w14:paraId="005DE19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B2CF6B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土石方量＜2000立方米，系数为0；2000立方米≤土石方量＜3000立方米，系数为1；每增加1000立方米（不足1000立方米，按1000立方米计），系数加1；10000立方米≤土石方量，系数为9。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8F83AF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罚款金额=50000×（1+情节系数）</w:t>
            </w:r>
          </w:p>
        </w:tc>
        <w:tc>
          <w:tcPr>
            <w:tcW w:w="1972" w:type="dxa"/>
            <w:tcBorders>
              <w:top w:val="nil"/>
              <w:left w:val="nil"/>
              <w:bottom w:val="single" w:color="auto" w:sz="4" w:space="0"/>
              <w:right w:val="single" w:color="auto" w:sz="4" w:space="0"/>
            </w:tcBorders>
            <w:shd w:val="clear" w:color="auto" w:fill="auto"/>
            <w:vAlign w:val="center"/>
          </w:tcPr>
          <w:p w14:paraId="3282CC2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23E569F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4CBDD50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2C6D96B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在生态清洁小流域范围内破坏水土保持设施或者干扰其正常运行，或其他影响水土保持设施正常功能</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43BA222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违反条款：第二十条第一款第（三）项、第（四）项；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处罚条款：第三十六条，责令改正，对个人可处五百元以上五千元以下罚款；对单位可处一万元以上十万元以下罚款。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3A34871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14:paraId="644DAF3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44F57EC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r>
              <w:rPr>
                <w:rFonts w:hint="eastAsia" w:asciiTheme="minorEastAsia" w:hAnsiTheme="minorEastAsia" w:eastAsiaTheme="minorEastAsia" w:cstheme="minorEastAsia"/>
                <w:color w:val="auto"/>
                <w:kern w:val="0"/>
                <w:sz w:val="15"/>
                <w:szCs w:val="15"/>
                <w:highlight w:val="none"/>
                <w:lang w:eastAsia="zh-CN"/>
              </w:rPr>
              <w:t>涉及</w:t>
            </w:r>
            <w:r>
              <w:rPr>
                <w:rFonts w:hint="eastAsia" w:asciiTheme="minorEastAsia" w:hAnsiTheme="minorEastAsia" w:eastAsiaTheme="minorEastAsia" w:cstheme="minorEastAsia"/>
                <w:color w:val="auto"/>
                <w:kern w:val="0"/>
                <w:sz w:val="15"/>
                <w:szCs w:val="15"/>
                <w:highlight w:val="none"/>
              </w:rPr>
              <w:t>一般设施干扰的，系数为0；2.</w:t>
            </w:r>
            <w:r>
              <w:rPr>
                <w:rFonts w:hint="eastAsia" w:asciiTheme="minorEastAsia" w:hAnsiTheme="minorEastAsia" w:eastAsiaTheme="minorEastAsia" w:cstheme="minorEastAsia"/>
                <w:color w:val="auto"/>
                <w:kern w:val="0"/>
                <w:sz w:val="15"/>
                <w:szCs w:val="15"/>
                <w:highlight w:val="none"/>
                <w:lang w:eastAsia="zh-CN"/>
              </w:rPr>
              <w:t>涉及</w:t>
            </w:r>
            <w:r>
              <w:rPr>
                <w:rFonts w:hint="eastAsia" w:asciiTheme="minorEastAsia" w:hAnsiTheme="minorEastAsia" w:eastAsiaTheme="minorEastAsia" w:cstheme="minorEastAsia"/>
                <w:color w:val="auto"/>
                <w:kern w:val="0"/>
                <w:sz w:val="15"/>
                <w:szCs w:val="15"/>
                <w:highlight w:val="none"/>
              </w:rPr>
              <w:t>一般设施破坏的，系数为3；3.</w:t>
            </w:r>
            <w:r>
              <w:rPr>
                <w:rFonts w:hint="eastAsia" w:asciiTheme="minorEastAsia" w:hAnsiTheme="minorEastAsia" w:eastAsiaTheme="minorEastAsia" w:cstheme="minorEastAsia"/>
                <w:color w:val="auto"/>
                <w:kern w:val="0"/>
                <w:sz w:val="15"/>
                <w:szCs w:val="15"/>
                <w:highlight w:val="none"/>
                <w:lang w:eastAsia="zh-CN"/>
              </w:rPr>
              <w:t>涉及</w:t>
            </w:r>
            <w:r>
              <w:rPr>
                <w:rFonts w:hint="eastAsia" w:asciiTheme="minorEastAsia" w:hAnsiTheme="minorEastAsia" w:eastAsiaTheme="minorEastAsia" w:cstheme="minorEastAsia"/>
                <w:color w:val="auto"/>
                <w:kern w:val="0"/>
                <w:sz w:val="15"/>
                <w:szCs w:val="15"/>
                <w:highlight w:val="none"/>
              </w:rPr>
              <w:t>核心设施干扰的，系数为6；4.</w:t>
            </w:r>
            <w:r>
              <w:rPr>
                <w:rFonts w:hint="eastAsia" w:asciiTheme="minorEastAsia" w:hAnsiTheme="minorEastAsia" w:eastAsiaTheme="minorEastAsia" w:cstheme="minorEastAsia"/>
                <w:color w:val="auto"/>
                <w:kern w:val="0"/>
                <w:sz w:val="15"/>
                <w:szCs w:val="15"/>
                <w:highlight w:val="none"/>
                <w:lang w:eastAsia="zh-CN"/>
              </w:rPr>
              <w:t>涉及</w:t>
            </w:r>
            <w:r>
              <w:rPr>
                <w:rFonts w:hint="eastAsia" w:asciiTheme="minorEastAsia" w:hAnsiTheme="minorEastAsia" w:eastAsiaTheme="minorEastAsia" w:cstheme="minorEastAsia"/>
                <w:color w:val="auto"/>
                <w:kern w:val="0"/>
                <w:sz w:val="15"/>
                <w:szCs w:val="15"/>
                <w:highlight w:val="none"/>
              </w:rPr>
              <w:t>核心设施破坏的，系数为9。5.存在基准2.1.3规定情形的，系数按照相关规定确定（基准2.1.3.5不适用）。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FDA89E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75A40DA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6E3ABF9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38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07D89831">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7D66EAB8">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2CD86778">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620DC4C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noWrap/>
            <w:vAlign w:val="center"/>
          </w:tcPr>
          <w:p w14:paraId="5FDDBE1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vAlign w:val="center"/>
          </w:tcPr>
          <w:p w14:paraId="3B5D2A3E">
            <w:pPr>
              <w:widowControl/>
              <w:jc w:val="left"/>
              <w:rPr>
                <w:rFonts w:hint="eastAsia" w:asciiTheme="minorEastAsia" w:hAnsiTheme="minorEastAsia" w:eastAsiaTheme="minorEastAsia" w:cstheme="minorEastAsia"/>
                <w:color w:val="auto"/>
                <w:kern w:val="0"/>
                <w:sz w:val="15"/>
                <w:szCs w:val="15"/>
                <w:highlight w:val="none"/>
              </w:rPr>
            </w:pPr>
          </w:p>
        </w:tc>
        <w:tc>
          <w:tcPr>
            <w:tcW w:w="1881" w:type="dxa"/>
            <w:gridSpan w:val="2"/>
            <w:tcBorders>
              <w:top w:val="nil"/>
              <w:left w:val="nil"/>
              <w:bottom w:val="single" w:color="auto" w:sz="4" w:space="0"/>
              <w:right w:val="single" w:color="auto" w:sz="4" w:space="0"/>
            </w:tcBorders>
            <w:shd w:val="clear" w:color="auto" w:fill="auto"/>
            <w:vAlign w:val="center"/>
          </w:tcPr>
          <w:p w14:paraId="0F8934F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vMerge w:val="continue"/>
            <w:tcBorders>
              <w:top w:val="nil"/>
              <w:left w:val="single" w:color="auto" w:sz="4" w:space="0"/>
              <w:bottom w:val="single" w:color="auto" w:sz="4" w:space="0"/>
              <w:right w:val="single" w:color="auto" w:sz="4" w:space="0"/>
            </w:tcBorders>
            <w:vAlign w:val="center"/>
          </w:tcPr>
          <w:p w14:paraId="40E37B3B">
            <w:pPr>
              <w:widowControl/>
              <w:jc w:val="left"/>
              <w:rPr>
                <w:rFonts w:hint="eastAsia" w:asciiTheme="minorEastAsia" w:hAnsiTheme="minorEastAsia" w:eastAsiaTheme="minorEastAsia" w:cstheme="minorEastAsia"/>
                <w:color w:val="auto"/>
                <w:kern w:val="0"/>
                <w:sz w:val="15"/>
                <w:szCs w:val="15"/>
                <w:highlight w:val="none"/>
              </w:rPr>
            </w:pPr>
          </w:p>
        </w:tc>
      </w:tr>
      <w:tr w14:paraId="3CE1435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6CD259C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39AD0E1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在生态清洁小流域范围内随意取土、挖砂、倾倒垃圾、排放污水</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1B6A04F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处罚条款：第三十六条，责令改正，对个人可处五百元以上五千元以下罚款；对单位可处一万元以上十万元以下罚款。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7D2F2CF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14:paraId="0BE10CA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5D4391A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取土、挖砂量＜50立方米或垃圾、污水＜5吨，系数为0；2.50立方米≤取土、挖砂量＜100立方米或5吨≤垃圾、污水＜10吨，系数为4；3.100立方米≤取土、挖砂量或10吨≤垃圾、污水，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67A181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27A62E8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668B727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38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547F72BA">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5298C21A">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37EE72FF">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187372E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noWrap/>
            <w:vAlign w:val="center"/>
          </w:tcPr>
          <w:p w14:paraId="105420B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vAlign w:val="center"/>
          </w:tcPr>
          <w:p w14:paraId="2EDBA0DE">
            <w:pPr>
              <w:widowControl/>
              <w:jc w:val="left"/>
              <w:rPr>
                <w:rFonts w:hint="eastAsia" w:asciiTheme="minorEastAsia" w:hAnsiTheme="minorEastAsia" w:eastAsiaTheme="minorEastAsia" w:cstheme="minorEastAsia"/>
                <w:color w:val="auto"/>
                <w:kern w:val="0"/>
                <w:sz w:val="15"/>
                <w:szCs w:val="15"/>
                <w:highlight w:val="none"/>
              </w:rPr>
            </w:pPr>
          </w:p>
        </w:tc>
        <w:tc>
          <w:tcPr>
            <w:tcW w:w="1881" w:type="dxa"/>
            <w:gridSpan w:val="2"/>
            <w:tcBorders>
              <w:top w:val="nil"/>
              <w:left w:val="nil"/>
              <w:bottom w:val="single" w:color="auto" w:sz="4" w:space="0"/>
              <w:right w:val="single" w:color="auto" w:sz="4" w:space="0"/>
            </w:tcBorders>
            <w:shd w:val="clear" w:color="auto" w:fill="auto"/>
            <w:vAlign w:val="center"/>
          </w:tcPr>
          <w:p w14:paraId="39B1A04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vMerge w:val="continue"/>
            <w:tcBorders>
              <w:top w:val="nil"/>
              <w:left w:val="single" w:color="auto" w:sz="4" w:space="0"/>
              <w:bottom w:val="single" w:color="auto" w:sz="4" w:space="0"/>
              <w:right w:val="single" w:color="auto" w:sz="4" w:space="0"/>
            </w:tcBorders>
            <w:vAlign w:val="center"/>
          </w:tcPr>
          <w:p w14:paraId="0243C385">
            <w:pPr>
              <w:widowControl/>
              <w:jc w:val="left"/>
              <w:rPr>
                <w:rFonts w:hint="eastAsia" w:asciiTheme="minorEastAsia" w:hAnsiTheme="minorEastAsia" w:eastAsiaTheme="minorEastAsia" w:cstheme="minorEastAsia"/>
                <w:color w:val="auto"/>
                <w:kern w:val="0"/>
                <w:sz w:val="15"/>
                <w:szCs w:val="15"/>
                <w:highlight w:val="none"/>
              </w:rPr>
            </w:pPr>
          </w:p>
        </w:tc>
      </w:tr>
      <w:tr w14:paraId="0C79605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4BBCF2B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3D93978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在生态清洁小流域范围内的沟道内私搭乱建、堆放物品</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48DB295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违反条款：第二十条第一款第（一）项；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处罚条款：第三十六条，责令改正，对个人可处五百元以上五千元以下罚款；对单位可处一万元以上十万元以下罚款。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30ACA97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10000</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（对单位）</w:t>
            </w:r>
          </w:p>
        </w:tc>
        <w:tc>
          <w:tcPr>
            <w:tcW w:w="840" w:type="dxa"/>
            <w:tcBorders>
              <w:top w:val="nil"/>
              <w:left w:val="nil"/>
              <w:bottom w:val="single" w:color="auto" w:sz="4" w:space="0"/>
              <w:right w:val="single" w:color="auto" w:sz="4" w:space="0"/>
            </w:tcBorders>
            <w:shd w:val="clear" w:color="auto" w:fill="auto"/>
            <w:vAlign w:val="center"/>
          </w:tcPr>
          <w:p w14:paraId="23057F4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06EACEC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私搭乱建面积＜5平方米或堆放物品＜1立方米，未影响行洪及生态功能，系数为0；2.5平方米≤私搭乱建面积＜20平方米或1立方米≤堆放物品＜5立方米，造成局部排水不畅，系数为2；3.20平方米≤私搭乱建面积＜50平方米或5立方米≤堆放物品＜20立方米，影响局部行洪安全，系数为4；4.50平方米≤私搭乱建面积＜100平方米或20立方米≤堆放物品＜50立方米，导致河道局部堵塞，系数为6；5.100平方米≤私搭乱建面积或50立方米≤堆放物品，引发重大安全隐患，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8D0ACD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vMerge w:val="restart"/>
            <w:tcBorders>
              <w:top w:val="nil"/>
              <w:left w:val="single" w:color="auto" w:sz="4" w:space="0"/>
              <w:bottom w:val="single" w:color="auto" w:sz="4" w:space="0"/>
              <w:right w:val="single" w:color="auto" w:sz="4" w:space="0"/>
            </w:tcBorders>
            <w:shd w:val="clear" w:color="auto" w:fill="auto"/>
            <w:vAlign w:val="center"/>
          </w:tcPr>
          <w:p w14:paraId="21C9186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6BCBF9F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38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42AECB11">
            <w:pPr>
              <w:widowControl/>
              <w:jc w:val="left"/>
              <w:rPr>
                <w:rFonts w:ascii="Times New Roman" w:hAnsi="Times New Roman" w:eastAsia="宋体" w:cs="Times New Roman"/>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0D2E0B4F">
            <w:pPr>
              <w:widowControl/>
              <w:jc w:val="left"/>
              <w:rPr>
                <w:rFonts w:ascii="Times New Roman" w:hAnsi="Times New Roman" w:eastAsia="宋体" w:cs="Times New Roman"/>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24AFDA8C">
            <w:pPr>
              <w:widowControl/>
              <w:jc w:val="left"/>
              <w:rPr>
                <w:rFonts w:ascii="Times New Roman" w:hAnsi="Times New Roman" w:eastAsia="宋体" w:cs="Times New Roman"/>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5839E452">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500</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（对个人）</w:t>
            </w:r>
          </w:p>
        </w:tc>
        <w:tc>
          <w:tcPr>
            <w:tcW w:w="840" w:type="dxa"/>
            <w:tcBorders>
              <w:top w:val="nil"/>
              <w:left w:val="nil"/>
              <w:bottom w:val="single" w:color="auto" w:sz="4" w:space="0"/>
              <w:right w:val="single" w:color="auto" w:sz="4" w:space="0"/>
            </w:tcBorders>
            <w:shd w:val="clear" w:color="auto" w:fill="auto"/>
            <w:noWrap/>
            <w:vAlign w:val="center"/>
          </w:tcPr>
          <w:p w14:paraId="0A7CA05C">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vAlign w:val="center"/>
          </w:tcPr>
          <w:p w14:paraId="02991BEE">
            <w:pPr>
              <w:widowControl/>
              <w:jc w:val="left"/>
              <w:rPr>
                <w:rFonts w:ascii="Times New Roman" w:hAnsi="Times New Roman" w:eastAsia="宋体" w:cs="Times New Roman"/>
                <w:color w:val="auto"/>
                <w:kern w:val="0"/>
                <w:sz w:val="15"/>
                <w:szCs w:val="15"/>
                <w:highlight w:val="none"/>
              </w:rPr>
            </w:pPr>
          </w:p>
        </w:tc>
        <w:tc>
          <w:tcPr>
            <w:tcW w:w="1881" w:type="dxa"/>
            <w:gridSpan w:val="2"/>
            <w:tcBorders>
              <w:top w:val="nil"/>
              <w:left w:val="nil"/>
              <w:bottom w:val="single" w:color="auto" w:sz="4" w:space="0"/>
              <w:right w:val="single" w:color="auto" w:sz="4" w:space="0"/>
            </w:tcBorders>
            <w:shd w:val="clear" w:color="auto" w:fill="auto"/>
            <w:vAlign w:val="center"/>
          </w:tcPr>
          <w:p w14:paraId="587D699F">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罚款金额=500×（1+情节系数）</w:t>
            </w:r>
          </w:p>
        </w:tc>
        <w:tc>
          <w:tcPr>
            <w:tcW w:w="1972" w:type="dxa"/>
            <w:vMerge w:val="continue"/>
            <w:tcBorders>
              <w:top w:val="nil"/>
              <w:left w:val="single" w:color="auto" w:sz="4" w:space="0"/>
              <w:bottom w:val="single" w:color="auto" w:sz="4" w:space="0"/>
              <w:right w:val="single" w:color="auto" w:sz="4" w:space="0"/>
            </w:tcBorders>
            <w:vAlign w:val="center"/>
          </w:tcPr>
          <w:p w14:paraId="346DEB65">
            <w:pPr>
              <w:widowControl/>
              <w:jc w:val="left"/>
              <w:rPr>
                <w:rFonts w:ascii="Times New Roman" w:hAnsi="Times New Roman" w:eastAsia="宋体" w:cs="Times New Roman"/>
                <w:color w:val="auto"/>
                <w:kern w:val="0"/>
                <w:sz w:val="15"/>
                <w:szCs w:val="15"/>
                <w:highlight w:val="none"/>
              </w:rPr>
            </w:pPr>
          </w:p>
        </w:tc>
      </w:tr>
      <w:tr w14:paraId="5EE10C6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340" w:hRule="atLeast"/>
        </w:trPr>
        <w:tc>
          <w:tcPr>
            <w:tcW w:w="14203" w:type="dxa"/>
            <w:gridSpan w:val="13"/>
            <w:tcBorders>
              <w:top w:val="nil"/>
              <w:left w:val="single" w:color="auto" w:sz="4" w:space="0"/>
              <w:bottom w:val="single" w:color="auto" w:sz="4" w:space="0"/>
              <w:right w:val="single" w:color="auto" w:sz="4" w:space="0"/>
            </w:tcBorders>
            <w:vAlign w:val="center"/>
          </w:tcPr>
          <w:p w14:paraId="3BCD6858">
            <w:pPr>
              <w:widowControl/>
              <w:jc w:val="center"/>
              <w:outlineLvl w:val="0"/>
              <w:rPr>
                <w:rFonts w:ascii="Times New Roman" w:hAnsi="Times New Roman" w:eastAsia="宋体" w:cs="Times New Roman"/>
                <w:color w:val="auto"/>
                <w:kern w:val="0"/>
                <w:sz w:val="28"/>
                <w:szCs w:val="28"/>
                <w:highlight w:val="none"/>
              </w:rPr>
            </w:pPr>
            <w:bookmarkStart w:id="268" w:name="_Toc218468859"/>
            <w:bookmarkStart w:id="269" w:name="_Toc682863719"/>
            <w:r>
              <w:rPr>
                <w:rFonts w:hint="eastAsia" w:ascii="黑体" w:hAnsi="黑体" w:eastAsia="黑体" w:cs="黑体"/>
                <w:color w:val="auto"/>
                <w:kern w:val="0"/>
                <w:sz w:val="28"/>
                <w:szCs w:val="28"/>
                <w:highlight w:val="none"/>
              </w:rPr>
              <w:t>水工程运行管理方面</w:t>
            </w:r>
            <w:bookmarkEnd w:id="268"/>
            <w:bookmarkEnd w:id="269"/>
          </w:p>
        </w:tc>
      </w:tr>
      <w:tr w14:paraId="28E0574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83" w:hRule="atLeast"/>
        </w:trPr>
        <w:tc>
          <w:tcPr>
            <w:tcW w:w="14203" w:type="dxa"/>
            <w:gridSpan w:val="13"/>
            <w:tcBorders>
              <w:top w:val="nil"/>
              <w:left w:val="single" w:color="auto" w:sz="4" w:space="0"/>
              <w:bottom w:val="single" w:color="auto" w:sz="4" w:space="0"/>
              <w:right w:val="single" w:color="auto" w:sz="4" w:space="0"/>
            </w:tcBorders>
            <w:vAlign w:val="center"/>
          </w:tcPr>
          <w:p w14:paraId="58F258D9">
            <w:pPr>
              <w:widowControl/>
              <w:jc w:val="center"/>
              <w:outlineLvl w:val="1"/>
              <w:rPr>
                <w:rFonts w:hint="eastAsia" w:asciiTheme="minorEastAsia" w:hAnsiTheme="minorEastAsia" w:eastAsiaTheme="minorEastAsia" w:cstheme="minorEastAsia"/>
                <w:color w:val="auto"/>
                <w:kern w:val="0"/>
                <w:szCs w:val="21"/>
                <w:highlight w:val="none"/>
              </w:rPr>
            </w:pPr>
            <w:bookmarkStart w:id="270" w:name="_Toc1583142085"/>
            <w:bookmarkStart w:id="271" w:name="_Toc218468860"/>
            <w:r>
              <w:rPr>
                <w:rFonts w:hint="eastAsia" w:asciiTheme="minorEastAsia" w:hAnsiTheme="minorEastAsia" w:eastAsiaTheme="minorEastAsia" w:cstheme="minorEastAsia"/>
                <w:b/>
                <w:bCs/>
                <w:color w:val="auto"/>
                <w:kern w:val="0"/>
                <w:szCs w:val="21"/>
                <w:highlight w:val="none"/>
              </w:rPr>
              <w:t>《中华人民共和国水法》《中华人民共和国河道管理条例》《南水北调工程供用水管理条例》案由10项</w:t>
            </w:r>
            <w:bookmarkEnd w:id="270"/>
            <w:bookmarkEnd w:id="271"/>
          </w:p>
        </w:tc>
      </w:tr>
      <w:tr w14:paraId="3479F46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93C1D7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06C48F5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未经签署规划同意书要求，擅自在江河、湖泊上建设防洪工程和其他水工程、水电站</w:t>
            </w:r>
          </w:p>
        </w:tc>
        <w:tc>
          <w:tcPr>
            <w:tcW w:w="2793" w:type="dxa"/>
            <w:gridSpan w:val="2"/>
            <w:tcBorders>
              <w:top w:val="nil"/>
              <w:left w:val="nil"/>
              <w:bottom w:val="single" w:color="auto" w:sz="4" w:space="0"/>
              <w:right w:val="single" w:color="auto" w:sz="4" w:space="0"/>
            </w:tcBorders>
            <w:shd w:val="clear" w:color="auto" w:fill="auto"/>
            <w:vAlign w:val="center"/>
          </w:tcPr>
          <w:p w14:paraId="4D1F840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五条第二款，责令停止违法行为，限期补办有关手续；逾期不补办或者补办未被批准的，责令限期拆除违法建筑物、构筑物；逾期不拆除的，强行拆除，所需费用由违法单位或者个人负担，并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55F67C8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66E76CC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DAD38F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不补办或者补办未被批准，且逾期不拆除的，处以下罚款：1.工程占地面积＜5公顷，系数为0；2.5公顷≤工程占地面积＜10公顷，系数为2；3.10公顷≤工程占地面积＜15公顷，系数为4；4.15公顷≤工程占地面积＜20公顷，系数为6；5.20公顷≤工程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345E93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1064610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2302192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017565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03E5048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未经审查同意，擅自建设桥梁、码头和其他拦河、跨河、临河建筑物、构筑物，铺设跨河管道、电缆</w:t>
            </w:r>
          </w:p>
        </w:tc>
        <w:tc>
          <w:tcPr>
            <w:tcW w:w="2793" w:type="dxa"/>
            <w:gridSpan w:val="2"/>
            <w:tcBorders>
              <w:top w:val="nil"/>
              <w:left w:val="nil"/>
              <w:bottom w:val="single" w:color="auto" w:sz="4" w:space="0"/>
              <w:right w:val="single" w:color="auto" w:sz="4" w:space="0"/>
            </w:tcBorders>
            <w:shd w:val="clear" w:color="auto" w:fill="auto"/>
            <w:vAlign w:val="center"/>
          </w:tcPr>
          <w:p w14:paraId="18DD2A9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违反条款：《水法》第三十八条第一款；</w:t>
            </w:r>
            <w:r>
              <w:rPr>
                <w:rFonts w:hint="eastAsia" w:ascii="Times New Roman" w:hAnsi="Times New Roman" w:eastAsia="宋体" w:cs="Times New Roman"/>
                <w:color w:val="auto"/>
                <w:kern w:val="0"/>
                <w:sz w:val="15"/>
                <w:szCs w:val="15"/>
                <w:highlight w:val="none"/>
              </w:rPr>
              <w:t>《铁路安全管理条例》第三十七条</w:t>
            </w:r>
            <w:r>
              <w:rPr>
                <w:rFonts w:hint="eastAsia" w:ascii="Times New Roman" w:hAnsi="Times New Roman" w:eastAsia="宋体" w:cs="Times New Roman"/>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五条第二款，责令停止违法行为，限期补办有关手续；逾期不补办或者补办未被批准的，责令限期拆除违法建筑物、构筑物；逾期不拆除的，强行拆除，所需费用由违法单位或者个人负担，并处一万元以上十万元以下的罚款。</w:t>
            </w:r>
            <w:r>
              <w:rPr>
                <w:rFonts w:hint="eastAsia" w:ascii="Times New Roman" w:hAnsi="Times New Roman" w:eastAsia="宋体" w:cs="Times New Roman"/>
                <w:color w:val="auto"/>
                <w:kern w:val="0"/>
                <w:sz w:val="15"/>
                <w:szCs w:val="15"/>
                <w:highlight w:val="none"/>
              </w:rPr>
              <w:t>《铁路安全管理条例》第九十一条第一款第</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rPr>
              <w:t>三</w:t>
            </w:r>
            <w:r>
              <w:rPr>
                <w:rFonts w:hint="eastAsia" w:ascii="Times New Roman" w:hAnsi="Times New Roman" w:eastAsia="宋体" w:cs="Times New Roman"/>
                <w:color w:val="auto"/>
                <w:kern w:val="0"/>
                <w:sz w:val="15"/>
                <w:szCs w:val="15"/>
                <w:highlight w:val="none"/>
                <w:lang w:eastAsia="zh-CN"/>
              </w:rPr>
              <w:t>）</w:t>
            </w:r>
            <w:r>
              <w:rPr>
                <w:rFonts w:hint="eastAsia" w:ascii="Times New Roman" w:hAnsi="Times New Roman" w:eastAsia="宋体" w:cs="Times New Roman"/>
                <w:color w:val="auto"/>
                <w:kern w:val="0"/>
                <w:sz w:val="15"/>
                <w:szCs w:val="15"/>
                <w:highlight w:val="none"/>
              </w:rPr>
              <w:t>项</w:t>
            </w:r>
            <w:r>
              <w:rPr>
                <w:rFonts w:hint="eastAsia" w:ascii="Times New Roman" w:hAnsi="Times New Roman" w:eastAsia="宋体" w:cs="Times New Roman"/>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Theme="minorEastAsia" w:hAnsiTheme="minorEastAsia" w:eastAsiaTheme="minorEastAsia" w:cstheme="minorEastAsia"/>
                <w:color w:val="auto"/>
                <w:kern w:val="0"/>
                <w:sz w:val="15"/>
                <w:szCs w:val="15"/>
                <w:highlight w:val="none"/>
                <w:lang w:eastAsia="zh-CN"/>
              </w:rPr>
              <w:t>（三）</w:t>
            </w:r>
            <w:r>
              <w:rPr>
                <w:rFonts w:hint="eastAsia" w:asciiTheme="minorEastAsia" w:hAnsiTheme="minorEastAsia" w:eastAsiaTheme="minorEastAsia" w:cstheme="minorEastAsia"/>
                <w:color w:val="auto"/>
                <w:kern w:val="0"/>
                <w:sz w:val="15"/>
                <w:szCs w:val="15"/>
                <w:highlight w:val="none"/>
              </w:rPr>
              <w:t>在铁路桥梁跨越处河道上下游各1000米范围内围垦造田、拦河筑坝、架设浮桥或者修建其他影响铁路桥梁安全的设施</w:t>
            </w:r>
            <w:r>
              <w:rPr>
                <w:rFonts w:hint="eastAsia" w:asciiTheme="minorEastAsia" w:hAnsiTheme="minorEastAsia" w:eastAsiaTheme="minorEastAsia" w:cstheme="minorEastAsia"/>
                <w:color w:val="auto"/>
                <w:kern w:val="0"/>
                <w:sz w:val="15"/>
                <w:szCs w:val="15"/>
                <w:highlight w:val="none"/>
                <w:lang w:eastAsia="zh-CN"/>
              </w:rPr>
              <w:t>。</w:t>
            </w:r>
          </w:p>
        </w:tc>
        <w:tc>
          <w:tcPr>
            <w:tcW w:w="864" w:type="dxa"/>
            <w:gridSpan w:val="2"/>
            <w:tcBorders>
              <w:top w:val="nil"/>
              <w:left w:val="nil"/>
              <w:bottom w:val="single" w:color="auto" w:sz="4" w:space="0"/>
              <w:right w:val="single" w:color="auto" w:sz="4" w:space="0"/>
            </w:tcBorders>
            <w:shd w:val="clear" w:color="auto" w:fill="auto"/>
            <w:vAlign w:val="center"/>
          </w:tcPr>
          <w:p w14:paraId="69EBD1E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1E9BA63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0550F0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不补办或者补办未被批准，且逾期不拆除的，处以下罚款：1.面积＜200平方米或长度＜50米，系数为0；2.200平方米≤面积＜500平方米或50米≤长度＜100米，系数为2；3.500平方米≤面积＜800平方米或100米≤长度＜150米，系数为4；4.800平方米≤面积＜1000平方米或150米≤长度＜200米，系数为6；5.1000平方米≤面积或200米≤长度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938285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55BD20A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1967E3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2C939A3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6ACCC76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未按审查要求建设桥梁、码头和其他拦河、跨河、临河建筑物、构筑物，铺设跨河管道、电缆</w:t>
            </w:r>
          </w:p>
        </w:tc>
        <w:tc>
          <w:tcPr>
            <w:tcW w:w="2793" w:type="dxa"/>
            <w:gridSpan w:val="2"/>
            <w:tcBorders>
              <w:top w:val="nil"/>
              <w:left w:val="nil"/>
              <w:bottom w:val="single" w:color="auto" w:sz="4" w:space="0"/>
              <w:right w:val="single" w:color="auto" w:sz="4" w:space="0"/>
            </w:tcBorders>
            <w:shd w:val="clear" w:color="auto" w:fill="auto"/>
            <w:vAlign w:val="center"/>
          </w:tcPr>
          <w:p w14:paraId="36B6B07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违反条款：《水法》第三十八条第一款；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处罚条款：《水法》第六十五条第三款，责令限期改正，按照情节轻重，处一万元以上十万元以下的罚款。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3A84C8C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3C0BA0E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87FA2E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面积＜20平方米或长度＜5米，系数为0；2.20平方米≤面积＜50平方米或5米≤长度＜10米，系数为2；3.50平方米≤面积＜80平方米或10米≤长度＜15米，系数为4；4.80平方米≤面积＜100平方米或15米≤长度＜20米，系数为6；5.100平方米≤面积或20米≤长度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4B064A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4E83981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0894424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1D8219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14:paraId="7CD18B1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侵占、毁坏水工程及堤防、护岸等有关设施，毁坏防汛、水文监测、水文地质监测等设施</w:t>
            </w:r>
          </w:p>
        </w:tc>
        <w:tc>
          <w:tcPr>
            <w:tcW w:w="2793" w:type="dxa"/>
            <w:gridSpan w:val="2"/>
            <w:tcBorders>
              <w:top w:val="nil"/>
              <w:left w:val="nil"/>
              <w:bottom w:val="single" w:color="auto" w:sz="4" w:space="0"/>
              <w:right w:val="single" w:color="auto" w:sz="4" w:space="0"/>
            </w:tcBorders>
            <w:shd w:val="clear" w:color="auto" w:fill="auto"/>
            <w:vAlign w:val="center"/>
          </w:tcPr>
          <w:p w14:paraId="339A55D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违反条款：《水法》第四十一条；《河道管理条例》第二十二条第一款；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七十二条第一款第（一）项，责令停止违法行为，采取补救措施，处一万元以上五万元以下的罚款；《河道管理条例》第四十五条第一款第（一）项，责令其纠正违法行为，可以并处警告、罚款。</w:t>
            </w:r>
          </w:p>
        </w:tc>
        <w:tc>
          <w:tcPr>
            <w:tcW w:w="864" w:type="dxa"/>
            <w:gridSpan w:val="2"/>
            <w:tcBorders>
              <w:top w:val="nil"/>
              <w:left w:val="nil"/>
              <w:bottom w:val="single" w:color="auto" w:sz="4" w:space="0"/>
              <w:right w:val="single" w:color="auto" w:sz="4" w:space="0"/>
            </w:tcBorders>
            <w:shd w:val="clear" w:color="auto" w:fill="auto"/>
            <w:vAlign w:val="center"/>
          </w:tcPr>
          <w:p w14:paraId="3E1468A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732141E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D802F8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恶劣影响，系数为9；5.违法行为发生在汛期或侵占、毁坏3处以上，系数加3。6.存在基准2.1.3规定情形的，系数按照相关规定确定（基准2.1.3.5不适用）。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DF9939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21BE869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4E3E340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1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4B6EEE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14:paraId="132FAA6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在南水北调工程受水区地下水禁采区取用地下水、在受水区地下水超采区新增地下水取用水量、在受水区新增开采深层承压水</w:t>
            </w:r>
          </w:p>
        </w:tc>
        <w:tc>
          <w:tcPr>
            <w:tcW w:w="2793" w:type="dxa"/>
            <w:gridSpan w:val="2"/>
            <w:tcBorders>
              <w:top w:val="nil"/>
              <w:left w:val="nil"/>
              <w:bottom w:val="single" w:color="auto" w:sz="4" w:space="0"/>
              <w:right w:val="single" w:color="auto" w:sz="4" w:space="0"/>
            </w:tcBorders>
            <w:shd w:val="clear" w:color="auto" w:fill="auto"/>
            <w:vAlign w:val="center"/>
          </w:tcPr>
          <w:p w14:paraId="66AAD13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违反条款：《水法》第四十八条第一款；《南水北调条例》第三十四条；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九条第一款第（一）项，责令停止违法行为，限期采取补救措施，处二万元以上十万元以下的罚款，情节严重的，吊销其取水许可证；《南水北调条例》第五十条第二款，依照《中华人民共和国水法》的规定处理。</w:t>
            </w:r>
          </w:p>
        </w:tc>
        <w:tc>
          <w:tcPr>
            <w:tcW w:w="864" w:type="dxa"/>
            <w:gridSpan w:val="2"/>
            <w:tcBorders>
              <w:top w:val="nil"/>
              <w:left w:val="nil"/>
              <w:bottom w:val="single" w:color="auto" w:sz="4" w:space="0"/>
              <w:right w:val="single" w:color="auto" w:sz="4" w:space="0"/>
            </w:tcBorders>
            <w:shd w:val="clear" w:color="auto" w:fill="auto"/>
            <w:vAlign w:val="center"/>
          </w:tcPr>
          <w:p w14:paraId="2B17678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284AAF2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0068D9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最大取水能力＜1000立方米，系数为0；2.1000立方米≤日最大取水能力＜1500立方米，系数为1；3.1500立方米≤日最大取水能力＜2000立方米，系数为2；4.2000立方米≤日最大取水能力＜3000立方米，系数为3；5.3000立方米≤日最大取水能力，系数为4；6.在禁采区取水，系数加2；违法行为持续时间超过30天，系数加2。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33DEFD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422C8F8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70F6B3A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0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92FE67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14:paraId="45AE69F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擅自从南水北调工程取用水资源</w:t>
            </w:r>
          </w:p>
        </w:tc>
        <w:tc>
          <w:tcPr>
            <w:tcW w:w="2793" w:type="dxa"/>
            <w:gridSpan w:val="2"/>
            <w:tcBorders>
              <w:top w:val="nil"/>
              <w:left w:val="nil"/>
              <w:bottom w:val="single" w:color="auto" w:sz="4" w:space="0"/>
              <w:right w:val="single" w:color="auto" w:sz="4" w:space="0"/>
            </w:tcBorders>
            <w:shd w:val="clear" w:color="auto" w:fill="auto"/>
            <w:vAlign w:val="center"/>
          </w:tcPr>
          <w:p w14:paraId="7E937C1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违反条款：《水法》第四十八条第一款；《南水北调条例》第四十二条第二款；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九条第一款第（一）项，责令停止违法行为，限期采取补救措施，处二万元以上十万元以下的罚款，情节严重的，吊销其取水许可证；《南水北调条例》第五十条第二款，依照《中华人民共和国水法》的规定处理。</w:t>
            </w:r>
          </w:p>
        </w:tc>
        <w:tc>
          <w:tcPr>
            <w:tcW w:w="864" w:type="dxa"/>
            <w:gridSpan w:val="2"/>
            <w:tcBorders>
              <w:top w:val="nil"/>
              <w:left w:val="nil"/>
              <w:bottom w:val="single" w:color="auto" w:sz="4" w:space="0"/>
              <w:right w:val="single" w:color="auto" w:sz="4" w:space="0"/>
            </w:tcBorders>
            <w:shd w:val="clear" w:color="auto" w:fill="auto"/>
            <w:vAlign w:val="center"/>
          </w:tcPr>
          <w:p w14:paraId="2FB4248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shd w:val="clear" w:color="auto" w:fill="auto"/>
            <w:vAlign w:val="center"/>
          </w:tcPr>
          <w:p w14:paraId="660EEB4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79A84D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日最大取水能力＜1000立方米，系数为0；2.1000立方米≤日最大取水能力＜1500立方米，系数为1；3.1500立方米≤日最大取水能力＜2000立方米，系数为2；4.2000立方米≤日最大取水能力＜3000立方米，系数为3；5.3000立方米≤日最大取水能力，系数为4；6.违法行为持续时间超过30天，系数加2。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96903E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罚款金额=20000×（1+情节系数）</w:t>
            </w:r>
          </w:p>
        </w:tc>
        <w:tc>
          <w:tcPr>
            <w:tcW w:w="1972" w:type="dxa"/>
            <w:tcBorders>
              <w:top w:val="nil"/>
              <w:left w:val="nil"/>
              <w:bottom w:val="single" w:color="auto" w:sz="4" w:space="0"/>
              <w:right w:val="single" w:color="auto" w:sz="4" w:space="0"/>
            </w:tcBorders>
            <w:shd w:val="clear" w:color="auto" w:fill="auto"/>
            <w:vAlign w:val="center"/>
          </w:tcPr>
          <w:p w14:paraId="5BEA8C6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0E2359C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8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EF79B8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14:paraId="61A41B4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侵占、损毁、危害南水北调工程设施</w:t>
            </w:r>
          </w:p>
        </w:tc>
        <w:tc>
          <w:tcPr>
            <w:tcW w:w="2793" w:type="dxa"/>
            <w:gridSpan w:val="2"/>
            <w:tcBorders>
              <w:top w:val="nil"/>
              <w:left w:val="nil"/>
              <w:bottom w:val="single" w:color="auto" w:sz="4" w:space="0"/>
              <w:right w:val="single" w:color="auto" w:sz="4" w:space="0"/>
            </w:tcBorders>
            <w:shd w:val="clear" w:color="auto" w:fill="auto"/>
            <w:vAlign w:val="center"/>
          </w:tcPr>
          <w:p w14:paraId="1A3AD8D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违反条款：《水法》第四十一条；《南水北调条例》第四十二条；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七十二条第一款第（一）项，责令停止违法行为，采取补救措施，处一万元以上五万元以下的罚款；《南水北调条例》第五十三条，依照《中华人民共和国水法》的规定处理，《中华人民共和国水法》未作规定的，由县级以上人民政府水行政主管部门或者流域管理机构按照职责权限，责令停止违法行为，限期采取补救措施。</w:t>
            </w:r>
          </w:p>
        </w:tc>
        <w:tc>
          <w:tcPr>
            <w:tcW w:w="864" w:type="dxa"/>
            <w:gridSpan w:val="2"/>
            <w:tcBorders>
              <w:top w:val="nil"/>
              <w:left w:val="nil"/>
              <w:bottom w:val="single" w:color="auto" w:sz="4" w:space="0"/>
              <w:right w:val="single" w:color="auto" w:sz="4" w:space="0"/>
            </w:tcBorders>
            <w:shd w:val="clear" w:color="auto" w:fill="auto"/>
            <w:vAlign w:val="center"/>
          </w:tcPr>
          <w:p w14:paraId="41A4932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291124D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6380A6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1.移动、覆盖、涂改、损毁标志物等不影响实际输配水的配套设施，系数为0；2.侵占、损毁、危害影响实际输配水的南水北调</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配套工程设施，系数为2；3.侵占、损毁、危害影响实际输配水的南水北调干线及其配套工程设施或造成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CBCE39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23A9D3F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4A509A7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8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C28377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14:paraId="6874A6C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在南水北调工程保护范围内实施影响工程运行、危害工程安全和供水安全</w:t>
            </w:r>
          </w:p>
        </w:tc>
        <w:tc>
          <w:tcPr>
            <w:tcW w:w="2793" w:type="dxa"/>
            <w:gridSpan w:val="2"/>
            <w:tcBorders>
              <w:top w:val="nil"/>
              <w:left w:val="nil"/>
              <w:bottom w:val="single" w:color="auto" w:sz="4" w:space="0"/>
              <w:right w:val="single" w:color="auto" w:sz="4" w:space="0"/>
            </w:tcBorders>
            <w:shd w:val="clear" w:color="auto" w:fill="auto"/>
            <w:vAlign w:val="center"/>
          </w:tcPr>
          <w:p w14:paraId="63340E1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违反条款：《水法》第四十三条第四款；《南水北调条例》第四十三条；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七十二条第一款第（二）项，责令停止违法行为，采取补救措施，处一万元以上五万元以下的罚款；《南水北调条例》第五十三条，依照《中华人民共和国水法》的规定处理，《中华人民共和国水法》未作规定的，由县级以上人民政府水行政主管部门或者流域管理机构按照职责权限，责令停止违法行为，限期采取补救措施。</w:t>
            </w:r>
          </w:p>
        </w:tc>
        <w:tc>
          <w:tcPr>
            <w:tcW w:w="864" w:type="dxa"/>
            <w:gridSpan w:val="2"/>
            <w:tcBorders>
              <w:top w:val="nil"/>
              <w:left w:val="nil"/>
              <w:bottom w:val="single" w:color="auto" w:sz="4" w:space="0"/>
              <w:right w:val="single" w:color="auto" w:sz="4" w:space="0"/>
            </w:tcBorders>
            <w:shd w:val="clear" w:color="auto" w:fill="auto"/>
            <w:vAlign w:val="center"/>
          </w:tcPr>
          <w:p w14:paraId="423390F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60ED7A7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B899F2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土、采石等活动：1.占地面积＜10平方米，系数为0；2.10平方米≤占地面积＜50平方米，系数为1；3.50平方米≤占地面积＜100平方米，系数为2；4.100平方米≤占地面积＜150平方米，系数为3；5.150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C70A15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098C210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0CA75A2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5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A602C1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14:paraId="43FFB9C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在河道、湖泊管理范围内建设妨碍行洪的建筑物、构筑物，或者从事影响河势稳定、危害河岸堤防安全和其他妨碍河道行洪的活动</w:t>
            </w:r>
          </w:p>
        </w:tc>
        <w:tc>
          <w:tcPr>
            <w:tcW w:w="2793" w:type="dxa"/>
            <w:gridSpan w:val="2"/>
            <w:tcBorders>
              <w:top w:val="nil"/>
              <w:left w:val="nil"/>
              <w:bottom w:val="single" w:color="auto" w:sz="4" w:space="0"/>
              <w:right w:val="single" w:color="auto" w:sz="4" w:space="0"/>
            </w:tcBorders>
            <w:shd w:val="clear" w:color="auto" w:fill="auto"/>
            <w:vAlign w:val="center"/>
          </w:tcPr>
          <w:p w14:paraId="7C12C67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违反条款：《水法》第三十七条第二款；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水法》第六十五条第一款，责令停止违法行为，限期拆除违法建筑物、构筑物，恢复原状；逾期不拆除、不恢复原状的，强行拆除，所需费用由违法单位或者个人负担，并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78F5559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3637A7D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5FDF6E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1.面积＜200平方米，系数为0；2.200平方米≤面积＜500平方米，系数为2；3.500平方米≤面积＜800平方米，系数为4；4.800平方米≤面积＜1000平方米，系数为6；5.1000平方米≤面积或造成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FE6608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062F6F1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43CFFC0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47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1981414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w:t>
            </w:r>
          </w:p>
        </w:tc>
        <w:tc>
          <w:tcPr>
            <w:tcW w:w="1811" w:type="dxa"/>
            <w:tcBorders>
              <w:top w:val="nil"/>
              <w:left w:val="nil"/>
              <w:bottom w:val="single" w:color="auto" w:sz="4" w:space="0"/>
              <w:right w:val="single" w:color="auto" w:sz="4" w:space="0"/>
            </w:tcBorders>
            <w:shd w:val="clear" w:color="auto" w:fill="auto"/>
            <w:vAlign w:val="center"/>
          </w:tcPr>
          <w:p w14:paraId="671FF46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在水工程保护范围内，从事影响水工程运行和危害水工程安全的爆破、打井、采石、取土等活动</w:t>
            </w:r>
          </w:p>
        </w:tc>
        <w:tc>
          <w:tcPr>
            <w:tcW w:w="2793" w:type="dxa"/>
            <w:gridSpan w:val="2"/>
            <w:tcBorders>
              <w:top w:val="nil"/>
              <w:left w:val="nil"/>
              <w:bottom w:val="single" w:color="auto" w:sz="4" w:space="0"/>
              <w:right w:val="single" w:color="auto" w:sz="4" w:space="0"/>
            </w:tcBorders>
            <w:shd w:val="clear" w:color="auto" w:fill="auto"/>
            <w:vAlign w:val="center"/>
          </w:tcPr>
          <w:p w14:paraId="4EC3F88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违反条款：《水法》第四十三条第四款；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违反条款：《水法》第七十二条第一款第（二）项，责令停止违法行为，采取补救措施，处一万元以上五万元以下的罚款。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286635F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52FE817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2516EA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土、采石等活动：1.占地面积＜100平方米，系数为0；2.100平方米≤占地面积＜500平方米，系数为1；3.500平方米≤占地面积＜1000平方米，系数为2；4.1000平方米≤占地面积＜1500平方米，系数为3；5.1500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64B7D1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5ABAC71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0270A29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363FC4ED">
            <w:pPr>
              <w:widowControl/>
              <w:jc w:val="center"/>
              <w:outlineLvl w:val="1"/>
              <w:rPr>
                <w:rFonts w:hint="eastAsia" w:asciiTheme="minorEastAsia" w:hAnsiTheme="minorEastAsia" w:eastAsiaTheme="minorEastAsia" w:cstheme="minorEastAsia"/>
                <w:color w:val="auto"/>
                <w:kern w:val="0"/>
                <w:szCs w:val="21"/>
                <w:highlight w:val="none"/>
              </w:rPr>
            </w:pPr>
            <w:bookmarkStart w:id="272" w:name="_Toc1329598235"/>
            <w:bookmarkStart w:id="273" w:name="_Toc218468861"/>
            <w:r>
              <w:rPr>
                <w:rFonts w:hint="eastAsia" w:asciiTheme="minorEastAsia" w:hAnsiTheme="minorEastAsia" w:eastAsiaTheme="minorEastAsia" w:cstheme="minorEastAsia"/>
                <w:b/>
                <w:bCs/>
                <w:color w:val="auto"/>
                <w:kern w:val="0"/>
                <w:szCs w:val="21"/>
                <w:highlight w:val="none"/>
              </w:rPr>
              <w:t>《中华人民共和国防洪法》案由7项</w:t>
            </w:r>
            <w:bookmarkEnd w:id="272"/>
            <w:bookmarkEnd w:id="273"/>
          </w:p>
        </w:tc>
      </w:tr>
      <w:tr w14:paraId="1304195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0B5B2A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798A4D7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建设防洪工程和其他水工程、水电站违反规划同意书的要求，影响防洪</w:t>
            </w:r>
          </w:p>
        </w:tc>
        <w:tc>
          <w:tcPr>
            <w:tcW w:w="2793" w:type="dxa"/>
            <w:gridSpan w:val="2"/>
            <w:tcBorders>
              <w:top w:val="nil"/>
              <w:left w:val="nil"/>
              <w:bottom w:val="single" w:color="auto" w:sz="4" w:space="0"/>
              <w:right w:val="single" w:color="auto" w:sz="4" w:space="0"/>
            </w:tcBorders>
            <w:shd w:val="clear" w:color="auto" w:fill="auto"/>
            <w:vAlign w:val="center"/>
          </w:tcPr>
          <w:p w14:paraId="0294B8A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处罚条款：第五十三条，违反规划同意书的要求，严重影响防洪的，责令限期拆除；违反规划同意书的要求，影响防洪但尚可采取补救措施的，责令限期采取补救措施，可以处一万元以上十万元以下的罚款。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612ADA5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6EDCEF7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EBCBFB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1.工程占地面积＜5公顷，系数为0；2.5公顷≤工程占地面积＜10公顷，系数为2；3.10公顷≤工程占地面积＜15公顷，系数为4；4.15公顷≤工程占地面积＜20公顷，系数为6；5.20公顷≤工程占地面积或造成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35391B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75F02E6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0705213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53A4EA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56CEC70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未按照规划治导线整治河道和修建控制引导河水流向、保护堤岸等工程，影响防洪</w:t>
            </w:r>
          </w:p>
        </w:tc>
        <w:tc>
          <w:tcPr>
            <w:tcW w:w="2793" w:type="dxa"/>
            <w:gridSpan w:val="2"/>
            <w:tcBorders>
              <w:top w:val="nil"/>
              <w:left w:val="nil"/>
              <w:bottom w:val="single" w:color="auto" w:sz="4" w:space="0"/>
              <w:right w:val="single" w:color="auto" w:sz="4" w:space="0"/>
            </w:tcBorders>
            <w:shd w:val="clear" w:color="auto" w:fill="auto"/>
            <w:vAlign w:val="center"/>
          </w:tcPr>
          <w:p w14:paraId="55E0F66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违反条款：第十九条第一款；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 xml:space="preserve">处罚条款：第五十四条，责令停止违法行为，恢复原状或者采取其他补救措施，可以处一万元以上十万元以下的罚款。 </w:t>
            </w:r>
          </w:p>
        </w:tc>
        <w:tc>
          <w:tcPr>
            <w:tcW w:w="864" w:type="dxa"/>
            <w:gridSpan w:val="2"/>
            <w:tcBorders>
              <w:top w:val="nil"/>
              <w:left w:val="nil"/>
              <w:bottom w:val="single" w:color="auto" w:sz="4" w:space="0"/>
              <w:right w:val="single" w:color="auto" w:sz="4" w:space="0"/>
            </w:tcBorders>
            <w:shd w:val="clear" w:color="auto" w:fill="auto"/>
            <w:vAlign w:val="center"/>
          </w:tcPr>
          <w:p w14:paraId="755EB73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0298118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EF821A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整治河道或修建工程的长度＜50米，系数为0；2.50米≤整治河道或修建工程的长度＜200米，系数为2；3.200米≤整治河道或修建工程的长度＜500米，系数为4；4.500米≤整治河道或修建工程的长度＜800米，系数为6；5.800米≤整治河道或修建工程的长度，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08114CB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7E25EF0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30183C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90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825F63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1DC1708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未经审查同意或者未按照审查批准的位置、界限，在河道、湖泊管理范围内从事工程设施建设活动，影响行洪</w:t>
            </w:r>
          </w:p>
        </w:tc>
        <w:tc>
          <w:tcPr>
            <w:tcW w:w="2793" w:type="dxa"/>
            <w:gridSpan w:val="2"/>
            <w:tcBorders>
              <w:top w:val="nil"/>
              <w:left w:val="nil"/>
              <w:bottom w:val="single" w:color="auto" w:sz="4" w:space="0"/>
              <w:right w:val="single" w:color="auto" w:sz="4" w:space="0"/>
            </w:tcBorders>
            <w:shd w:val="clear" w:color="auto" w:fill="auto"/>
            <w:vAlign w:val="center"/>
          </w:tcPr>
          <w:p w14:paraId="669439F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违反条款：第二十七条第一款、第二款；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七条，责令停止违法行为，补办审查同意或者审查批准手续；工程设施建设严重影响防洪的，责令限期拆除，逾期不拆除的，强行拆除，所需费用由建设单位承担；影响行洪但尚可采取补救措施的，责令限期采取补救措施，可以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2FCA040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5486692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C77278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面积＜200平方米或长度＜50米，系数为0；2.200平方米≤面积＜500平方米或50米≤长度＜100米，系数为2；3.500平方米≤面积＜800平方米或100米≤长度＜150米，系数为4；4.800平方米≤面积＜1000平方米或150米≤长度＜200米，系数为6；5.1000平方米≤面积或200米≤长度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F1C138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1CB764C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3530B8A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506894E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14:paraId="0EDF8F3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在洪泛区、蓄滞洪区内建设非防洪建设项目，未编制洪水影响评价报告或者洪水影响评价报告未经审查批准开工建设</w:t>
            </w:r>
          </w:p>
        </w:tc>
        <w:tc>
          <w:tcPr>
            <w:tcW w:w="2793" w:type="dxa"/>
            <w:gridSpan w:val="2"/>
            <w:tcBorders>
              <w:top w:val="nil"/>
              <w:left w:val="nil"/>
              <w:bottom w:val="single" w:color="auto" w:sz="4" w:space="0"/>
              <w:right w:val="single" w:color="auto" w:sz="4" w:space="0"/>
            </w:tcBorders>
            <w:shd w:val="clear" w:color="auto" w:fill="auto"/>
            <w:vAlign w:val="center"/>
          </w:tcPr>
          <w:p w14:paraId="084AD3A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违反条款：第三十三条第一款；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处罚条款：第五十八条第一款，责令限期改正；逾期不改正的，处五万元以下的罚款。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2F85490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4937209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CFB458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1.项目占地面积＜5公顷，系数为0；2.5公顷≤项目占地面积＜10公顷，系数为2；3.10公顷≤项目占地面积＜15公顷，系数为4；4.15公顷≤项目占地面积＜20公顷，系数为6；5.20公顷≤项目占地面积或造成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07ED20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081580F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53BEF92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D8B731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14:paraId="46C5E2F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防洪工程设施未经验收，即将建设项目投入生产或者使用</w:t>
            </w:r>
          </w:p>
        </w:tc>
        <w:tc>
          <w:tcPr>
            <w:tcW w:w="2793" w:type="dxa"/>
            <w:gridSpan w:val="2"/>
            <w:tcBorders>
              <w:top w:val="nil"/>
              <w:left w:val="nil"/>
              <w:bottom w:val="single" w:color="auto" w:sz="4" w:space="0"/>
              <w:right w:val="single" w:color="auto" w:sz="4" w:space="0"/>
            </w:tcBorders>
            <w:shd w:val="clear" w:color="auto" w:fill="auto"/>
            <w:vAlign w:val="center"/>
          </w:tcPr>
          <w:p w14:paraId="258BD84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违反条款：第三十三条第二款；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处罚条款：第五十八条第二款，责令停止生产或者使用，限期验收防洪工程设施，可以处五万元以下的罚款。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226F81B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74EC237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EECA12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防洪工程设施占地面积＜5公顷，系数为0；2.5公顷≤防洪工程设施占地面积＜10公顷，系数为2；3.10公顷≤防洪工程设施占地面积＜15公顷，系数为4；4.15公顷≤防洪工程设施占地面积＜20公顷，系数为6；5.20公顷≤防洪工程设施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523702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14F3164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4983E19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2FA2C5F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14:paraId="0B94957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围湖造地、未经批准围垦河道</w:t>
            </w:r>
          </w:p>
        </w:tc>
        <w:tc>
          <w:tcPr>
            <w:tcW w:w="2793" w:type="dxa"/>
            <w:gridSpan w:val="2"/>
            <w:tcBorders>
              <w:top w:val="nil"/>
              <w:left w:val="nil"/>
              <w:bottom w:val="single" w:color="auto" w:sz="4" w:space="0"/>
              <w:right w:val="single" w:color="auto" w:sz="4" w:space="0"/>
            </w:tcBorders>
            <w:shd w:val="clear" w:color="auto" w:fill="auto"/>
            <w:vAlign w:val="center"/>
          </w:tcPr>
          <w:p w14:paraId="114F86D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违反条款：第二十三条；《铁路安全管理条例》第三十七条；</w:t>
            </w:r>
          </w:p>
          <w:p w14:paraId="7A708948">
            <w:pPr>
              <w:widowControl/>
              <w:jc w:val="left"/>
              <w:rPr>
                <w:rFonts w:hint="eastAsia" w:asciiTheme="minorEastAsia" w:hAnsiTheme="minorEastAsia" w:eastAsiaTheme="minorEastAsia" w:cstheme="minorEastAsia"/>
                <w:color w:val="auto"/>
                <w:kern w:val="0"/>
                <w:sz w:val="15"/>
                <w:szCs w:val="15"/>
                <w:highlight w:val="none"/>
                <w:lang w:eastAsia="zh-CN"/>
              </w:rPr>
            </w:pPr>
            <w:r>
              <w:rPr>
                <w:rFonts w:hint="eastAsia" w:asciiTheme="minorEastAsia" w:hAnsiTheme="minorEastAsia" w:eastAsiaTheme="minorEastAsia" w:cstheme="minorEastAsia"/>
                <w:color w:val="auto"/>
                <w:kern w:val="0"/>
                <w:sz w:val="15"/>
                <w:szCs w:val="15"/>
                <w:highlight w:val="none"/>
              </w:rPr>
              <w:t>处罚条款：第五十六条，责令停止违法行为，恢复原状或者采取其他补救措施，可以处五万元以下的罚款；《铁路安全管理条例》第九十一条第一款第</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三</w:t>
            </w:r>
            <w:r>
              <w:rPr>
                <w:rFonts w:hint="eastAsia" w:asciiTheme="minorEastAsia" w:hAnsiTheme="minorEastAsia" w:eastAsiaTheme="minorEastAsia" w:cstheme="minorEastAsia"/>
                <w:color w:val="auto"/>
                <w:kern w:val="0"/>
                <w:sz w:val="15"/>
                <w:szCs w:val="15"/>
                <w:highlight w:val="none"/>
                <w:lang w:eastAsia="zh-CN"/>
              </w:rPr>
              <w:t>）</w:t>
            </w:r>
            <w:r>
              <w:rPr>
                <w:rFonts w:hint="eastAsia" w:asciiTheme="minorEastAsia" w:hAnsiTheme="minorEastAsia" w:eastAsiaTheme="minorEastAsia" w:cstheme="minorEastAsia"/>
                <w:color w:val="auto"/>
                <w:kern w:val="0"/>
                <w:sz w:val="15"/>
                <w:szCs w:val="15"/>
                <w:highlight w:val="none"/>
              </w:rPr>
              <w:t>项，有下列行为之一的，分别由铁路沿线所在地县级以上地方人民政府水行政主管部门、国土资源主管部门或者无线电管理机构等依照有关水资源管理、矿产资源管理、无线电管理等法律、行政法规的规定处罚：</w:t>
            </w:r>
            <w:r>
              <w:rPr>
                <w:rFonts w:hint="eastAsia" w:asciiTheme="minorEastAsia" w:hAnsiTheme="minorEastAsia" w:eastAsiaTheme="minorEastAsia" w:cstheme="minorEastAsia"/>
                <w:color w:val="auto"/>
                <w:kern w:val="0"/>
                <w:sz w:val="15"/>
                <w:szCs w:val="15"/>
                <w:highlight w:val="none"/>
                <w:lang w:eastAsia="zh-CN"/>
              </w:rPr>
              <w:t>（三）</w:t>
            </w:r>
            <w:r>
              <w:rPr>
                <w:rFonts w:hint="eastAsia" w:asciiTheme="minorEastAsia" w:hAnsiTheme="minorEastAsia" w:eastAsiaTheme="minorEastAsia" w:cstheme="minorEastAsia"/>
                <w:color w:val="auto"/>
                <w:kern w:val="0"/>
                <w:sz w:val="15"/>
                <w:szCs w:val="15"/>
                <w:highlight w:val="none"/>
              </w:rPr>
              <w:t>在铁路桥梁跨越处河道上下游各1000米范围内围垦造田、拦河筑坝、架设浮桥或者修建其他影响铁路桥梁安全的设施</w:t>
            </w:r>
            <w:r>
              <w:rPr>
                <w:rFonts w:hint="eastAsia" w:asciiTheme="minorEastAsia" w:hAnsiTheme="minorEastAsia" w:eastAsiaTheme="minorEastAsia" w:cstheme="minorEastAsia"/>
                <w:color w:val="auto"/>
                <w:kern w:val="0"/>
                <w:sz w:val="15"/>
                <w:szCs w:val="15"/>
                <w:highlight w:val="none"/>
                <w:lang w:eastAsia="zh-CN"/>
              </w:rPr>
              <w:t>。</w:t>
            </w:r>
          </w:p>
        </w:tc>
        <w:tc>
          <w:tcPr>
            <w:tcW w:w="864" w:type="dxa"/>
            <w:gridSpan w:val="2"/>
            <w:tcBorders>
              <w:top w:val="nil"/>
              <w:left w:val="nil"/>
              <w:bottom w:val="single" w:color="auto" w:sz="4" w:space="0"/>
              <w:right w:val="single" w:color="auto" w:sz="4" w:space="0"/>
            </w:tcBorders>
            <w:shd w:val="clear" w:color="auto" w:fill="auto"/>
            <w:vAlign w:val="center"/>
          </w:tcPr>
          <w:p w14:paraId="7F13C9C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78CCF84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B59106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1.面积＜200平方米，系数为0；2.200平方米≤面积＜400平方米，系数为2；3.400平方米≤面积＜600平方米，系数为4；4.600平方米≤面积＜1000平方米，系数为6；5.1000平方米≤面积或造成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266155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w:t>
            </w:r>
            <w:r>
              <w:rPr>
                <w:rFonts w:hint="default" w:asciiTheme="minorEastAsia" w:hAnsiTheme="minorEastAsia" w:eastAsiaTheme="minorEastAsia" w:cstheme="minorEastAsia"/>
                <w:color w:val="auto"/>
                <w:kern w:val="0"/>
                <w:sz w:val="15"/>
                <w:szCs w:val="15"/>
                <w:highlight w:val="none"/>
                <w:lang w:val="en-US"/>
              </w:rPr>
              <w:t>5</w:t>
            </w:r>
            <w:r>
              <w:rPr>
                <w:rFonts w:hint="eastAsia" w:asciiTheme="minorEastAsia" w:hAnsiTheme="minorEastAsia" w:eastAsiaTheme="minorEastAsia" w:cstheme="minorEastAsia"/>
                <w:color w:val="auto"/>
                <w:kern w:val="0"/>
                <w:sz w:val="15"/>
                <w:szCs w:val="15"/>
                <w:highlight w:val="none"/>
              </w:rPr>
              <w:t>000×（1+情节系数）</w:t>
            </w:r>
          </w:p>
        </w:tc>
        <w:tc>
          <w:tcPr>
            <w:tcW w:w="1972" w:type="dxa"/>
            <w:tcBorders>
              <w:top w:val="nil"/>
              <w:left w:val="nil"/>
              <w:bottom w:val="single" w:color="auto" w:sz="4" w:space="0"/>
              <w:right w:val="single" w:color="auto" w:sz="4" w:space="0"/>
            </w:tcBorders>
            <w:shd w:val="clear" w:color="auto" w:fill="auto"/>
            <w:vAlign w:val="center"/>
          </w:tcPr>
          <w:p w14:paraId="0A61C8B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3A0FFCF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CFCCBF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14:paraId="42430FC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破坏、侵占、毁损堤防、水闸、护岸、抽水站、排水渠系等防洪工程和水文、通信设施以及防汛备用的器材、物料</w:t>
            </w:r>
          </w:p>
        </w:tc>
        <w:tc>
          <w:tcPr>
            <w:tcW w:w="2793" w:type="dxa"/>
            <w:gridSpan w:val="2"/>
            <w:tcBorders>
              <w:top w:val="nil"/>
              <w:left w:val="nil"/>
              <w:bottom w:val="single" w:color="auto" w:sz="4" w:space="0"/>
              <w:right w:val="single" w:color="auto" w:sz="4" w:space="0"/>
            </w:tcBorders>
            <w:shd w:val="clear" w:color="auto" w:fill="auto"/>
            <w:vAlign w:val="center"/>
          </w:tcPr>
          <w:p w14:paraId="512C231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违反条款：第三十七条；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处罚条款：第六十条，责令停止违法行为，采取补救措施，可以处五万元以下的罚款。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5678CE5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1B7DCB8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241E1D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恶劣影响，系数为9；5.违法行为发生在汛期或侵占、毁坏、毁损3处以上，系数加3。6.存在基准2.1.3规定情形的，系数按照相关规定确定（基准2.1.3.5不适用）。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831DEA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382DBC2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7D8415B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475D405F">
            <w:pPr>
              <w:widowControl/>
              <w:jc w:val="center"/>
              <w:outlineLvl w:val="1"/>
              <w:rPr>
                <w:rFonts w:hint="eastAsia" w:asciiTheme="minorEastAsia" w:hAnsiTheme="minorEastAsia" w:eastAsiaTheme="minorEastAsia" w:cstheme="minorEastAsia"/>
                <w:color w:val="auto"/>
                <w:kern w:val="0"/>
                <w:szCs w:val="21"/>
                <w:highlight w:val="none"/>
              </w:rPr>
            </w:pPr>
            <w:bookmarkStart w:id="274" w:name="_Toc1108962506"/>
            <w:bookmarkStart w:id="275" w:name="_Toc218468862"/>
            <w:r>
              <w:rPr>
                <w:rFonts w:hint="eastAsia" w:asciiTheme="minorEastAsia" w:hAnsiTheme="minorEastAsia" w:eastAsiaTheme="minorEastAsia" w:cstheme="minorEastAsia"/>
                <w:b/>
                <w:bCs/>
                <w:color w:val="auto"/>
                <w:kern w:val="0"/>
                <w:szCs w:val="21"/>
                <w:highlight w:val="none"/>
              </w:rPr>
              <w:t>《中华人民共和国河道管理条例》案由1项</w:t>
            </w:r>
            <w:bookmarkEnd w:id="274"/>
            <w:bookmarkEnd w:id="275"/>
          </w:p>
        </w:tc>
      </w:tr>
      <w:tr w14:paraId="033D952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5809101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7BC4103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未经批准或者不按照国家规定的防洪标准、工程安全标准整治河道或者修建水工程建筑物和其他设施</w:t>
            </w:r>
          </w:p>
        </w:tc>
        <w:tc>
          <w:tcPr>
            <w:tcW w:w="2793" w:type="dxa"/>
            <w:gridSpan w:val="2"/>
            <w:tcBorders>
              <w:top w:val="nil"/>
              <w:left w:val="nil"/>
              <w:bottom w:val="single" w:color="auto" w:sz="4" w:space="0"/>
              <w:right w:val="single" w:color="auto" w:sz="4" w:space="0"/>
            </w:tcBorders>
            <w:shd w:val="clear" w:color="auto" w:fill="auto"/>
            <w:vAlign w:val="center"/>
          </w:tcPr>
          <w:p w14:paraId="37643BA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处罚条款：第四十四条第一款第（三）项，责令其纠正违法行为，可以并处警告、罚款、没收非法所得</w:t>
            </w:r>
          </w:p>
        </w:tc>
        <w:tc>
          <w:tcPr>
            <w:tcW w:w="864" w:type="dxa"/>
            <w:gridSpan w:val="2"/>
            <w:tcBorders>
              <w:top w:val="nil"/>
              <w:left w:val="nil"/>
              <w:bottom w:val="single" w:color="auto" w:sz="4" w:space="0"/>
              <w:right w:val="single" w:color="auto" w:sz="4" w:space="0"/>
            </w:tcBorders>
            <w:shd w:val="clear" w:color="auto" w:fill="auto"/>
            <w:vAlign w:val="center"/>
          </w:tcPr>
          <w:p w14:paraId="2A572A9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840" w:type="dxa"/>
            <w:tcBorders>
              <w:top w:val="nil"/>
              <w:left w:val="nil"/>
              <w:bottom w:val="single" w:color="auto" w:sz="4" w:space="0"/>
              <w:right w:val="single" w:color="auto" w:sz="4" w:space="0"/>
            </w:tcBorders>
            <w:shd w:val="clear" w:color="auto" w:fill="auto"/>
            <w:vAlign w:val="center"/>
          </w:tcPr>
          <w:p w14:paraId="402B2B6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w:t>
            </w:r>
          </w:p>
        </w:tc>
        <w:tc>
          <w:tcPr>
            <w:tcW w:w="3430" w:type="dxa"/>
            <w:gridSpan w:val="2"/>
            <w:tcBorders>
              <w:top w:val="nil"/>
              <w:left w:val="nil"/>
              <w:bottom w:val="single" w:color="auto" w:sz="4" w:space="0"/>
              <w:right w:val="single" w:color="auto" w:sz="4" w:space="0"/>
            </w:tcBorders>
            <w:shd w:val="clear" w:color="auto" w:fill="auto"/>
            <w:vAlign w:val="center"/>
          </w:tcPr>
          <w:p w14:paraId="6304342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（一）无非法所得，限期改正，给予警告。（二）有非法所得，没收非法所得。</w:t>
            </w:r>
          </w:p>
        </w:tc>
        <w:tc>
          <w:tcPr>
            <w:tcW w:w="1881" w:type="dxa"/>
            <w:gridSpan w:val="2"/>
            <w:tcBorders>
              <w:top w:val="nil"/>
              <w:left w:val="nil"/>
              <w:bottom w:val="single" w:color="auto" w:sz="4" w:space="0"/>
              <w:right w:val="single" w:color="auto" w:sz="4" w:space="0"/>
            </w:tcBorders>
            <w:shd w:val="clear" w:color="auto" w:fill="auto"/>
            <w:vAlign w:val="center"/>
          </w:tcPr>
          <w:p w14:paraId="02AE4F5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c>
          <w:tcPr>
            <w:tcW w:w="1972" w:type="dxa"/>
            <w:tcBorders>
              <w:top w:val="nil"/>
              <w:left w:val="nil"/>
              <w:bottom w:val="single" w:color="auto" w:sz="4" w:space="0"/>
              <w:right w:val="single" w:color="auto" w:sz="4" w:space="0"/>
            </w:tcBorders>
            <w:shd w:val="clear" w:color="auto" w:fill="auto"/>
            <w:vAlign w:val="center"/>
          </w:tcPr>
          <w:p w14:paraId="77DC24E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20F29C6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5F881B4E">
            <w:pPr>
              <w:widowControl/>
              <w:jc w:val="center"/>
              <w:outlineLvl w:val="1"/>
              <w:rPr>
                <w:rFonts w:hint="eastAsia" w:asciiTheme="minorEastAsia" w:hAnsiTheme="minorEastAsia" w:eastAsiaTheme="minorEastAsia" w:cstheme="minorEastAsia"/>
                <w:color w:val="auto"/>
                <w:kern w:val="0"/>
                <w:szCs w:val="21"/>
                <w:highlight w:val="none"/>
              </w:rPr>
            </w:pPr>
            <w:bookmarkStart w:id="276" w:name="_Toc218468863"/>
            <w:bookmarkStart w:id="277" w:name="_Toc690624999"/>
            <w:r>
              <w:rPr>
                <w:rFonts w:hint="eastAsia" w:asciiTheme="minorEastAsia" w:hAnsiTheme="minorEastAsia" w:eastAsiaTheme="minorEastAsia" w:cstheme="minorEastAsia"/>
                <w:b/>
                <w:bCs/>
                <w:color w:val="auto"/>
                <w:kern w:val="0"/>
                <w:szCs w:val="21"/>
                <w:highlight w:val="none"/>
              </w:rPr>
              <w:t>《水库大坝注册登记办法》案由1项</w:t>
            </w:r>
            <w:bookmarkEnd w:id="276"/>
            <w:bookmarkEnd w:id="277"/>
          </w:p>
        </w:tc>
      </w:tr>
      <w:tr w14:paraId="1756444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F6DC9F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636288C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经发现已登记的大坝有关安全的数据和情况发生变更而未及时申报换证或在具体事项办理中有弄虚作假</w:t>
            </w:r>
          </w:p>
        </w:tc>
        <w:tc>
          <w:tcPr>
            <w:tcW w:w="2793" w:type="dxa"/>
            <w:gridSpan w:val="2"/>
            <w:tcBorders>
              <w:top w:val="nil"/>
              <w:left w:val="nil"/>
              <w:bottom w:val="single" w:color="auto" w:sz="4" w:space="0"/>
              <w:right w:val="single" w:color="auto" w:sz="4" w:space="0"/>
            </w:tcBorders>
            <w:shd w:val="clear" w:color="auto" w:fill="auto"/>
            <w:vAlign w:val="center"/>
          </w:tcPr>
          <w:p w14:paraId="12AF2C8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违反条款：第七条、第八条；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处罚条款：第十一条，警告或1000元以下罚款。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0B396E0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 </w:t>
            </w:r>
          </w:p>
        </w:tc>
        <w:tc>
          <w:tcPr>
            <w:tcW w:w="840" w:type="dxa"/>
            <w:tcBorders>
              <w:top w:val="nil"/>
              <w:left w:val="nil"/>
              <w:bottom w:val="single" w:color="auto" w:sz="4" w:space="0"/>
              <w:right w:val="single" w:color="auto" w:sz="4" w:space="0"/>
            </w:tcBorders>
            <w:shd w:val="clear" w:color="auto" w:fill="auto"/>
            <w:vAlign w:val="center"/>
          </w:tcPr>
          <w:p w14:paraId="02DF616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03F4D9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一）限期改正，不涉及弄虚作假的，给予警告。（二）逾期不改正的，不涉及弄虚作假，系数为0；（三）涉及弄虚作假，系数为1。（四）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BCEBDC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tcBorders>
              <w:top w:val="nil"/>
              <w:left w:val="nil"/>
              <w:bottom w:val="single" w:color="auto" w:sz="4" w:space="0"/>
              <w:right w:val="single" w:color="auto" w:sz="4" w:space="0"/>
            </w:tcBorders>
            <w:shd w:val="clear" w:color="auto" w:fill="auto"/>
            <w:vAlign w:val="center"/>
          </w:tcPr>
          <w:p w14:paraId="77780F8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14:paraId="268173C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6D49B0B6">
            <w:pPr>
              <w:widowControl/>
              <w:jc w:val="center"/>
              <w:outlineLvl w:val="1"/>
              <w:rPr>
                <w:rFonts w:hint="eastAsia" w:asciiTheme="minorEastAsia" w:hAnsiTheme="minorEastAsia" w:eastAsiaTheme="minorEastAsia" w:cstheme="minorEastAsia"/>
                <w:color w:val="auto"/>
                <w:kern w:val="0"/>
                <w:szCs w:val="21"/>
                <w:highlight w:val="none"/>
              </w:rPr>
            </w:pPr>
            <w:bookmarkStart w:id="278" w:name="_Toc640812130"/>
            <w:bookmarkStart w:id="279" w:name="_Toc218468864"/>
            <w:r>
              <w:rPr>
                <w:rFonts w:hint="eastAsia" w:asciiTheme="minorEastAsia" w:hAnsiTheme="minorEastAsia" w:eastAsiaTheme="minorEastAsia" w:cstheme="minorEastAsia"/>
                <w:b/>
                <w:bCs/>
                <w:color w:val="auto"/>
                <w:kern w:val="0"/>
                <w:szCs w:val="21"/>
                <w:highlight w:val="none"/>
              </w:rPr>
              <w:t>《北京市河湖保护管理条例》《中华人民共和国河道管理条例》案由10项</w:t>
            </w:r>
            <w:bookmarkEnd w:id="278"/>
            <w:bookmarkEnd w:id="279"/>
          </w:p>
        </w:tc>
      </w:tr>
      <w:tr w14:paraId="3A6C77F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8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48DC92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2C334DF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在河湖管理范围内围堤，修建阻水渠道、阻水道路</w:t>
            </w:r>
          </w:p>
        </w:tc>
        <w:tc>
          <w:tcPr>
            <w:tcW w:w="2793" w:type="dxa"/>
            <w:gridSpan w:val="2"/>
            <w:tcBorders>
              <w:top w:val="nil"/>
              <w:left w:val="nil"/>
              <w:bottom w:val="single" w:color="auto" w:sz="4" w:space="0"/>
              <w:right w:val="single" w:color="auto" w:sz="4" w:space="0"/>
            </w:tcBorders>
            <w:shd w:val="clear" w:color="auto" w:fill="auto"/>
            <w:vAlign w:val="center"/>
          </w:tcPr>
          <w:p w14:paraId="10A9D35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违反条款：《北京市河湖保护管理条例》第十九条第一款第（八）项；《中华人民共和国河道管理条例》第二十四条第（一）项；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八条，责令停止违法行为，可以处五万元以下罚款，有违法所得的，没收违法所得；《中华人民共和国河道管理条例》第四十四条第一款第（一）项，责令其纠正违法行为，可以并处警告、罚款、没收非法所得。</w:t>
            </w:r>
          </w:p>
        </w:tc>
        <w:tc>
          <w:tcPr>
            <w:tcW w:w="864" w:type="dxa"/>
            <w:gridSpan w:val="2"/>
            <w:tcBorders>
              <w:top w:val="nil"/>
              <w:left w:val="nil"/>
              <w:bottom w:val="single" w:color="auto" w:sz="4" w:space="0"/>
              <w:right w:val="single" w:color="auto" w:sz="4" w:space="0"/>
            </w:tcBorders>
            <w:shd w:val="clear" w:color="auto" w:fill="auto"/>
            <w:vAlign w:val="center"/>
          </w:tcPr>
          <w:p w14:paraId="298531B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5000</w:t>
            </w:r>
          </w:p>
        </w:tc>
        <w:tc>
          <w:tcPr>
            <w:tcW w:w="840" w:type="dxa"/>
            <w:tcBorders>
              <w:top w:val="nil"/>
              <w:left w:val="nil"/>
              <w:bottom w:val="single" w:color="auto" w:sz="4" w:space="0"/>
              <w:right w:val="single" w:color="auto" w:sz="4" w:space="0"/>
            </w:tcBorders>
            <w:shd w:val="clear" w:color="auto" w:fill="auto"/>
            <w:vAlign w:val="center"/>
          </w:tcPr>
          <w:p w14:paraId="25C70EE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366999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阻水长度＜5米，围堤面积＜5平方米，系数为0；2.5米≤阻水长度＜50米，5平方米≤围堤面积＜50平方米，系数为2；3.50米≤阻水长度＜100米，50平方米≤围堤面积＜100平方米，系数为4；4.100米≤阻水长度＜200米，100平方米≤围堤面积＜200平方米，系数为6；5.200米≤阻水长度，200平方米≤围堤面积，系数为9。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shd w:val="clear" w:color="auto" w:fill="auto"/>
            <w:vAlign w:val="center"/>
          </w:tcPr>
          <w:p w14:paraId="77A20A0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638E0A8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0BCF506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D8A3B6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4D285C4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在河湖管理范围内，行驶履带车辆、超过限载标准的车辆</w:t>
            </w:r>
          </w:p>
        </w:tc>
        <w:tc>
          <w:tcPr>
            <w:tcW w:w="2793" w:type="dxa"/>
            <w:gridSpan w:val="2"/>
            <w:tcBorders>
              <w:top w:val="nil"/>
              <w:left w:val="nil"/>
              <w:bottom w:val="single" w:color="auto" w:sz="4" w:space="0"/>
              <w:right w:val="single" w:color="auto" w:sz="4" w:space="0"/>
            </w:tcBorders>
            <w:shd w:val="clear" w:color="auto" w:fill="auto"/>
            <w:vAlign w:val="center"/>
          </w:tcPr>
          <w:p w14:paraId="4869F6D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违反条款：《北京市河湖保护管理条例》第十九条第（一）项第十款；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处罚条款：《北京市河湖保护管理条例》第三十八条，责令停止违法行为，可以处五万元以下罚款，有违法所得的，没收违法所得。</w:t>
            </w:r>
          </w:p>
        </w:tc>
        <w:tc>
          <w:tcPr>
            <w:tcW w:w="864" w:type="dxa"/>
            <w:gridSpan w:val="2"/>
            <w:tcBorders>
              <w:top w:val="nil"/>
              <w:left w:val="nil"/>
              <w:bottom w:val="single" w:color="auto" w:sz="4" w:space="0"/>
              <w:right w:val="single" w:color="auto" w:sz="4" w:space="0"/>
            </w:tcBorders>
            <w:shd w:val="clear" w:color="auto" w:fill="auto"/>
            <w:vAlign w:val="center"/>
          </w:tcPr>
          <w:p w14:paraId="06B630B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073BA59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E64879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7643E21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4BB901B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2D2B0FE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854315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4FAC98E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在河湖管理范围、保护范围内围河、挖筑鱼塘、挖坑开槽、勘探或者设立线杆、线塔、无线通信塔、标识</w:t>
            </w:r>
          </w:p>
        </w:tc>
        <w:tc>
          <w:tcPr>
            <w:tcW w:w="2793" w:type="dxa"/>
            <w:gridSpan w:val="2"/>
            <w:tcBorders>
              <w:top w:val="nil"/>
              <w:left w:val="nil"/>
              <w:bottom w:val="single" w:color="auto" w:sz="4" w:space="0"/>
              <w:right w:val="single" w:color="auto" w:sz="4" w:space="0"/>
            </w:tcBorders>
            <w:shd w:val="clear" w:color="auto" w:fill="auto"/>
            <w:vAlign w:val="center"/>
          </w:tcPr>
          <w:p w14:paraId="654B1E4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违反条款：《北京市河湖保护管理条例》第二十条第一款第（二）项；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处罚条款：《北京市河湖保护管理条例》第三十九条第一款第（一）项，责令停止违法行为，限期补办行政许可手续，处一万元以上五万元以下的罚款。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1A54F45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2F3A70B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ED66B5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C0A3D4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75B7338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6866B23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CF3365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14:paraId="3C8F0DE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在河湖管理范围、保护范围内设置固定停车场所</w:t>
            </w:r>
          </w:p>
        </w:tc>
        <w:tc>
          <w:tcPr>
            <w:tcW w:w="2793" w:type="dxa"/>
            <w:gridSpan w:val="2"/>
            <w:tcBorders>
              <w:top w:val="nil"/>
              <w:left w:val="nil"/>
              <w:bottom w:val="single" w:color="auto" w:sz="4" w:space="0"/>
              <w:right w:val="single" w:color="auto" w:sz="4" w:space="0"/>
            </w:tcBorders>
            <w:shd w:val="clear" w:color="auto" w:fill="auto"/>
            <w:vAlign w:val="center"/>
          </w:tcPr>
          <w:p w14:paraId="650B02D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违反条款：《北京市河湖保护管理条例》第二十条第一款第（三）项；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处罚条款：《北京市河湖保护管理条例》第三十九条第一款第（二）项，责令停止违法行为，限期补办行政许可手续，处五万元以下的罚款。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44D5881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0A79CAB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2A8E11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F8B73D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0A20796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1196579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960792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14:paraId="0C8FB1F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在河湖管理范围、保护范围内修路，或者修建园林小品、管理房及其附属设施</w:t>
            </w:r>
          </w:p>
        </w:tc>
        <w:tc>
          <w:tcPr>
            <w:tcW w:w="2793" w:type="dxa"/>
            <w:gridSpan w:val="2"/>
            <w:tcBorders>
              <w:top w:val="nil"/>
              <w:left w:val="nil"/>
              <w:bottom w:val="single" w:color="auto" w:sz="4" w:space="0"/>
              <w:right w:val="single" w:color="auto" w:sz="4" w:space="0"/>
            </w:tcBorders>
            <w:shd w:val="clear" w:color="auto" w:fill="auto"/>
            <w:vAlign w:val="center"/>
          </w:tcPr>
          <w:p w14:paraId="2E615E2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违反条款：《北京市河湖保护管理条例》第二十条第一款第（四）项；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处罚条款：《北京市河湖保护管理条例》第三十九条第一款第（三）项，责令停止违法行为，限期补办行政许可手续，处一万元以上十万元以下的罚款。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1E970EC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458E28E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29FA0A9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占用河湖管理、保护范围面积＜200平方米，系数为0；2.200平方米≤占用河湖管理、保护范围面积＜400平方米，系数为1；3.400平方米≤占用河湖管理、保护范围面积＜600平方米，系数为2；4.600平方米≤占用河湖管理、保护范围面积＜1000平方米，系数为3；5.1000平方米≤占用河湖管理、保护范围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2D3618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354006C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59359B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82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57DD59B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14:paraId="1D4E140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在河湖管理范围、保护范围内进行河道改线、开挖人工湖泊</w:t>
            </w:r>
          </w:p>
        </w:tc>
        <w:tc>
          <w:tcPr>
            <w:tcW w:w="2793" w:type="dxa"/>
            <w:gridSpan w:val="2"/>
            <w:tcBorders>
              <w:top w:val="nil"/>
              <w:left w:val="nil"/>
              <w:bottom w:val="single" w:color="auto" w:sz="4" w:space="0"/>
              <w:right w:val="single" w:color="auto" w:sz="4" w:space="0"/>
            </w:tcBorders>
            <w:shd w:val="clear" w:color="auto" w:fill="auto"/>
            <w:vAlign w:val="center"/>
          </w:tcPr>
          <w:p w14:paraId="3EBBED1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处罚条款：《北京市河湖保护管理条例》第三十九条第一款第（五）项，责令停止违法行为，限期补办行政许可手续，处一万元以上五万元以下的罚款。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0627A63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3B9110B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D59A63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改线长度＜50米或人工湖泊面积＜50平方米，系数为0；2.50米≤改线长度＜200米或50平方米≤人工湖泊面积＜200平方米，系数为1；3.200米≤改线长度＜500米或200平方米≤人工湖泊面积＜500平方米，系数为2；4.500米≤改线长度＜1000米或500平方米≤人工湖泊面积＜1000平方米，系数为3；5.1000米≤改线长度或1000平方米≤人工湖泊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恶劣影响，系数为4;6.涉及管理范围的，系数加1。7.存在基准2.1.3规定情形的，系数按照相关规定确定（基准2.1.3.5不适用）。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93AB71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57A943F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764BBE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9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9828C9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14:paraId="4389523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建设单位的工程建设方案未经水行政主管部门同意擅自开工</w:t>
            </w:r>
          </w:p>
        </w:tc>
        <w:tc>
          <w:tcPr>
            <w:tcW w:w="2793" w:type="dxa"/>
            <w:gridSpan w:val="2"/>
            <w:tcBorders>
              <w:top w:val="nil"/>
              <w:left w:val="nil"/>
              <w:bottom w:val="single" w:color="auto" w:sz="4" w:space="0"/>
              <w:right w:val="single" w:color="auto" w:sz="4" w:space="0"/>
            </w:tcBorders>
            <w:shd w:val="clear" w:color="auto" w:fill="auto"/>
            <w:vAlign w:val="center"/>
          </w:tcPr>
          <w:p w14:paraId="6E27E66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四十条第一款，责令停止违法行为，限期补办有关手续；逾期不补办或者补办未被批准的，责令限期拆除违法建筑物、构筑物，恢复原状；逾期不拆除、不恢复原状的，强制拆除，所需费用由违法单位或者个人负担，并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17A786D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1AAD324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AA446B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不补办或者补办未被批准，且逾期不拆除、不恢复原状的，处以下罚款：1.工程占地面积＜5公顷，系数为0；2.5公顷≤工程占地面积＜10公顷，系数为2；3.10公顷≤工程占地面积＜15公顷，系数为4；4.15公顷≤工程占地面积＜20公顷，系数为6；5.20公顷≤工程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E2D98E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0A32B17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7EE397B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9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C51C1A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8</w:t>
            </w:r>
          </w:p>
        </w:tc>
        <w:tc>
          <w:tcPr>
            <w:tcW w:w="1811" w:type="dxa"/>
            <w:tcBorders>
              <w:top w:val="nil"/>
              <w:left w:val="nil"/>
              <w:bottom w:val="single" w:color="auto" w:sz="4" w:space="0"/>
              <w:right w:val="single" w:color="auto" w:sz="4" w:space="0"/>
            </w:tcBorders>
            <w:shd w:val="clear" w:color="auto" w:fill="auto"/>
            <w:vAlign w:val="center"/>
          </w:tcPr>
          <w:p w14:paraId="1712661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建设单位未按照经批准的工程建设方案修建工程设施</w:t>
            </w:r>
          </w:p>
        </w:tc>
        <w:tc>
          <w:tcPr>
            <w:tcW w:w="2793" w:type="dxa"/>
            <w:gridSpan w:val="2"/>
            <w:tcBorders>
              <w:top w:val="nil"/>
              <w:left w:val="nil"/>
              <w:bottom w:val="single" w:color="auto" w:sz="4" w:space="0"/>
              <w:right w:val="single" w:color="auto" w:sz="4" w:space="0"/>
            </w:tcBorders>
            <w:shd w:val="clear" w:color="auto" w:fill="auto"/>
            <w:vAlign w:val="center"/>
          </w:tcPr>
          <w:p w14:paraId="221DA9C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违反条款：《北京市河湖保护管理条例》第二十一条第一款；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四十条第二款，责令限期采取补救措施；逾期不采取补救措施或者未达到要求的，责令停止违法行为，限期拆除违法建筑物、构筑物，恢复原状；逾期不拆除、不恢复原状的，强制拆除，所需费用由违法单位或者个人负担，并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39BA0651">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736D516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72F8838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逾期不采取补救措施或者未达到要求，且逾期不拆除、不恢复原状的，处以下罚款：1.工程占地面积＜5公顷，系数为0；2.5公顷≤工程占地面积＜10公顷，系数为2；3.10公顷≤工程占地面积＜15公顷，系数为4；4.15公顷≤工程占地面积＜20公顷，系数为6；5.20公顷≤工程占地面积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7718DC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2686B33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CE9405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4251832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9</w:t>
            </w:r>
          </w:p>
        </w:tc>
        <w:tc>
          <w:tcPr>
            <w:tcW w:w="1811" w:type="dxa"/>
            <w:tcBorders>
              <w:top w:val="nil"/>
              <w:left w:val="nil"/>
              <w:bottom w:val="single" w:color="auto" w:sz="4" w:space="0"/>
              <w:right w:val="single" w:color="auto" w:sz="4" w:space="0"/>
            </w:tcBorders>
            <w:shd w:val="clear" w:color="auto" w:fill="auto"/>
            <w:vAlign w:val="center"/>
          </w:tcPr>
          <w:p w14:paraId="7A89CFC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非河湖工程及相关设施不符合河湖保护管理标准规范，且产权单位或者管理单位未按规定及时改正</w:t>
            </w:r>
          </w:p>
        </w:tc>
        <w:tc>
          <w:tcPr>
            <w:tcW w:w="2793" w:type="dxa"/>
            <w:gridSpan w:val="2"/>
            <w:tcBorders>
              <w:top w:val="nil"/>
              <w:left w:val="nil"/>
              <w:bottom w:val="single" w:color="auto" w:sz="4" w:space="0"/>
              <w:right w:val="single" w:color="auto" w:sz="4" w:space="0"/>
            </w:tcBorders>
            <w:shd w:val="clear" w:color="auto" w:fill="auto"/>
            <w:vAlign w:val="center"/>
          </w:tcPr>
          <w:p w14:paraId="5547DE3E">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违反条款：《北京市河湖保护管理条例》第二十三条；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处罚条款：《北京市河湖保护管理条例》第四十一条，责令限期改正或者采取补救措施，可以处一万元以上十万元以下的罚款。</w:t>
            </w:r>
          </w:p>
        </w:tc>
        <w:tc>
          <w:tcPr>
            <w:tcW w:w="864" w:type="dxa"/>
            <w:gridSpan w:val="2"/>
            <w:tcBorders>
              <w:top w:val="nil"/>
              <w:left w:val="nil"/>
              <w:bottom w:val="single" w:color="auto" w:sz="4" w:space="0"/>
              <w:right w:val="single" w:color="auto" w:sz="4" w:space="0"/>
            </w:tcBorders>
            <w:shd w:val="clear" w:color="auto" w:fill="auto"/>
            <w:vAlign w:val="center"/>
          </w:tcPr>
          <w:p w14:paraId="47A349A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251ADE9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B62304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违法行为发生地点在区级河道，系数为0；2.违法行为发生地点在市级河道，系数为3；3.违法行为发生地点在国家级河道，系数为6；4.造成恶劣影响的，系数为9；5.违法行为发生在汛期，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B173C8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70CE7A6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2A62BED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4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7CF89BEC">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10</w:t>
            </w:r>
          </w:p>
        </w:tc>
        <w:tc>
          <w:tcPr>
            <w:tcW w:w="1811" w:type="dxa"/>
            <w:tcBorders>
              <w:top w:val="nil"/>
              <w:left w:val="nil"/>
              <w:bottom w:val="single" w:color="auto" w:sz="4" w:space="0"/>
              <w:right w:val="single" w:color="auto" w:sz="4" w:space="0"/>
            </w:tcBorders>
            <w:shd w:val="clear" w:color="auto" w:fill="auto"/>
            <w:vAlign w:val="center"/>
          </w:tcPr>
          <w:p w14:paraId="2652E73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非管理人员开关、启闭水利设备或者干扰河道管理单位正常工作</w:t>
            </w:r>
          </w:p>
        </w:tc>
        <w:tc>
          <w:tcPr>
            <w:tcW w:w="2793" w:type="dxa"/>
            <w:gridSpan w:val="2"/>
            <w:tcBorders>
              <w:top w:val="nil"/>
              <w:left w:val="nil"/>
              <w:bottom w:val="single" w:color="auto" w:sz="4" w:space="0"/>
              <w:right w:val="single" w:color="auto" w:sz="4" w:space="0"/>
            </w:tcBorders>
            <w:shd w:val="clear" w:color="auto" w:fill="auto"/>
            <w:vAlign w:val="center"/>
          </w:tcPr>
          <w:p w14:paraId="4F6A23C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违反条款：《北京市河湖保护管理条例》第十九条第一款第（九）项；《中华人民共和国河道管理条例》第二十三条；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北京市河湖保护管理条例》第三十八条，责令停止违法行为，可以处五万元以下罚款，有违法所得的，没收违法所得；《中华人民共和国河道管理条例》第四十五条第一款第（三）项，责令其纠正违法行为，可以并处警告、罚款。</w:t>
            </w:r>
          </w:p>
        </w:tc>
        <w:tc>
          <w:tcPr>
            <w:tcW w:w="864" w:type="dxa"/>
            <w:gridSpan w:val="2"/>
            <w:tcBorders>
              <w:top w:val="nil"/>
              <w:left w:val="nil"/>
              <w:bottom w:val="single" w:color="auto" w:sz="4" w:space="0"/>
              <w:right w:val="single" w:color="auto" w:sz="4" w:space="0"/>
            </w:tcBorders>
            <w:shd w:val="clear" w:color="auto" w:fill="auto"/>
            <w:vAlign w:val="center"/>
          </w:tcPr>
          <w:p w14:paraId="5A75224B">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shd w:val="clear" w:color="auto" w:fill="auto"/>
            <w:vAlign w:val="center"/>
          </w:tcPr>
          <w:p w14:paraId="48D3E72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74F0DD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造成实际损失的，系数为0；2.造成经济损失但未造成人员伤亡，系数为4；3.有人员受伤，系数为6；4.有人员死亡，系数为9。5.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shd w:val="clear" w:color="auto" w:fill="auto"/>
            <w:vAlign w:val="center"/>
          </w:tcPr>
          <w:p w14:paraId="3D55CDB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罚款金额=5000×（1+情节系数）</w:t>
            </w:r>
          </w:p>
        </w:tc>
        <w:tc>
          <w:tcPr>
            <w:tcW w:w="1972" w:type="dxa"/>
            <w:tcBorders>
              <w:top w:val="nil"/>
              <w:left w:val="nil"/>
              <w:bottom w:val="single" w:color="auto" w:sz="4" w:space="0"/>
              <w:right w:val="single" w:color="auto" w:sz="4" w:space="0"/>
            </w:tcBorders>
            <w:shd w:val="clear" w:color="auto" w:fill="auto"/>
            <w:vAlign w:val="center"/>
          </w:tcPr>
          <w:p w14:paraId="23A60D7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需要作出5000元以下罚款决定的，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由执法人员在案卷中说明理由，并报案审会决定</w:t>
            </w:r>
            <w:r>
              <w:rPr>
                <w:rFonts w:hint="eastAsia" w:asciiTheme="minorEastAsia" w:hAnsiTheme="minorEastAsia" w:eastAsiaTheme="minorEastAsia" w:cstheme="minorEastAsia"/>
                <w:color w:val="auto"/>
                <w:kern w:val="0"/>
                <w:sz w:val="15"/>
                <w:szCs w:val="15"/>
                <w:highlight w:val="none"/>
              </w:rPr>
              <w:t>。</w:t>
            </w:r>
          </w:p>
        </w:tc>
      </w:tr>
      <w:tr w14:paraId="15C83F4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3ABBD767">
            <w:pPr>
              <w:widowControl/>
              <w:jc w:val="center"/>
              <w:outlineLvl w:val="1"/>
              <w:rPr>
                <w:rFonts w:hint="eastAsia" w:asciiTheme="minorEastAsia" w:hAnsiTheme="minorEastAsia" w:eastAsiaTheme="minorEastAsia" w:cstheme="minorEastAsia"/>
                <w:color w:val="auto"/>
                <w:kern w:val="0"/>
                <w:szCs w:val="21"/>
                <w:highlight w:val="none"/>
              </w:rPr>
            </w:pPr>
            <w:bookmarkStart w:id="280" w:name="_Toc218468865"/>
            <w:bookmarkStart w:id="281" w:name="_Toc1471238654"/>
            <w:r>
              <w:rPr>
                <w:rFonts w:hint="eastAsia" w:asciiTheme="minorEastAsia" w:hAnsiTheme="minorEastAsia" w:eastAsiaTheme="minorEastAsia" w:cstheme="minorEastAsia"/>
                <w:b/>
                <w:bCs/>
                <w:color w:val="auto"/>
                <w:kern w:val="0"/>
                <w:szCs w:val="21"/>
                <w:highlight w:val="none"/>
              </w:rPr>
              <w:t>《北京市湿地保护条例》案由1项</w:t>
            </w:r>
            <w:bookmarkEnd w:id="280"/>
            <w:bookmarkEnd w:id="281"/>
          </w:p>
        </w:tc>
      </w:tr>
      <w:tr w14:paraId="770A7DD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33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100A19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4D23596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损毁、涂改、擅自移动湿地保护标志</w:t>
            </w:r>
          </w:p>
        </w:tc>
        <w:tc>
          <w:tcPr>
            <w:tcW w:w="2793" w:type="dxa"/>
            <w:gridSpan w:val="2"/>
            <w:tcBorders>
              <w:top w:val="nil"/>
              <w:left w:val="nil"/>
              <w:bottom w:val="single" w:color="auto" w:sz="4" w:space="0"/>
              <w:right w:val="single" w:color="auto" w:sz="4" w:space="0"/>
            </w:tcBorders>
            <w:shd w:val="clear" w:color="auto" w:fill="auto"/>
            <w:vAlign w:val="center"/>
          </w:tcPr>
          <w:p w14:paraId="52D23F6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处罚条款：第三十九条，责令限期改正，可以处500元以上5000元以下罚款。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0B3270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500 </w:t>
            </w:r>
          </w:p>
        </w:tc>
        <w:tc>
          <w:tcPr>
            <w:tcW w:w="840" w:type="dxa"/>
            <w:tcBorders>
              <w:top w:val="nil"/>
              <w:left w:val="nil"/>
              <w:bottom w:val="single" w:color="auto" w:sz="4" w:space="0"/>
              <w:right w:val="single" w:color="auto" w:sz="4" w:space="0"/>
            </w:tcBorders>
            <w:shd w:val="clear" w:color="auto" w:fill="auto"/>
            <w:vAlign w:val="center"/>
          </w:tcPr>
          <w:p w14:paraId="44C192B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25F370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在一般湿地内损毁、涂改、擅自移动1个湿地保护标志，系数为0；2.在区级湿地内损毁、涂改、擅自移动1个湿地保护标志，系数为1；3.在市级湿地内损毁、涂改、擅自移动1个湿地保护标志，系数为2；4.在国家重要湿地内损毁、涂改、擅自移动1个湿地保护标志，系数为3。5.每增加1个标志，系数加1。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71443E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罚款金额=500×（1+情节系数）</w:t>
            </w:r>
          </w:p>
        </w:tc>
        <w:tc>
          <w:tcPr>
            <w:tcW w:w="1972" w:type="dxa"/>
            <w:tcBorders>
              <w:top w:val="nil"/>
              <w:left w:val="nil"/>
              <w:bottom w:val="single" w:color="auto" w:sz="4" w:space="0"/>
              <w:right w:val="single" w:color="auto" w:sz="4" w:space="0"/>
            </w:tcBorders>
            <w:shd w:val="clear" w:color="auto" w:fill="auto"/>
            <w:vAlign w:val="center"/>
          </w:tcPr>
          <w:p w14:paraId="518730E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11EE840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0BACBB04">
            <w:pPr>
              <w:widowControl/>
              <w:jc w:val="center"/>
              <w:outlineLvl w:val="1"/>
              <w:rPr>
                <w:rFonts w:hint="eastAsia" w:asciiTheme="minorEastAsia" w:hAnsiTheme="minorEastAsia" w:eastAsiaTheme="minorEastAsia" w:cstheme="minorEastAsia"/>
                <w:color w:val="auto"/>
                <w:kern w:val="0"/>
                <w:szCs w:val="21"/>
                <w:highlight w:val="none"/>
              </w:rPr>
            </w:pPr>
            <w:bookmarkStart w:id="282" w:name="_Toc218468866"/>
            <w:bookmarkStart w:id="283" w:name="_Toc2102884457"/>
            <w:r>
              <w:rPr>
                <w:rFonts w:hint="eastAsia" w:asciiTheme="minorEastAsia" w:hAnsiTheme="minorEastAsia" w:eastAsiaTheme="minorEastAsia" w:cstheme="minorEastAsia"/>
                <w:b/>
                <w:bCs/>
                <w:color w:val="auto"/>
                <w:kern w:val="0"/>
                <w:szCs w:val="21"/>
                <w:highlight w:val="none"/>
              </w:rPr>
              <w:t>《北京市南水北调工程保护办法》案由7项</w:t>
            </w:r>
            <w:bookmarkEnd w:id="282"/>
            <w:bookmarkEnd w:id="283"/>
          </w:p>
        </w:tc>
      </w:tr>
      <w:tr w14:paraId="39D7FCD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3E7A978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1902C00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擅自移动、毁损、涂改北京市南水北调工程标志</w:t>
            </w:r>
          </w:p>
        </w:tc>
        <w:tc>
          <w:tcPr>
            <w:tcW w:w="2793" w:type="dxa"/>
            <w:gridSpan w:val="2"/>
            <w:tcBorders>
              <w:top w:val="nil"/>
              <w:left w:val="nil"/>
              <w:bottom w:val="single" w:color="auto" w:sz="4" w:space="0"/>
              <w:right w:val="single" w:color="auto" w:sz="4" w:space="0"/>
            </w:tcBorders>
            <w:shd w:val="clear" w:color="auto" w:fill="auto"/>
            <w:vAlign w:val="center"/>
          </w:tcPr>
          <w:p w14:paraId="42DB097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违反条款：第十二条第二款；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处罚条款：第二十条，责令限期改正，可处200元以上1000元以下罚款。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7306F91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 </w:t>
            </w:r>
          </w:p>
        </w:tc>
        <w:tc>
          <w:tcPr>
            <w:tcW w:w="840" w:type="dxa"/>
            <w:tcBorders>
              <w:top w:val="nil"/>
              <w:left w:val="nil"/>
              <w:bottom w:val="single" w:color="auto" w:sz="4" w:space="0"/>
              <w:right w:val="single" w:color="auto" w:sz="4" w:space="0"/>
            </w:tcBorders>
            <w:shd w:val="clear" w:color="auto" w:fill="auto"/>
            <w:vAlign w:val="center"/>
          </w:tcPr>
          <w:p w14:paraId="3B0352E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2D439C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1.擅自移动、毁损、涂改1个南水北调工程标志，系数为0，每增加1个，系数加1。2.存在基准2.1.3规定情形的，系数按照相关规定确定（基准2.1.3.5不适用）。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C448D2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罚款金额=200×（1+情节系数）</w:t>
            </w:r>
          </w:p>
        </w:tc>
        <w:tc>
          <w:tcPr>
            <w:tcW w:w="1972" w:type="dxa"/>
            <w:tcBorders>
              <w:top w:val="nil"/>
              <w:left w:val="nil"/>
              <w:bottom w:val="single" w:color="auto" w:sz="4" w:space="0"/>
              <w:right w:val="single" w:color="auto" w:sz="4" w:space="0"/>
            </w:tcBorders>
            <w:shd w:val="clear" w:color="auto" w:fill="auto"/>
            <w:vAlign w:val="center"/>
          </w:tcPr>
          <w:p w14:paraId="624403A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204A71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vMerge w:val="restart"/>
            <w:tcBorders>
              <w:top w:val="nil"/>
              <w:left w:val="single" w:color="auto" w:sz="4" w:space="0"/>
              <w:bottom w:val="single" w:color="auto" w:sz="4" w:space="0"/>
              <w:right w:val="single" w:color="auto" w:sz="4" w:space="0"/>
            </w:tcBorders>
            <w:shd w:val="clear" w:color="auto" w:fill="auto"/>
            <w:noWrap/>
            <w:vAlign w:val="center"/>
          </w:tcPr>
          <w:p w14:paraId="401D169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shd w:val="clear" w:color="auto" w:fill="auto"/>
            <w:vAlign w:val="center"/>
          </w:tcPr>
          <w:p w14:paraId="6B46216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擅自开启、关闭闸、阀（井）或者采用移动、切割、打孔、砸撬、拆卸等手段损坏北京市南水北调工程管涵及其附属设备设施</w:t>
            </w:r>
          </w:p>
        </w:tc>
        <w:tc>
          <w:tcPr>
            <w:tcW w:w="279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7217D73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违反条款：第十三条；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处罚条款：第二十一条，责令改正，处3000元以上10万元以下罚款。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5E949E2D">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14:paraId="001A7C5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373DDAE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1.擅自开启、关闭、闸、阀（井）但未造成恶劣影响的，系数为0，每增加1次，系数加1。2.存在基准2.1.3规定情形的，系数按照相关规定确定（基准2.1.3.5不适用）。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2C1F2E5B">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14:paraId="619B569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造成恶劣影响需从重处罚的，报案审会最终确定处罚金额。</w:t>
            </w:r>
          </w:p>
        </w:tc>
      </w:tr>
      <w:tr w14:paraId="241FCF1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vMerge w:val="continue"/>
            <w:tcBorders>
              <w:top w:val="nil"/>
              <w:left w:val="single" w:color="auto" w:sz="4" w:space="0"/>
              <w:bottom w:val="single" w:color="auto" w:sz="4" w:space="0"/>
              <w:right w:val="single" w:color="auto" w:sz="4" w:space="0"/>
            </w:tcBorders>
            <w:vAlign w:val="center"/>
          </w:tcPr>
          <w:p w14:paraId="0E06F1DE">
            <w:pPr>
              <w:widowControl/>
              <w:jc w:val="left"/>
              <w:rPr>
                <w:rFonts w:hint="eastAsia" w:asciiTheme="minorEastAsia" w:hAnsiTheme="minorEastAsia" w:eastAsiaTheme="minorEastAsia" w:cstheme="minorEastAsia"/>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vAlign w:val="center"/>
          </w:tcPr>
          <w:p w14:paraId="5B141D8E">
            <w:pPr>
              <w:widowControl/>
              <w:jc w:val="left"/>
              <w:rPr>
                <w:rFonts w:hint="eastAsia" w:asciiTheme="minorEastAsia" w:hAnsiTheme="minorEastAsia" w:eastAsiaTheme="minorEastAsia" w:cstheme="minorEastAsia"/>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vAlign w:val="center"/>
          </w:tcPr>
          <w:p w14:paraId="31B0EC8A">
            <w:pPr>
              <w:widowControl/>
              <w:jc w:val="left"/>
              <w:rPr>
                <w:rFonts w:hint="eastAsia" w:asciiTheme="minorEastAsia" w:hAnsiTheme="minorEastAsia" w:eastAsiaTheme="minorEastAsia" w:cstheme="minorEastAsia"/>
                <w:color w:val="auto"/>
                <w:kern w:val="0"/>
                <w:sz w:val="15"/>
                <w:szCs w:val="15"/>
                <w:highlight w:val="none"/>
              </w:rPr>
            </w:pPr>
          </w:p>
        </w:tc>
        <w:tc>
          <w:tcPr>
            <w:tcW w:w="864" w:type="dxa"/>
            <w:gridSpan w:val="2"/>
            <w:tcBorders>
              <w:top w:val="nil"/>
              <w:left w:val="nil"/>
              <w:bottom w:val="single" w:color="auto" w:sz="4" w:space="0"/>
              <w:right w:val="single" w:color="auto" w:sz="4" w:space="0"/>
            </w:tcBorders>
            <w:shd w:val="clear" w:color="auto" w:fill="auto"/>
            <w:vAlign w:val="center"/>
          </w:tcPr>
          <w:p w14:paraId="6FC947E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shd w:val="clear" w:color="auto" w:fill="auto"/>
            <w:vAlign w:val="center"/>
          </w:tcPr>
          <w:p w14:paraId="0D74327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35434E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1.移动、拆卸南水北调工程附属设备设施，系数为0；2.移动、拆卸南水北调工程管涵，系数为1；3.切割、打孔、砸撬南水北调工程附属设备设施，系数为2；4.切割、打孔、砸撬南水北调工程管涵或造成</w:t>
            </w:r>
            <w:r>
              <w:rPr>
                <w:rFonts w:hint="eastAsia" w:asciiTheme="minorEastAsia" w:hAnsiTheme="minorEastAsia" w:eastAsiaTheme="minorEastAsia" w:cstheme="minorEastAsia"/>
                <w:color w:val="auto"/>
                <w:kern w:val="0"/>
                <w:sz w:val="15"/>
                <w:szCs w:val="15"/>
                <w:highlight w:val="none"/>
                <w:lang w:eastAsia="zh-CN"/>
              </w:rPr>
              <w:t>其他</w:t>
            </w:r>
            <w:r>
              <w:rPr>
                <w:rFonts w:hint="eastAsia" w:asciiTheme="minorEastAsia" w:hAnsiTheme="minorEastAsia" w:eastAsiaTheme="minorEastAsia" w:cstheme="minorEastAsia"/>
                <w:color w:val="auto"/>
                <w:kern w:val="0"/>
                <w:sz w:val="15"/>
                <w:szCs w:val="15"/>
                <w:highlight w:val="none"/>
              </w:rPr>
              <w:t>恶劣影响的，系数为3。5.存在基准2.1.3规定情形的，系数按照相关规定确定（基准2.1.3.5不适用）。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43CE8C4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罚款金额=30000×（1+情节系数）</w:t>
            </w:r>
          </w:p>
        </w:tc>
        <w:tc>
          <w:tcPr>
            <w:tcW w:w="1972" w:type="dxa"/>
            <w:tcBorders>
              <w:top w:val="nil"/>
              <w:left w:val="nil"/>
              <w:bottom w:val="single" w:color="auto" w:sz="4" w:space="0"/>
              <w:right w:val="single" w:color="auto" w:sz="4" w:space="0"/>
            </w:tcBorders>
            <w:shd w:val="clear" w:color="auto" w:fill="auto"/>
            <w:vAlign w:val="center"/>
          </w:tcPr>
          <w:p w14:paraId="59920968">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2B64978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1674823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3</w:t>
            </w:r>
          </w:p>
        </w:tc>
        <w:tc>
          <w:tcPr>
            <w:tcW w:w="1811" w:type="dxa"/>
            <w:tcBorders>
              <w:top w:val="nil"/>
              <w:left w:val="nil"/>
              <w:bottom w:val="single" w:color="auto" w:sz="4" w:space="0"/>
              <w:right w:val="single" w:color="auto" w:sz="4" w:space="0"/>
            </w:tcBorders>
            <w:shd w:val="clear" w:color="auto" w:fill="auto"/>
            <w:vAlign w:val="center"/>
          </w:tcPr>
          <w:p w14:paraId="3AA675C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在北京市南水北调工程保护范围内种植根系可能深达管涵埋设部位的植物</w:t>
            </w:r>
          </w:p>
        </w:tc>
        <w:tc>
          <w:tcPr>
            <w:tcW w:w="2793" w:type="dxa"/>
            <w:gridSpan w:val="2"/>
            <w:tcBorders>
              <w:top w:val="nil"/>
              <w:left w:val="nil"/>
              <w:bottom w:val="single" w:color="auto" w:sz="4" w:space="0"/>
              <w:right w:val="single" w:color="auto" w:sz="4" w:space="0"/>
            </w:tcBorders>
            <w:shd w:val="clear" w:color="auto" w:fill="auto"/>
            <w:vAlign w:val="center"/>
          </w:tcPr>
          <w:p w14:paraId="38315A5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违反条款：第十四条第（一）项；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处罚条款：第二十二条，责令限期改正，可处3000元以上10万元以下罚款。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034A5F8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14:paraId="4B219C0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17E4F09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1.种植1株根系可能深达管涵埋设部位的植物，系数为0，每增加1株，系数加1；2.造成恶劣影响的，系数为9。3.存在基准2.1.3规定情形的，系数按照相关规定确定（基准2.1.3.5不适用）。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5BB2AD1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14:paraId="78B1E91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6D2AA72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58827A1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4</w:t>
            </w:r>
          </w:p>
        </w:tc>
        <w:tc>
          <w:tcPr>
            <w:tcW w:w="1811" w:type="dxa"/>
            <w:tcBorders>
              <w:top w:val="nil"/>
              <w:left w:val="nil"/>
              <w:bottom w:val="single" w:color="auto" w:sz="4" w:space="0"/>
              <w:right w:val="single" w:color="auto" w:sz="4" w:space="0"/>
            </w:tcBorders>
            <w:shd w:val="clear" w:color="auto" w:fill="auto"/>
            <w:vAlign w:val="center"/>
          </w:tcPr>
          <w:p w14:paraId="7E99569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在北京市南水北调工程保护范围内爆破、打井、打桩、钻探、采石、采矿、取土、挖砂</w:t>
            </w:r>
          </w:p>
        </w:tc>
        <w:tc>
          <w:tcPr>
            <w:tcW w:w="2793" w:type="dxa"/>
            <w:gridSpan w:val="2"/>
            <w:tcBorders>
              <w:top w:val="nil"/>
              <w:left w:val="nil"/>
              <w:bottom w:val="single" w:color="auto" w:sz="4" w:space="0"/>
              <w:right w:val="single" w:color="auto" w:sz="4" w:space="0"/>
            </w:tcBorders>
            <w:shd w:val="clear" w:color="auto" w:fill="auto"/>
            <w:vAlign w:val="center"/>
          </w:tcPr>
          <w:p w14:paraId="2D2365F5">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违反条款：第十四条第（二）项；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处罚条款：第二十二条，责令限期改正，可处3000元以上10万元以下罚款。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3E6A3A0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14:paraId="3AF7DD2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C193D5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取土、采石等活动占地面积＜10平方米，系数为0,每增加5平方米（以10平方米为基准），系数加1。2.爆破、打井等行为作业深度＜2米，系数为0，每增加1米（以2米为基准），系数加1；导致南水北调工程出现损坏的，系数加9。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B620B0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14:paraId="02085D6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7D77C13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95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5DEEF553">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5</w:t>
            </w:r>
          </w:p>
        </w:tc>
        <w:tc>
          <w:tcPr>
            <w:tcW w:w="1811" w:type="dxa"/>
            <w:tcBorders>
              <w:top w:val="nil"/>
              <w:left w:val="nil"/>
              <w:bottom w:val="single" w:color="auto" w:sz="4" w:space="0"/>
              <w:right w:val="single" w:color="auto" w:sz="4" w:space="0"/>
            </w:tcBorders>
            <w:shd w:val="clear" w:color="auto" w:fill="auto"/>
            <w:vAlign w:val="center"/>
          </w:tcPr>
          <w:p w14:paraId="627593A0">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在北京市南水北调工程保护范围内擅自建设建筑物、构筑物，堆放超过管涵承受荷载设计标准的重物</w:t>
            </w:r>
          </w:p>
        </w:tc>
        <w:tc>
          <w:tcPr>
            <w:tcW w:w="2793" w:type="dxa"/>
            <w:gridSpan w:val="2"/>
            <w:tcBorders>
              <w:top w:val="nil"/>
              <w:left w:val="nil"/>
              <w:bottom w:val="single" w:color="auto" w:sz="4" w:space="0"/>
              <w:right w:val="single" w:color="auto" w:sz="4" w:space="0"/>
            </w:tcBorders>
            <w:shd w:val="clear" w:color="auto" w:fill="auto"/>
            <w:vAlign w:val="center"/>
          </w:tcPr>
          <w:p w14:paraId="67C63D6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违反条款：第十四条第（四）项；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处罚条款：第二十二条，责令限期改正，可处3000元以上10万元以下罚款。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79623D8E">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14:paraId="0B72DB90">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0F5788D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建筑物、构筑物面积＜20平方米，系数为0，每增加5平方米（以20平方米为基准），系数加1；2.重物超过设计标准＜5%，系数为0，每增加1%（以5%为基准），系数加1；3.造成恶劣影响的，系数加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C3A53D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14:paraId="7094B34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43273D2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855B49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6</w:t>
            </w:r>
          </w:p>
        </w:tc>
        <w:tc>
          <w:tcPr>
            <w:tcW w:w="1811" w:type="dxa"/>
            <w:tcBorders>
              <w:top w:val="nil"/>
              <w:left w:val="nil"/>
              <w:bottom w:val="single" w:color="auto" w:sz="4" w:space="0"/>
              <w:right w:val="single" w:color="auto" w:sz="4" w:space="0"/>
            </w:tcBorders>
            <w:shd w:val="clear" w:color="auto" w:fill="auto"/>
            <w:vAlign w:val="center"/>
          </w:tcPr>
          <w:p w14:paraId="084B644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在北京市南水北调工程保护范围内从事其他可能危害工程安全的行为</w:t>
            </w:r>
          </w:p>
        </w:tc>
        <w:tc>
          <w:tcPr>
            <w:tcW w:w="2793" w:type="dxa"/>
            <w:gridSpan w:val="2"/>
            <w:tcBorders>
              <w:top w:val="nil"/>
              <w:left w:val="nil"/>
              <w:bottom w:val="single" w:color="auto" w:sz="4" w:space="0"/>
              <w:right w:val="single" w:color="auto" w:sz="4" w:space="0"/>
            </w:tcBorders>
            <w:shd w:val="clear" w:color="auto" w:fill="auto"/>
            <w:vAlign w:val="center"/>
          </w:tcPr>
          <w:p w14:paraId="0A082F79">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违反条款：第十四条第（六）项；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处罚条款：第二十二条，责令限期改正，可处3000元以上10万元以下罚款。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0F5EDF1F">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3000 </w:t>
            </w:r>
          </w:p>
        </w:tc>
        <w:tc>
          <w:tcPr>
            <w:tcW w:w="840" w:type="dxa"/>
            <w:tcBorders>
              <w:top w:val="nil"/>
              <w:left w:val="nil"/>
              <w:bottom w:val="single" w:color="auto" w:sz="4" w:space="0"/>
              <w:right w:val="single" w:color="auto" w:sz="4" w:space="0"/>
            </w:tcBorders>
            <w:shd w:val="clear" w:color="auto" w:fill="auto"/>
            <w:vAlign w:val="center"/>
          </w:tcPr>
          <w:p w14:paraId="35CA5CE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82A94D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1.未造成实际危害的，系数为0；2.造成实际危害的，每增加1处，系数加1；3.造成恶劣影响的，系数加9。4.存在基准2.1.3规定情形的，系数按照相关规定确定（基准2.1.3.5不适用）。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6ED866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罚款金额=3000×（1+情节系数）</w:t>
            </w:r>
          </w:p>
        </w:tc>
        <w:tc>
          <w:tcPr>
            <w:tcW w:w="1972" w:type="dxa"/>
            <w:tcBorders>
              <w:top w:val="nil"/>
              <w:left w:val="nil"/>
              <w:bottom w:val="single" w:color="auto" w:sz="4" w:space="0"/>
              <w:right w:val="single" w:color="auto" w:sz="4" w:space="0"/>
            </w:tcBorders>
            <w:shd w:val="clear" w:color="auto" w:fill="auto"/>
            <w:vAlign w:val="center"/>
          </w:tcPr>
          <w:p w14:paraId="0E9C823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487110E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6B7C3F47">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7</w:t>
            </w:r>
          </w:p>
        </w:tc>
        <w:tc>
          <w:tcPr>
            <w:tcW w:w="1811" w:type="dxa"/>
            <w:tcBorders>
              <w:top w:val="nil"/>
              <w:left w:val="nil"/>
              <w:bottom w:val="single" w:color="auto" w:sz="4" w:space="0"/>
              <w:right w:val="single" w:color="auto" w:sz="4" w:space="0"/>
            </w:tcBorders>
            <w:shd w:val="clear" w:color="auto" w:fill="auto"/>
            <w:vAlign w:val="center"/>
          </w:tcPr>
          <w:p w14:paraId="611F5BE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在北京市南水北调工程保护范围内行驶重型车辆</w:t>
            </w:r>
          </w:p>
        </w:tc>
        <w:tc>
          <w:tcPr>
            <w:tcW w:w="2793" w:type="dxa"/>
            <w:gridSpan w:val="2"/>
            <w:tcBorders>
              <w:top w:val="nil"/>
              <w:left w:val="nil"/>
              <w:bottom w:val="single" w:color="auto" w:sz="4" w:space="0"/>
              <w:right w:val="single" w:color="auto" w:sz="4" w:space="0"/>
            </w:tcBorders>
            <w:shd w:val="clear" w:color="auto" w:fill="auto"/>
            <w:vAlign w:val="center"/>
          </w:tcPr>
          <w:p w14:paraId="54AB358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违反条款：第十四条第（五）项；</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处罚条款：第二十三条，责令改正，可处200元以上1000元以下罚款。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55657054">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200 </w:t>
            </w:r>
          </w:p>
        </w:tc>
        <w:tc>
          <w:tcPr>
            <w:tcW w:w="840" w:type="dxa"/>
            <w:tcBorders>
              <w:top w:val="nil"/>
              <w:left w:val="nil"/>
              <w:bottom w:val="single" w:color="auto" w:sz="4" w:space="0"/>
              <w:right w:val="single" w:color="auto" w:sz="4" w:space="0"/>
            </w:tcBorders>
            <w:shd w:val="clear" w:color="auto" w:fill="auto"/>
            <w:vAlign w:val="center"/>
          </w:tcPr>
          <w:p w14:paraId="09B654C9">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66F67E87">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1.行驶1辆（次），系数为0，每增加1辆（次），系数加1。2.造成恶劣影响的，系数为4。3.存在基准2.1.3规定情形的，系数按照相关规定确定（基准2.1.3.5不适用）。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3C10034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罚款金额=200×（1+情节系数）</w:t>
            </w:r>
          </w:p>
        </w:tc>
        <w:tc>
          <w:tcPr>
            <w:tcW w:w="1972" w:type="dxa"/>
            <w:tcBorders>
              <w:top w:val="nil"/>
              <w:left w:val="nil"/>
              <w:bottom w:val="single" w:color="auto" w:sz="4" w:space="0"/>
              <w:right w:val="single" w:color="auto" w:sz="4" w:space="0"/>
            </w:tcBorders>
            <w:shd w:val="clear" w:color="auto" w:fill="auto"/>
            <w:vAlign w:val="center"/>
          </w:tcPr>
          <w:p w14:paraId="62600882">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6C909BE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shd w:val="clear" w:color="auto" w:fill="auto"/>
            <w:noWrap/>
            <w:vAlign w:val="center"/>
          </w:tcPr>
          <w:p w14:paraId="610BFDCF">
            <w:pPr>
              <w:widowControl/>
              <w:jc w:val="center"/>
              <w:outlineLvl w:val="1"/>
              <w:rPr>
                <w:rFonts w:hint="eastAsia" w:asciiTheme="minorEastAsia" w:hAnsiTheme="minorEastAsia" w:eastAsiaTheme="minorEastAsia" w:cstheme="minorEastAsia"/>
                <w:color w:val="auto"/>
                <w:kern w:val="0"/>
                <w:szCs w:val="21"/>
                <w:highlight w:val="none"/>
              </w:rPr>
            </w:pPr>
            <w:bookmarkStart w:id="284" w:name="_Toc218468867"/>
            <w:bookmarkStart w:id="285" w:name="_Toc1029099091"/>
            <w:r>
              <w:rPr>
                <w:rFonts w:hint="eastAsia" w:asciiTheme="minorEastAsia" w:hAnsiTheme="minorEastAsia" w:eastAsiaTheme="minorEastAsia" w:cstheme="minorEastAsia"/>
                <w:b/>
                <w:bCs/>
                <w:color w:val="auto"/>
                <w:kern w:val="0"/>
                <w:szCs w:val="21"/>
                <w:highlight w:val="none"/>
              </w:rPr>
              <w:t>《北京市实施</w:t>
            </w:r>
            <w:r>
              <w:rPr>
                <w:rFonts w:hint="eastAsia" w:ascii="仿宋" w:hAnsi="仿宋" w:eastAsia="仿宋" w:cs="仿宋"/>
                <w:b/>
                <w:bCs/>
                <w:color w:val="auto"/>
                <w:kern w:val="0"/>
                <w:szCs w:val="21"/>
                <w:highlight w:val="none"/>
              </w:rPr>
              <w:t>&lt;</w:t>
            </w:r>
            <w:r>
              <w:rPr>
                <w:rFonts w:hint="eastAsia" w:asciiTheme="minorEastAsia" w:hAnsiTheme="minorEastAsia" w:eastAsiaTheme="minorEastAsia" w:cstheme="minorEastAsia"/>
                <w:b/>
                <w:bCs/>
                <w:color w:val="auto"/>
                <w:kern w:val="0"/>
                <w:szCs w:val="21"/>
                <w:highlight w:val="none"/>
              </w:rPr>
              <w:t>中华人民共和国防洪法</w:t>
            </w:r>
            <w:r>
              <w:rPr>
                <w:rFonts w:hint="eastAsia" w:ascii="仿宋" w:hAnsi="仿宋" w:eastAsia="仿宋" w:cs="仿宋"/>
                <w:b/>
                <w:bCs/>
                <w:color w:val="auto"/>
                <w:kern w:val="0"/>
                <w:szCs w:val="21"/>
                <w:highlight w:val="none"/>
              </w:rPr>
              <w:t>&gt;</w:t>
            </w:r>
            <w:r>
              <w:rPr>
                <w:rFonts w:hint="eastAsia" w:asciiTheme="minorEastAsia" w:hAnsiTheme="minorEastAsia" w:eastAsiaTheme="minorEastAsia" w:cstheme="minorEastAsia"/>
                <w:b/>
                <w:bCs/>
                <w:color w:val="auto"/>
                <w:kern w:val="0"/>
                <w:szCs w:val="21"/>
                <w:highlight w:val="none"/>
              </w:rPr>
              <w:t>办法》案由2项</w:t>
            </w:r>
            <w:bookmarkEnd w:id="284"/>
            <w:bookmarkEnd w:id="285"/>
          </w:p>
        </w:tc>
      </w:tr>
      <w:tr w14:paraId="1A35ABC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8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56F770D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1</w:t>
            </w:r>
          </w:p>
        </w:tc>
        <w:tc>
          <w:tcPr>
            <w:tcW w:w="1811" w:type="dxa"/>
            <w:tcBorders>
              <w:top w:val="nil"/>
              <w:left w:val="nil"/>
              <w:bottom w:val="single" w:color="auto" w:sz="4" w:space="0"/>
              <w:right w:val="single" w:color="auto" w:sz="4" w:space="0"/>
            </w:tcBorders>
            <w:shd w:val="clear" w:color="auto" w:fill="auto"/>
            <w:vAlign w:val="center"/>
          </w:tcPr>
          <w:p w14:paraId="5BBEE8E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在水库、闸坝管理和保护范围内以及河道、湖泊保护范围内，进行爆破、打井、采石、取土等危害防洪工程设施安全的活动</w:t>
            </w:r>
          </w:p>
        </w:tc>
        <w:tc>
          <w:tcPr>
            <w:tcW w:w="2793" w:type="dxa"/>
            <w:gridSpan w:val="2"/>
            <w:tcBorders>
              <w:top w:val="nil"/>
              <w:left w:val="nil"/>
              <w:bottom w:val="single" w:color="auto" w:sz="4" w:space="0"/>
              <w:right w:val="single" w:color="auto" w:sz="4" w:space="0"/>
            </w:tcBorders>
            <w:shd w:val="clear" w:color="auto" w:fill="auto"/>
            <w:vAlign w:val="center"/>
          </w:tcPr>
          <w:p w14:paraId="7658FF4D">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违反条款：第十九条；</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处罚条款：第四十五条，责令停止违法行为，恢复原状或者采取其他补救措施，可以处1万元以上5万元以下罚款。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3CC9E776">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shd w:val="clear" w:color="auto" w:fill="auto"/>
            <w:vAlign w:val="center"/>
          </w:tcPr>
          <w:p w14:paraId="7577DCBA">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55800626">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取土、采石等活动：1.占地面积＜10平方米，系数为0；2.10平方米≤占地面积＜50平方米，系数为1；3.50平方米≤占地面积＜100平方米，系数为2；4.100平方米≤占地面积＜150平方米，系数为3；5.150平方米≤占地面积，系数为4。6.存在基准2.1.3规定情形的，系数按照相关规定确定（基准2.1.3.5不适用）。爆破、打井等行为：1.作业深度＜2米或未引发工程设施裂缝、位移等安全隐患，系数为0；2.2≤作业深度＜4米或导致堤防、护坡等设施出现轻微裂缝，系数为1；3.4≤作业深度＜6米或导致堤防、护坡等设施出现明显裂缝，系数为2；4.6≤作业深度＜8米或导致水库坝体出现贯穿性裂缝，系数为3；5.8米≤作业深度或导致防洪工程设施功能丧失20%以上，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1713613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罚款金额=10000×（1+情节系数）</w:t>
            </w:r>
          </w:p>
        </w:tc>
        <w:tc>
          <w:tcPr>
            <w:tcW w:w="1972" w:type="dxa"/>
            <w:tcBorders>
              <w:top w:val="nil"/>
              <w:left w:val="nil"/>
              <w:bottom w:val="single" w:color="auto" w:sz="4" w:space="0"/>
              <w:right w:val="single" w:color="auto" w:sz="4" w:space="0"/>
            </w:tcBorders>
            <w:shd w:val="clear" w:color="auto" w:fill="auto"/>
            <w:vAlign w:val="center"/>
          </w:tcPr>
          <w:p w14:paraId="494B007F">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w:t>
            </w:r>
          </w:p>
        </w:tc>
      </w:tr>
      <w:tr w14:paraId="5F01F45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760" w:hRule="atLeast"/>
        </w:trPr>
        <w:tc>
          <w:tcPr>
            <w:tcW w:w="612" w:type="dxa"/>
            <w:gridSpan w:val="2"/>
            <w:tcBorders>
              <w:top w:val="nil"/>
              <w:left w:val="single" w:color="auto" w:sz="4" w:space="0"/>
              <w:bottom w:val="single" w:color="auto" w:sz="4" w:space="0"/>
              <w:right w:val="single" w:color="auto" w:sz="4" w:space="0"/>
            </w:tcBorders>
            <w:shd w:val="clear" w:color="auto" w:fill="auto"/>
            <w:noWrap/>
            <w:vAlign w:val="center"/>
          </w:tcPr>
          <w:p w14:paraId="03ACF0C5">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2</w:t>
            </w:r>
          </w:p>
        </w:tc>
        <w:tc>
          <w:tcPr>
            <w:tcW w:w="1811" w:type="dxa"/>
            <w:tcBorders>
              <w:top w:val="nil"/>
              <w:left w:val="nil"/>
              <w:bottom w:val="single" w:color="auto" w:sz="4" w:space="0"/>
              <w:right w:val="single" w:color="auto" w:sz="4" w:space="0"/>
            </w:tcBorders>
            <w:shd w:val="clear" w:color="auto" w:fill="auto"/>
            <w:vAlign w:val="center"/>
          </w:tcPr>
          <w:p w14:paraId="5986D933">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在堤路结合的大坝、堤防、闸桥行驶超重车辆，在非堤路结合的大坝、堤防、闸桥行驶机动车辆的</w:t>
            </w:r>
          </w:p>
        </w:tc>
        <w:tc>
          <w:tcPr>
            <w:tcW w:w="2793" w:type="dxa"/>
            <w:gridSpan w:val="2"/>
            <w:tcBorders>
              <w:top w:val="nil"/>
              <w:left w:val="nil"/>
              <w:bottom w:val="single" w:color="auto" w:sz="4" w:space="0"/>
              <w:right w:val="single" w:color="auto" w:sz="4" w:space="0"/>
            </w:tcBorders>
            <w:shd w:val="clear" w:color="auto" w:fill="auto"/>
            <w:vAlign w:val="center"/>
          </w:tcPr>
          <w:p w14:paraId="7D4F9D94">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违反条款：第二十一条第三款；</w:t>
            </w:r>
            <w:r>
              <w:rPr>
                <w:rFonts w:hint="eastAsia" w:asciiTheme="minorEastAsia" w:hAnsiTheme="minorEastAsia" w:eastAsiaTheme="minorEastAsia" w:cstheme="minorEastAsia"/>
                <w:color w:val="auto"/>
                <w:kern w:val="0"/>
                <w:sz w:val="15"/>
                <w:szCs w:val="15"/>
                <w:highlight w:val="none"/>
              </w:rPr>
              <w:br w:type="textWrapping"/>
            </w:r>
            <w:r>
              <w:rPr>
                <w:rFonts w:hint="eastAsia" w:asciiTheme="minorEastAsia" w:hAnsiTheme="minorEastAsia" w:eastAsiaTheme="minorEastAsia" w:cstheme="minorEastAsia"/>
                <w:color w:val="auto"/>
                <w:kern w:val="0"/>
                <w:sz w:val="15"/>
                <w:szCs w:val="15"/>
                <w:highlight w:val="none"/>
              </w:rPr>
              <w:t>处罚条款：第四十六条，处以200元以下罚款。</w:t>
            </w:r>
          </w:p>
        </w:tc>
        <w:tc>
          <w:tcPr>
            <w:tcW w:w="864" w:type="dxa"/>
            <w:gridSpan w:val="2"/>
            <w:tcBorders>
              <w:top w:val="nil"/>
              <w:left w:val="nil"/>
              <w:bottom w:val="single" w:color="auto" w:sz="4" w:space="0"/>
              <w:right w:val="single" w:color="auto" w:sz="4" w:space="0"/>
            </w:tcBorders>
            <w:shd w:val="clear" w:color="auto" w:fill="auto"/>
            <w:vAlign w:val="center"/>
          </w:tcPr>
          <w:p w14:paraId="41140718">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100 </w:t>
            </w:r>
          </w:p>
        </w:tc>
        <w:tc>
          <w:tcPr>
            <w:tcW w:w="840" w:type="dxa"/>
            <w:tcBorders>
              <w:top w:val="nil"/>
              <w:left w:val="nil"/>
              <w:bottom w:val="single" w:color="auto" w:sz="4" w:space="0"/>
              <w:right w:val="single" w:color="auto" w:sz="4" w:space="0"/>
            </w:tcBorders>
            <w:shd w:val="clear" w:color="auto" w:fill="auto"/>
            <w:vAlign w:val="center"/>
          </w:tcPr>
          <w:p w14:paraId="4DA8B802">
            <w:pPr>
              <w:widowControl/>
              <w:jc w:val="center"/>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shd w:val="clear" w:color="auto" w:fill="auto"/>
            <w:vAlign w:val="center"/>
          </w:tcPr>
          <w:p w14:paraId="42F7ACDA">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shd w:val="clear" w:color="auto" w:fill="auto"/>
            <w:vAlign w:val="center"/>
          </w:tcPr>
          <w:p w14:paraId="6208CB61">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罚款金额=100×（1+情节系数）</w:t>
            </w:r>
          </w:p>
        </w:tc>
        <w:tc>
          <w:tcPr>
            <w:tcW w:w="1972" w:type="dxa"/>
            <w:tcBorders>
              <w:top w:val="nil"/>
              <w:left w:val="nil"/>
              <w:bottom w:val="single" w:color="auto" w:sz="4" w:space="0"/>
              <w:right w:val="single" w:color="auto" w:sz="4" w:space="0"/>
            </w:tcBorders>
            <w:shd w:val="clear" w:color="auto" w:fill="auto"/>
            <w:vAlign w:val="center"/>
          </w:tcPr>
          <w:p w14:paraId="1C2D951C">
            <w:pPr>
              <w:widowControl/>
              <w:jc w:val="left"/>
              <w:rPr>
                <w:rFonts w:hint="eastAsia" w:asciiTheme="minorEastAsia" w:hAnsiTheme="minorEastAsia" w:eastAsiaTheme="minorEastAsia" w:cstheme="minorEastAsia"/>
                <w:color w:val="auto"/>
                <w:kern w:val="0"/>
                <w:sz w:val="15"/>
                <w:szCs w:val="15"/>
                <w:highlight w:val="none"/>
              </w:rPr>
            </w:pPr>
            <w:r>
              <w:rPr>
                <w:rFonts w:hint="eastAsia" w:asciiTheme="minorEastAsia" w:hAnsiTheme="minorEastAsia" w:eastAsiaTheme="minorEastAsia" w:cstheme="minorEastAsia"/>
                <w:color w:val="auto"/>
                <w:kern w:val="0"/>
                <w:sz w:val="15"/>
                <w:szCs w:val="15"/>
                <w:highlight w:val="none"/>
              </w:rPr>
              <w:t>需要作出100元以下罚款决定的，</w:t>
            </w:r>
            <w:r>
              <w:rPr>
                <w:rFonts w:hint="eastAsia" w:asciiTheme="minorEastAsia" w:hAnsiTheme="minorEastAsia" w:eastAsiaTheme="minorEastAsia" w:cstheme="minorEastAsia"/>
                <w:color w:val="auto"/>
                <w:kern w:val="0"/>
                <w:sz w:val="15"/>
                <w:szCs w:val="15"/>
                <w:highlight w:val="none"/>
                <w:lang w:eastAsia="zh-CN"/>
              </w:rPr>
              <w:t>由执法人员在案卷中说明理由</w:t>
            </w:r>
            <w:r>
              <w:rPr>
                <w:rFonts w:hint="eastAsia" w:asciiTheme="minorEastAsia" w:hAnsiTheme="minorEastAsia" w:eastAsiaTheme="minorEastAsia" w:cstheme="minorEastAsia"/>
                <w:color w:val="auto"/>
                <w:kern w:val="0"/>
                <w:sz w:val="15"/>
                <w:szCs w:val="15"/>
                <w:highlight w:val="none"/>
              </w:rPr>
              <w:t>。</w:t>
            </w:r>
          </w:p>
        </w:tc>
      </w:tr>
      <w:tr w14:paraId="1BA78B1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ign w:val="center"/>
          </w:tcPr>
          <w:p w14:paraId="0D51FFF5">
            <w:pPr>
              <w:widowControl/>
              <w:jc w:val="center"/>
              <w:outlineLvl w:val="0"/>
              <w:rPr>
                <w:rFonts w:ascii="Times New Roman" w:hAnsi="Times New Roman" w:eastAsia="宋体" w:cs="Times New Roman"/>
                <w:color w:val="auto"/>
                <w:kern w:val="0"/>
                <w:sz w:val="28"/>
                <w:szCs w:val="28"/>
                <w:highlight w:val="none"/>
              </w:rPr>
            </w:pPr>
            <w:bookmarkStart w:id="286" w:name="_Toc218468868"/>
            <w:bookmarkStart w:id="287" w:name="_Toc555472517"/>
            <w:bookmarkStart w:id="288" w:name="_Toc1758799852"/>
            <w:r>
              <w:rPr>
                <w:rFonts w:hint="eastAsia" w:ascii="黑体" w:hAnsi="黑体" w:eastAsia="黑体" w:cs="黑体"/>
                <w:color w:val="auto"/>
                <w:kern w:val="0"/>
                <w:sz w:val="28"/>
                <w:szCs w:val="28"/>
                <w:highlight w:val="none"/>
              </w:rPr>
              <w:t>水利建设资质管理方面</w:t>
            </w:r>
            <w:bookmarkEnd w:id="286"/>
            <w:bookmarkEnd w:id="287"/>
            <w:bookmarkEnd w:id="288"/>
          </w:p>
        </w:tc>
      </w:tr>
      <w:tr w14:paraId="4424A40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14:paraId="2A93F0F6">
            <w:pPr>
              <w:widowControl/>
              <w:jc w:val="center"/>
              <w:outlineLvl w:val="1"/>
              <w:rPr>
                <w:rFonts w:hint="eastAsia" w:ascii="宋体" w:hAnsi="宋体" w:eastAsia="宋体" w:cs="宋体"/>
                <w:color w:val="auto"/>
                <w:kern w:val="0"/>
                <w:szCs w:val="21"/>
                <w:highlight w:val="none"/>
              </w:rPr>
            </w:pPr>
            <w:bookmarkStart w:id="289" w:name="_Toc218468869"/>
            <w:bookmarkStart w:id="290" w:name="_Toc212979876"/>
            <w:bookmarkStart w:id="291" w:name="_Toc385135809"/>
            <w:r>
              <w:rPr>
                <w:rFonts w:hint="eastAsia" w:ascii="宋体" w:hAnsi="宋体" w:eastAsia="宋体" w:cs="宋体"/>
                <w:b/>
                <w:bCs/>
                <w:color w:val="auto"/>
                <w:kern w:val="0"/>
                <w:szCs w:val="21"/>
                <w:highlight w:val="none"/>
              </w:rPr>
              <w:t>《中华人民共和国建筑法》案由1项</w:t>
            </w:r>
            <w:bookmarkEnd w:id="289"/>
            <w:bookmarkEnd w:id="290"/>
            <w:bookmarkEnd w:id="291"/>
          </w:p>
        </w:tc>
      </w:tr>
      <w:tr w14:paraId="729744A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79937DE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38BFAAB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在水利工程发包与承包中索贿、受贿、行贿</w:t>
            </w:r>
          </w:p>
        </w:tc>
        <w:tc>
          <w:tcPr>
            <w:tcW w:w="2793" w:type="dxa"/>
            <w:gridSpan w:val="2"/>
            <w:tcBorders>
              <w:top w:val="nil"/>
              <w:left w:val="nil"/>
              <w:bottom w:val="single" w:color="auto" w:sz="4" w:space="0"/>
              <w:right w:val="single" w:color="auto" w:sz="4" w:space="0"/>
            </w:tcBorders>
            <w:noWrap w:val="0"/>
            <w:vAlign w:val="center"/>
          </w:tcPr>
          <w:p w14:paraId="0B5E71B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处罚条款：第六十八条，处以罚款，没收贿赂的财物，对在工程承包中行贿的承包单位，除依照前款规定处罚外，可以责令停业整顿，降低资质等级或者吊销资质证书。</w:t>
            </w:r>
          </w:p>
        </w:tc>
        <w:tc>
          <w:tcPr>
            <w:tcW w:w="864" w:type="dxa"/>
            <w:gridSpan w:val="2"/>
            <w:tcBorders>
              <w:top w:val="nil"/>
              <w:left w:val="nil"/>
              <w:bottom w:val="single" w:color="auto" w:sz="4" w:space="0"/>
              <w:right w:val="single" w:color="auto" w:sz="4" w:space="0"/>
            </w:tcBorders>
            <w:noWrap w:val="0"/>
            <w:vAlign w:val="center"/>
          </w:tcPr>
          <w:p w14:paraId="2E1B697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4A21235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08FD34B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583A2D6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376D9F0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降低资质等级或者吊销资质证书的，在作出处罚决定前，要邀请行业主管部门共同会商。</w:t>
            </w:r>
          </w:p>
        </w:tc>
      </w:tr>
      <w:tr w14:paraId="7FF1524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5662ED68">
            <w:pPr>
              <w:widowControl/>
              <w:jc w:val="center"/>
              <w:outlineLvl w:val="1"/>
              <w:rPr>
                <w:rFonts w:hint="eastAsia" w:ascii="宋体" w:hAnsi="宋体" w:eastAsia="宋体" w:cs="宋体"/>
                <w:color w:val="auto"/>
                <w:kern w:val="0"/>
                <w:szCs w:val="21"/>
                <w:highlight w:val="none"/>
              </w:rPr>
            </w:pPr>
            <w:bookmarkStart w:id="292" w:name="_Toc702307891"/>
            <w:bookmarkStart w:id="293" w:name="_Toc928187946"/>
            <w:bookmarkStart w:id="294" w:name="_Toc218468870"/>
            <w:r>
              <w:rPr>
                <w:rFonts w:hint="eastAsia" w:ascii="宋体" w:hAnsi="宋体" w:eastAsia="宋体" w:cs="宋体"/>
                <w:b/>
                <w:bCs/>
                <w:color w:val="auto"/>
                <w:kern w:val="0"/>
                <w:szCs w:val="21"/>
                <w:highlight w:val="none"/>
              </w:rPr>
              <w:t>《建设工程质量管理条例》案由3项</w:t>
            </w:r>
            <w:bookmarkEnd w:id="292"/>
            <w:bookmarkEnd w:id="293"/>
            <w:bookmarkEnd w:id="294"/>
          </w:p>
        </w:tc>
      </w:tr>
      <w:tr w14:paraId="2712C82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14:paraId="722F474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14:paraId="3F1191A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勘察、设计、施工、监理单位以欺骗手段取得资质证书承揽工程</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14:paraId="2173BF0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违反条款：第十八条第一款、第二十五条第一款、第三十四条第一款；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第三款，吊销资质证书，对勘察、设计单位或者工程监理单位处合同约定的勘察费、设计费或者监理酬金１倍以上２倍以下的罚款；对施工单位处工程合同价款百分之二以上百分之四以下的罚款，有违法所得的，予以没收；</w:t>
            </w:r>
          </w:p>
        </w:tc>
        <w:tc>
          <w:tcPr>
            <w:tcW w:w="864" w:type="dxa"/>
            <w:gridSpan w:val="2"/>
            <w:tcBorders>
              <w:top w:val="nil"/>
              <w:left w:val="nil"/>
              <w:bottom w:val="single" w:color="auto" w:sz="4" w:space="0"/>
              <w:right w:val="single" w:color="auto" w:sz="4" w:space="0"/>
            </w:tcBorders>
            <w:noWrap w:val="0"/>
            <w:vAlign w:val="center"/>
          </w:tcPr>
          <w:p w14:paraId="1E01D4E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合同约定的勘察费、设计费或者监理酬金×1倍（勘察、设计、监理单位）</w:t>
            </w:r>
          </w:p>
        </w:tc>
        <w:tc>
          <w:tcPr>
            <w:tcW w:w="840" w:type="dxa"/>
            <w:tcBorders>
              <w:top w:val="nil"/>
              <w:left w:val="nil"/>
              <w:bottom w:val="single" w:color="auto" w:sz="4" w:space="0"/>
              <w:right w:val="single" w:color="auto" w:sz="4" w:space="0"/>
            </w:tcBorders>
            <w:noWrap w:val="0"/>
            <w:vAlign w:val="center"/>
          </w:tcPr>
          <w:p w14:paraId="50E340F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3DA4034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677004E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罚款金额=合同约定的勘察费或设计费或监理酬金×1倍×（1+情节系数）</w:t>
            </w:r>
          </w:p>
        </w:tc>
        <w:tc>
          <w:tcPr>
            <w:tcW w:w="1973" w:type="dxa"/>
            <w:gridSpan w:val="2"/>
            <w:tcBorders>
              <w:top w:val="nil"/>
              <w:left w:val="nil"/>
              <w:bottom w:val="single" w:color="auto" w:sz="4" w:space="0"/>
              <w:right w:val="single" w:color="auto" w:sz="4" w:space="0"/>
            </w:tcBorders>
            <w:noWrap w:val="0"/>
            <w:vAlign w:val="center"/>
          </w:tcPr>
          <w:p w14:paraId="73F8698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r>
      <w:tr w14:paraId="5225287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42B563E8">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2D0FC8F4">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51496773">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7C572C7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工程合同价款×2%（施工单位）</w:t>
            </w:r>
          </w:p>
        </w:tc>
        <w:tc>
          <w:tcPr>
            <w:tcW w:w="840" w:type="dxa"/>
            <w:tcBorders>
              <w:top w:val="nil"/>
              <w:left w:val="nil"/>
              <w:bottom w:val="single" w:color="auto" w:sz="4" w:space="0"/>
              <w:right w:val="single" w:color="auto" w:sz="4" w:space="0"/>
            </w:tcBorders>
            <w:noWrap w:val="0"/>
            <w:vAlign w:val="center"/>
          </w:tcPr>
          <w:p w14:paraId="20F1494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6DFED23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421F2C1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14:paraId="5B114B9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r>
      <w:tr w14:paraId="1408DD7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14:paraId="6655000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14:paraId="37BE8A6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勘察、设计、施工、监理单位未取得相应资质等级证书承揽水利工程</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14:paraId="4240CBB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违反条款：第十八条第一款、第二十五条第一款、第三十四条第一款；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第二款，对勘察、设计单位或者工程监理单位处合同约定的勘察费、设计费或者监理酬金１倍以上２倍以下的罚款；对施工单位处工程合同价款百分之二以上百分之四以下的罚款，有违法所得的，予以没收；</w:t>
            </w:r>
          </w:p>
        </w:tc>
        <w:tc>
          <w:tcPr>
            <w:tcW w:w="864" w:type="dxa"/>
            <w:gridSpan w:val="2"/>
            <w:tcBorders>
              <w:top w:val="nil"/>
              <w:left w:val="nil"/>
              <w:bottom w:val="single" w:color="auto" w:sz="4" w:space="0"/>
              <w:right w:val="single" w:color="auto" w:sz="4" w:space="0"/>
            </w:tcBorders>
            <w:noWrap w:val="0"/>
            <w:vAlign w:val="center"/>
          </w:tcPr>
          <w:p w14:paraId="4F6937B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勘察费、设计费或者监理酬金×1倍（勘察、设计、监理单位</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686E3AD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51C6A64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4BA3508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罚款金额=勘察费、设计费或者监理酬金×1倍×（1+情节系数）</w:t>
            </w:r>
          </w:p>
        </w:tc>
        <w:tc>
          <w:tcPr>
            <w:tcW w:w="1973" w:type="dxa"/>
            <w:gridSpan w:val="2"/>
            <w:tcBorders>
              <w:top w:val="nil"/>
              <w:left w:val="nil"/>
              <w:bottom w:val="single" w:color="auto" w:sz="4" w:space="0"/>
              <w:right w:val="single" w:color="auto" w:sz="4" w:space="0"/>
            </w:tcBorders>
            <w:noWrap w:val="0"/>
            <w:vAlign w:val="center"/>
          </w:tcPr>
          <w:p w14:paraId="1B1B906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r>
      <w:tr w14:paraId="59804C4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63036CD3">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27D0198D">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16E29C92">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5A1F158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工程合同价款×2%（对施工单位）</w:t>
            </w:r>
          </w:p>
        </w:tc>
        <w:tc>
          <w:tcPr>
            <w:tcW w:w="840" w:type="dxa"/>
            <w:tcBorders>
              <w:top w:val="nil"/>
              <w:left w:val="nil"/>
              <w:bottom w:val="single" w:color="auto" w:sz="4" w:space="0"/>
              <w:right w:val="single" w:color="auto" w:sz="4" w:space="0"/>
            </w:tcBorders>
            <w:noWrap w:val="0"/>
            <w:vAlign w:val="center"/>
          </w:tcPr>
          <w:p w14:paraId="1519E4A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283420D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411A2C1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14:paraId="2C42591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r>
      <w:tr w14:paraId="369F064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14:paraId="501DF4E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14:paraId="2E5CFCB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勘察、设计、施工、监理单位超越本单位资质等级许可的业务范围承揽水利工程</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14:paraId="3FA9B83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违反条款：第十八条第二款、第二十五条第二款、第三十四条第二款；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第一款，责令停止违法行为，对勘察、设计单位或者工程监理单位处合同约定的勘察费、设计费或者监理酬金1倍以上2倍以下的罚款；对施工单位处工程合同价款2%以上4%以下的罚款，可以责令停业整顿，降低资质等级；情节严重的，吊销资质证书；有违法所得的，予以没收。</w:t>
            </w:r>
          </w:p>
        </w:tc>
        <w:tc>
          <w:tcPr>
            <w:tcW w:w="864" w:type="dxa"/>
            <w:gridSpan w:val="2"/>
            <w:tcBorders>
              <w:top w:val="nil"/>
              <w:left w:val="nil"/>
              <w:bottom w:val="single" w:color="auto" w:sz="4" w:space="0"/>
              <w:right w:val="single" w:color="auto" w:sz="4" w:space="0"/>
            </w:tcBorders>
            <w:noWrap w:val="0"/>
            <w:vAlign w:val="center"/>
          </w:tcPr>
          <w:p w14:paraId="25ADCF5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勘察费、设计费或者监理酬金×1倍（勘察、设计、监理单位）</w:t>
            </w:r>
          </w:p>
        </w:tc>
        <w:tc>
          <w:tcPr>
            <w:tcW w:w="840" w:type="dxa"/>
            <w:tcBorders>
              <w:top w:val="nil"/>
              <w:left w:val="nil"/>
              <w:bottom w:val="single" w:color="auto" w:sz="4" w:space="0"/>
              <w:right w:val="single" w:color="auto" w:sz="4" w:space="0"/>
            </w:tcBorders>
            <w:noWrap w:val="0"/>
            <w:vAlign w:val="center"/>
          </w:tcPr>
          <w:p w14:paraId="666FCE9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608D3C0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65AA0DA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罚款金额=勘察费、设计费或者监理酬金×1倍×（1+情节系数）</w:t>
            </w:r>
          </w:p>
        </w:tc>
        <w:tc>
          <w:tcPr>
            <w:tcW w:w="1973" w:type="dxa"/>
            <w:gridSpan w:val="2"/>
            <w:tcBorders>
              <w:top w:val="nil"/>
              <w:left w:val="nil"/>
              <w:bottom w:val="single" w:color="auto" w:sz="4" w:space="0"/>
              <w:right w:val="single" w:color="auto" w:sz="4" w:space="0"/>
            </w:tcBorders>
            <w:noWrap w:val="0"/>
            <w:vAlign w:val="center"/>
          </w:tcPr>
          <w:p w14:paraId="188B6AC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存在以下情形之一的，可视为情节严重：1.发生一般及以上安全事故的；2.经执法部门处罚后，一年度内再次发生同类型违法行为。拟作出吊销资质证书的，在作出处罚决定前，要邀请行业主管部门共同会商。</w:t>
            </w:r>
          </w:p>
        </w:tc>
      </w:tr>
      <w:tr w14:paraId="4B46352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256F5C66">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61430184">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006ABD7A">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7DB14A4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工程合同价款×2%（施工单位）</w:t>
            </w:r>
          </w:p>
        </w:tc>
        <w:tc>
          <w:tcPr>
            <w:tcW w:w="840" w:type="dxa"/>
            <w:tcBorders>
              <w:top w:val="nil"/>
              <w:left w:val="nil"/>
              <w:bottom w:val="single" w:color="auto" w:sz="4" w:space="0"/>
              <w:right w:val="single" w:color="auto" w:sz="4" w:space="0"/>
            </w:tcBorders>
            <w:noWrap w:val="0"/>
            <w:vAlign w:val="center"/>
          </w:tcPr>
          <w:p w14:paraId="7F3F56D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6A36A4F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1.工程合同价款＜1000万元，系数为0；2.1000万元≤工程合同价款，系数为0.5；3.造成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5AB8C63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14:paraId="557A8A3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责令停业整顿，降低资质等级或吊销资质证书的，在作出处罚决定前，要邀请行业主管部门共同会商。</w:t>
            </w:r>
          </w:p>
        </w:tc>
      </w:tr>
      <w:tr w14:paraId="6E2B3E8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02CDBFDC">
            <w:pPr>
              <w:widowControl/>
              <w:jc w:val="center"/>
              <w:outlineLvl w:val="1"/>
              <w:rPr>
                <w:rFonts w:hint="eastAsia" w:ascii="宋体" w:hAnsi="宋体" w:eastAsia="宋体" w:cs="宋体"/>
                <w:color w:val="auto"/>
                <w:kern w:val="0"/>
                <w:szCs w:val="21"/>
                <w:highlight w:val="none"/>
              </w:rPr>
            </w:pPr>
            <w:bookmarkStart w:id="295" w:name="_Toc218468871"/>
            <w:bookmarkStart w:id="296" w:name="_Toc1211391117"/>
            <w:bookmarkStart w:id="297" w:name="_Toc895854339"/>
            <w:r>
              <w:rPr>
                <w:rFonts w:hint="eastAsia" w:ascii="宋体" w:hAnsi="宋体" w:eastAsia="宋体" w:cs="宋体"/>
                <w:b/>
                <w:bCs/>
                <w:color w:val="auto"/>
                <w:kern w:val="0"/>
                <w:szCs w:val="21"/>
                <w:highlight w:val="none"/>
              </w:rPr>
              <w:t>《建筑业企业资质管理规定》案由4项</w:t>
            </w:r>
            <w:bookmarkEnd w:id="295"/>
            <w:bookmarkEnd w:id="296"/>
            <w:bookmarkEnd w:id="297"/>
          </w:p>
        </w:tc>
      </w:tr>
      <w:tr w14:paraId="0A7E003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25C19C9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002EDFC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申请人隐瞒有关情况或者提供虚假材料申请建筑业企业资质（ 水利类）</w:t>
            </w:r>
          </w:p>
        </w:tc>
        <w:tc>
          <w:tcPr>
            <w:tcW w:w="2793" w:type="dxa"/>
            <w:gridSpan w:val="2"/>
            <w:tcBorders>
              <w:top w:val="nil"/>
              <w:left w:val="nil"/>
              <w:bottom w:val="single" w:color="auto" w:sz="4" w:space="0"/>
              <w:right w:val="single" w:color="auto" w:sz="4" w:space="0"/>
            </w:tcBorders>
            <w:noWrap w:val="0"/>
            <w:vAlign w:val="center"/>
          </w:tcPr>
          <w:p w14:paraId="4B3C4C4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处罚条款：第三十五条，给予警告，申请企业在1年内不得再次申请建筑业企业资质。</w:t>
            </w:r>
          </w:p>
        </w:tc>
        <w:tc>
          <w:tcPr>
            <w:tcW w:w="864" w:type="dxa"/>
            <w:gridSpan w:val="2"/>
            <w:tcBorders>
              <w:top w:val="nil"/>
              <w:left w:val="nil"/>
              <w:bottom w:val="single" w:color="auto" w:sz="4" w:space="0"/>
              <w:right w:val="single" w:color="auto" w:sz="4" w:space="0"/>
            </w:tcBorders>
            <w:noWrap w:val="0"/>
            <w:vAlign w:val="center"/>
          </w:tcPr>
          <w:p w14:paraId="145DF69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3D5B3BD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5F9304A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2D14AA5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7EE269F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72F08D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6DA1523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74097EA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以欺骗、贿赂等不正当手段取得建筑业企业资质证书（水利类）</w:t>
            </w:r>
          </w:p>
        </w:tc>
        <w:tc>
          <w:tcPr>
            <w:tcW w:w="2793" w:type="dxa"/>
            <w:gridSpan w:val="2"/>
            <w:tcBorders>
              <w:top w:val="nil"/>
              <w:left w:val="nil"/>
              <w:bottom w:val="single" w:color="auto" w:sz="4" w:space="0"/>
              <w:right w:val="single" w:color="auto" w:sz="4" w:space="0"/>
            </w:tcBorders>
            <w:noWrap w:val="0"/>
            <w:vAlign w:val="center"/>
          </w:tcPr>
          <w:p w14:paraId="2B5381F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处罚条款：第三十六条，给予警告，并处3万元的罚款，申请企业3年内不得再次申请建筑业企业资质。</w:t>
            </w:r>
          </w:p>
        </w:tc>
        <w:tc>
          <w:tcPr>
            <w:tcW w:w="864" w:type="dxa"/>
            <w:gridSpan w:val="2"/>
            <w:tcBorders>
              <w:top w:val="nil"/>
              <w:left w:val="nil"/>
              <w:bottom w:val="single" w:color="auto" w:sz="4" w:space="0"/>
              <w:right w:val="single" w:color="auto" w:sz="4" w:space="0"/>
            </w:tcBorders>
            <w:noWrap w:val="0"/>
            <w:vAlign w:val="center"/>
          </w:tcPr>
          <w:p w14:paraId="471535C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30000 </w:t>
            </w:r>
          </w:p>
        </w:tc>
        <w:tc>
          <w:tcPr>
            <w:tcW w:w="840" w:type="dxa"/>
            <w:tcBorders>
              <w:top w:val="nil"/>
              <w:left w:val="nil"/>
              <w:bottom w:val="single" w:color="auto" w:sz="4" w:space="0"/>
              <w:right w:val="single" w:color="auto" w:sz="4" w:space="0"/>
            </w:tcBorders>
            <w:noWrap w:val="0"/>
            <w:vAlign w:val="center"/>
          </w:tcPr>
          <w:p w14:paraId="554973C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566CFEE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给予警告，并处以3万元罚款。</w:t>
            </w:r>
          </w:p>
        </w:tc>
        <w:tc>
          <w:tcPr>
            <w:tcW w:w="1881" w:type="dxa"/>
            <w:gridSpan w:val="2"/>
            <w:tcBorders>
              <w:top w:val="nil"/>
              <w:left w:val="nil"/>
              <w:bottom w:val="single" w:color="auto" w:sz="4" w:space="0"/>
              <w:right w:val="single" w:color="auto" w:sz="4" w:space="0"/>
            </w:tcBorders>
            <w:noWrap w:val="0"/>
            <w:vAlign w:val="center"/>
          </w:tcPr>
          <w:p w14:paraId="367AC30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5BBB1FF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5BBCB02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3E349EE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14:paraId="2472826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建筑业企业（水务类）存在《建筑业企业资质管理规定》第二十三条规定的行为</w:t>
            </w:r>
          </w:p>
        </w:tc>
        <w:tc>
          <w:tcPr>
            <w:tcW w:w="2793" w:type="dxa"/>
            <w:gridSpan w:val="2"/>
            <w:tcBorders>
              <w:top w:val="nil"/>
              <w:left w:val="nil"/>
              <w:bottom w:val="single" w:color="auto" w:sz="4" w:space="0"/>
              <w:right w:val="single" w:color="auto" w:sz="4" w:space="0"/>
            </w:tcBorders>
            <w:noWrap w:val="0"/>
            <w:vAlign w:val="center"/>
          </w:tcPr>
          <w:p w14:paraId="41BA232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中华人民共和国建筑法》《建设工程质量管理条例》和其他有关法律、法规对处罚机关和处罚方式有规定的，依照法律、法规的规定执行；法律、法规未作规定的，给予警告，责令改正，并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6F323C4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5980F12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5D74C18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给予警告，并处以下罚款：1.限期改正，系数为0；2.逾期不改正，系数为2。3.存在基准2.1.3规定情形的，系数按照相关规定确定（基准2.1.3.5不适用）。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8194EA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486831A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46FBFE8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7AA007C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14:paraId="3391291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未按照《建筑业企业资质管理规定》要求提供建筑业企业信用档案信息</w:t>
            </w:r>
          </w:p>
        </w:tc>
        <w:tc>
          <w:tcPr>
            <w:tcW w:w="2793" w:type="dxa"/>
            <w:gridSpan w:val="2"/>
            <w:tcBorders>
              <w:top w:val="nil"/>
              <w:left w:val="nil"/>
              <w:bottom w:val="single" w:color="auto" w:sz="4" w:space="0"/>
              <w:right w:val="single" w:color="auto" w:sz="4" w:space="0"/>
            </w:tcBorders>
            <w:noWrap w:val="0"/>
            <w:vAlign w:val="center"/>
          </w:tcPr>
          <w:p w14:paraId="3F96769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处罚条款：第四十条，给予警告，责令限期改正；逾期未改正的，可处以1000元以上1万元以下的罚款。</w:t>
            </w:r>
          </w:p>
        </w:tc>
        <w:tc>
          <w:tcPr>
            <w:tcW w:w="864" w:type="dxa"/>
            <w:gridSpan w:val="2"/>
            <w:tcBorders>
              <w:top w:val="nil"/>
              <w:left w:val="nil"/>
              <w:bottom w:val="single" w:color="auto" w:sz="4" w:space="0"/>
              <w:right w:val="single" w:color="auto" w:sz="4" w:space="0"/>
            </w:tcBorders>
            <w:noWrap w:val="0"/>
            <w:vAlign w:val="center"/>
          </w:tcPr>
          <w:p w14:paraId="44CDD57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14:paraId="68B7D48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2768F39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逾期未改正的，处以下罚款：1.逾期后改正时间＜2天，系数为0；2.2天≤逾期后改正时间＜4天，系数为2；3.4天≤逾期后改正时间＜6天，系数为4；4.6天≤逾期后改正时间＜8天，系数为6；5.8天≤逾期后改正时间，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534D28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14:paraId="09F4AF3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7C06B01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04DEAB4A">
            <w:pPr>
              <w:widowControl/>
              <w:jc w:val="center"/>
              <w:outlineLvl w:val="1"/>
              <w:rPr>
                <w:rFonts w:hint="eastAsia" w:ascii="宋体" w:hAnsi="宋体" w:eastAsia="宋体" w:cs="宋体"/>
                <w:color w:val="auto"/>
                <w:kern w:val="0"/>
                <w:szCs w:val="21"/>
                <w:highlight w:val="none"/>
              </w:rPr>
            </w:pPr>
            <w:bookmarkStart w:id="298" w:name="_Toc1423281094"/>
            <w:bookmarkStart w:id="299" w:name="_Toc218468872"/>
            <w:bookmarkStart w:id="300" w:name="_Toc427902929"/>
            <w:r>
              <w:rPr>
                <w:rFonts w:hint="eastAsia" w:ascii="宋体" w:hAnsi="宋体" w:eastAsia="宋体" w:cs="宋体"/>
                <w:b/>
                <w:bCs/>
                <w:color w:val="auto"/>
                <w:kern w:val="0"/>
                <w:szCs w:val="21"/>
                <w:highlight w:val="none"/>
              </w:rPr>
              <w:t>《工程监理企业资质管理规定》案由3项</w:t>
            </w:r>
            <w:bookmarkEnd w:id="298"/>
            <w:bookmarkEnd w:id="299"/>
            <w:bookmarkEnd w:id="300"/>
          </w:p>
        </w:tc>
      </w:tr>
      <w:tr w14:paraId="33A650F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5C7087B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16C0CAF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申请人隐瞒有关情况或者提供虚假材料申请水利工程建设监理单位资质</w:t>
            </w:r>
          </w:p>
        </w:tc>
        <w:tc>
          <w:tcPr>
            <w:tcW w:w="2793" w:type="dxa"/>
            <w:gridSpan w:val="2"/>
            <w:tcBorders>
              <w:top w:val="nil"/>
              <w:left w:val="nil"/>
              <w:bottom w:val="single" w:color="auto" w:sz="4" w:space="0"/>
              <w:right w:val="single" w:color="auto" w:sz="4" w:space="0"/>
            </w:tcBorders>
            <w:noWrap w:val="0"/>
            <w:vAlign w:val="center"/>
          </w:tcPr>
          <w:p w14:paraId="328F12F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处罚条款：第二十七条，给予警告，申请人在1年内不得再次申请工程监理企业资质。</w:t>
            </w:r>
          </w:p>
        </w:tc>
        <w:tc>
          <w:tcPr>
            <w:tcW w:w="864" w:type="dxa"/>
            <w:gridSpan w:val="2"/>
            <w:tcBorders>
              <w:top w:val="nil"/>
              <w:left w:val="nil"/>
              <w:bottom w:val="single" w:color="auto" w:sz="4" w:space="0"/>
              <w:right w:val="single" w:color="auto" w:sz="4" w:space="0"/>
            </w:tcBorders>
            <w:noWrap w:val="0"/>
            <w:vAlign w:val="center"/>
          </w:tcPr>
          <w:p w14:paraId="3AF3F9F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460B134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0E1CD91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29BA42C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0A0A393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3FF7EF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503D28B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486A25F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以欺骗、贿赂等不正当手段取得水利工程建设监理单位资质证书</w:t>
            </w:r>
          </w:p>
        </w:tc>
        <w:tc>
          <w:tcPr>
            <w:tcW w:w="2793" w:type="dxa"/>
            <w:gridSpan w:val="2"/>
            <w:tcBorders>
              <w:top w:val="nil"/>
              <w:left w:val="nil"/>
              <w:bottom w:val="single" w:color="auto" w:sz="4" w:space="0"/>
              <w:right w:val="single" w:color="auto" w:sz="4" w:space="0"/>
            </w:tcBorders>
            <w:noWrap w:val="0"/>
            <w:vAlign w:val="center"/>
          </w:tcPr>
          <w:p w14:paraId="2EBBFA3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处罚条款：第二十八条，给予警告，并处1万元以上2万元以下的罚款，申请人3年内不得再次申请工程监理企业资质。</w:t>
            </w:r>
          </w:p>
        </w:tc>
        <w:tc>
          <w:tcPr>
            <w:tcW w:w="864" w:type="dxa"/>
            <w:gridSpan w:val="2"/>
            <w:tcBorders>
              <w:top w:val="nil"/>
              <w:left w:val="nil"/>
              <w:bottom w:val="single" w:color="auto" w:sz="4" w:space="0"/>
              <w:right w:val="single" w:color="auto" w:sz="4" w:space="0"/>
            </w:tcBorders>
            <w:noWrap w:val="0"/>
            <w:vAlign w:val="center"/>
          </w:tcPr>
          <w:p w14:paraId="0301116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3884E4D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5B054A0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给予警告，并处以下罚款：1.以欺骗、贿赂等不正当手段取得监理资质乙级证书的，系数为0；2.以欺骗、贿赂等不正当手段取得监理资质甲级证书或不区分甲乙级资质的，系数为0.5；3.造成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0295F1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0000589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14D6B06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08" w:hRule="atLeast"/>
        </w:trPr>
        <w:tc>
          <w:tcPr>
            <w:tcW w:w="612" w:type="dxa"/>
            <w:gridSpan w:val="2"/>
            <w:tcBorders>
              <w:top w:val="nil"/>
              <w:left w:val="single" w:color="auto" w:sz="4" w:space="0"/>
              <w:bottom w:val="single" w:color="auto" w:sz="4" w:space="0"/>
              <w:right w:val="single" w:color="auto" w:sz="4" w:space="0"/>
            </w:tcBorders>
            <w:noWrap w:val="0"/>
            <w:vAlign w:val="center"/>
          </w:tcPr>
          <w:p w14:paraId="49038F0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14:paraId="23632F0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水利工程建设监理单位在监理过程中实施商业贿赂，或者涂改、伪造、出借、转让工程监理企业资质证书</w:t>
            </w:r>
          </w:p>
        </w:tc>
        <w:tc>
          <w:tcPr>
            <w:tcW w:w="2793" w:type="dxa"/>
            <w:gridSpan w:val="2"/>
            <w:tcBorders>
              <w:top w:val="nil"/>
              <w:left w:val="nil"/>
              <w:bottom w:val="single" w:color="auto" w:sz="4" w:space="0"/>
              <w:right w:val="single" w:color="auto" w:sz="4" w:space="0"/>
            </w:tcBorders>
            <w:noWrap w:val="0"/>
            <w:vAlign w:val="center"/>
          </w:tcPr>
          <w:p w14:paraId="669EAD1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违反条款：第十六条第（七）项、第（八）项；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处罚条款：第二十九条，予以警告，责令其改正，并处1万元以上3万元以下的罚款。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7B78DC1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713F268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049A5E9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水利工程监理合同金额＜100万，系数为0；2.100万≤水利工程监理合同金额＜500万，系数为1；3.500万≤水利工程监理合同金额，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B62826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6369ADB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71EA34F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3F877AF9">
            <w:pPr>
              <w:widowControl/>
              <w:jc w:val="center"/>
              <w:outlineLvl w:val="1"/>
              <w:rPr>
                <w:rFonts w:hint="eastAsia" w:ascii="宋体" w:hAnsi="宋体" w:eastAsia="宋体" w:cs="宋体"/>
                <w:color w:val="auto"/>
                <w:kern w:val="0"/>
                <w:szCs w:val="21"/>
                <w:highlight w:val="none"/>
              </w:rPr>
            </w:pPr>
            <w:bookmarkStart w:id="301" w:name="_Toc218468873"/>
            <w:bookmarkStart w:id="302" w:name="_Toc2085273921"/>
            <w:bookmarkStart w:id="303" w:name="_Toc330001521"/>
            <w:r>
              <w:rPr>
                <w:rFonts w:hint="eastAsia" w:ascii="宋体" w:hAnsi="宋体" w:eastAsia="宋体" w:cs="宋体"/>
                <w:b/>
                <w:bCs/>
                <w:color w:val="auto"/>
                <w:kern w:val="0"/>
                <w:szCs w:val="21"/>
                <w:highlight w:val="none"/>
              </w:rPr>
              <w:t>《水利工程建设监理规定》案由2项</w:t>
            </w:r>
            <w:bookmarkEnd w:id="301"/>
            <w:bookmarkEnd w:id="302"/>
            <w:bookmarkEnd w:id="303"/>
          </w:p>
        </w:tc>
      </w:tr>
      <w:tr w14:paraId="5D0185E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604" w:hRule="atLeast"/>
        </w:trPr>
        <w:tc>
          <w:tcPr>
            <w:tcW w:w="612" w:type="dxa"/>
            <w:gridSpan w:val="2"/>
            <w:tcBorders>
              <w:top w:val="nil"/>
              <w:left w:val="single" w:color="auto" w:sz="4" w:space="0"/>
              <w:bottom w:val="single" w:color="auto" w:sz="4" w:space="0"/>
              <w:right w:val="single" w:color="auto" w:sz="4" w:space="0"/>
            </w:tcBorders>
            <w:noWrap w:val="0"/>
            <w:vAlign w:val="center"/>
          </w:tcPr>
          <w:p w14:paraId="7AC8795B">
            <w:pPr>
              <w:widowControl/>
              <w:jc w:val="center"/>
              <w:rPr>
                <w:rFonts w:hint="eastAsia" w:ascii="Times New Roman" w:hAnsi="Times New Roman" w:eastAsia="宋体" w:cs="Times New Roman"/>
                <w:color w:val="000000"/>
                <w:kern w:val="0"/>
                <w:sz w:val="15"/>
                <w:szCs w:val="15"/>
                <w:highlight w:val="none"/>
                <w:lang w:val="en-US" w:eastAsia="zh-CN" w:bidi="ar-SA"/>
              </w:rPr>
            </w:pPr>
            <w:r>
              <w:rPr>
                <w:rFonts w:ascii="Times New Roman" w:hAnsi="Times New Roman" w:eastAsia="宋体" w:cs="Times New Roman"/>
                <w:color w:val="000000"/>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346D9DA9">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水利工程建设监理单位聘用无相应资格</w:t>
            </w:r>
            <w:r>
              <w:rPr>
                <w:rFonts w:hint="eastAsia" w:ascii="宋体" w:hAnsi="宋体" w:eastAsia="宋体" w:cs="宋体"/>
                <w:color w:val="000000"/>
                <w:kern w:val="0"/>
                <w:sz w:val="15"/>
                <w:szCs w:val="15"/>
                <w:highlight w:val="none"/>
                <w:lang w:eastAsia="zh-CN"/>
              </w:rPr>
              <w:t>或者不符合条件</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监理</w:t>
            </w:r>
            <w:r>
              <w:rPr>
                <w:rFonts w:hint="eastAsia" w:ascii="宋体" w:hAnsi="宋体" w:eastAsia="宋体" w:cs="宋体"/>
                <w:color w:val="000000"/>
                <w:kern w:val="0"/>
                <w:sz w:val="15"/>
                <w:szCs w:val="15"/>
                <w:highlight w:val="none"/>
              </w:rPr>
              <w:t>人员从事监理业务</w:t>
            </w:r>
          </w:p>
        </w:tc>
        <w:tc>
          <w:tcPr>
            <w:tcW w:w="2793" w:type="dxa"/>
            <w:gridSpan w:val="2"/>
            <w:tcBorders>
              <w:top w:val="nil"/>
              <w:left w:val="nil"/>
              <w:bottom w:val="single" w:color="auto" w:sz="4" w:space="0"/>
              <w:right w:val="single" w:color="auto" w:sz="4" w:space="0"/>
            </w:tcBorders>
            <w:noWrap w:val="0"/>
            <w:vAlign w:val="center"/>
          </w:tcPr>
          <w:p w14:paraId="3196875D">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十五</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三十七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noWrap w:val="0"/>
            <w:vAlign w:val="center"/>
          </w:tcPr>
          <w:p w14:paraId="592B1B2B">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0"/>
            <w:vAlign w:val="center"/>
          </w:tcPr>
          <w:p w14:paraId="5237336D">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noWrap w:val="0"/>
            <w:vAlign w:val="center"/>
          </w:tcPr>
          <w:p w14:paraId="6624A537">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1.涉及1-2名监理人员，系数为0；涉及3-4名监理人员，系数为1；涉及5名及以上监理人员，系数为2。2.涉及总监理工程师，系数加1；造成严重影响的，系数加2。3</w:t>
            </w:r>
            <w:r>
              <w:rPr>
                <w:rFonts w:hint="eastAsia" w:ascii="宋体" w:hAnsi="宋体" w:eastAsia="宋体" w:cs="宋体"/>
                <w:color w:val="000000"/>
                <w:kern w:val="0"/>
                <w:sz w:val="15"/>
                <w:szCs w:val="15"/>
                <w:highlight w:val="none"/>
              </w:rPr>
              <w:t>.存在基准2.1.3规定情形的，系数按照相关规定确定（基准2.1.3.5不适用）。</w:t>
            </w:r>
          </w:p>
          <w:p w14:paraId="4D0F6173">
            <w:pPr>
              <w:widowControl/>
              <w:jc w:val="left"/>
              <w:rPr>
                <w:rFonts w:hint="eastAsia" w:ascii="宋体" w:hAnsi="宋体" w:eastAsia="宋体" w:cs="宋体"/>
                <w:color w:val="000000"/>
                <w:kern w:val="0"/>
                <w:sz w:val="15"/>
                <w:szCs w:val="15"/>
                <w:highlight w:val="none"/>
                <w:lang w:val="en-US" w:eastAsia="zh-CN" w:bidi="ar-SA"/>
              </w:rPr>
            </w:pPr>
          </w:p>
        </w:tc>
        <w:tc>
          <w:tcPr>
            <w:tcW w:w="1881" w:type="dxa"/>
            <w:gridSpan w:val="2"/>
            <w:tcBorders>
              <w:top w:val="nil"/>
              <w:left w:val="nil"/>
              <w:bottom w:val="single" w:color="auto" w:sz="4" w:space="0"/>
              <w:right w:val="single" w:color="auto" w:sz="4" w:space="0"/>
            </w:tcBorders>
            <w:noWrap w:val="0"/>
            <w:vAlign w:val="center"/>
          </w:tcPr>
          <w:p w14:paraId="7F151ACC">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14:paraId="6FC5A85F">
            <w:pPr>
              <w:widowControl/>
              <w:numPr>
                <w:ilvl w:val="0"/>
                <w:numId w:val="9"/>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14:paraId="5B5187EA">
            <w:pPr>
              <w:widowControl/>
              <w:numPr>
                <w:ilvl w:val="0"/>
                <w:numId w:val="0"/>
              </w:numPr>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14:paraId="08FAD9B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66" w:hRule="atLeast"/>
        </w:trPr>
        <w:tc>
          <w:tcPr>
            <w:tcW w:w="612" w:type="dxa"/>
            <w:gridSpan w:val="2"/>
            <w:tcBorders>
              <w:top w:val="nil"/>
              <w:left w:val="single" w:color="auto" w:sz="4" w:space="0"/>
              <w:bottom w:val="single" w:color="auto" w:sz="4" w:space="0"/>
              <w:right w:val="single" w:color="auto" w:sz="4" w:space="0"/>
            </w:tcBorders>
            <w:noWrap w:val="0"/>
            <w:vAlign w:val="center"/>
          </w:tcPr>
          <w:p w14:paraId="6EA8ACA8">
            <w:pPr>
              <w:widowControl/>
              <w:jc w:val="center"/>
              <w:rPr>
                <w:rFonts w:hint="eastAsia" w:ascii="Times New Roman" w:hAnsi="Times New Roman" w:eastAsia="宋体" w:cs="Times New Roman"/>
                <w:color w:val="000000"/>
                <w:kern w:val="0"/>
                <w:sz w:val="15"/>
                <w:szCs w:val="15"/>
                <w:highlight w:val="none"/>
                <w:lang w:val="en-US" w:eastAsia="zh-CN" w:bidi="ar-SA"/>
              </w:rPr>
            </w:pPr>
            <w:bookmarkStart w:id="304" w:name="_Toc218468874"/>
            <w:r>
              <w:rPr>
                <w:rFonts w:ascii="Times New Roman" w:hAnsi="Times New Roman" w:eastAsia="宋体" w:cs="Times New Roman"/>
                <w:color w:val="000000"/>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02CFEBE0">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水利工程建设监理单位拒绝提供或者篡改、伪造工程建设监理文件和资料</w:t>
            </w:r>
          </w:p>
        </w:tc>
        <w:tc>
          <w:tcPr>
            <w:tcW w:w="2793" w:type="dxa"/>
            <w:gridSpan w:val="2"/>
            <w:tcBorders>
              <w:top w:val="nil"/>
              <w:left w:val="nil"/>
              <w:bottom w:val="single" w:color="auto" w:sz="4" w:space="0"/>
              <w:right w:val="single" w:color="auto" w:sz="4" w:space="0"/>
            </w:tcBorders>
            <w:noWrap w:val="0"/>
            <w:vAlign w:val="center"/>
          </w:tcPr>
          <w:p w14:paraId="3940A568">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违反条款：第三十条第（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四</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noWrap w:val="0"/>
            <w:vAlign w:val="center"/>
          </w:tcPr>
          <w:p w14:paraId="462D1FEE">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0"/>
            <w:vAlign w:val="center"/>
          </w:tcPr>
          <w:p w14:paraId="5A9B7EF2">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w:t>
            </w:r>
          </w:p>
        </w:tc>
        <w:tc>
          <w:tcPr>
            <w:tcW w:w="3430" w:type="dxa"/>
            <w:gridSpan w:val="2"/>
            <w:tcBorders>
              <w:top w:val="nil"/>
              <w:left w:val="nil"/>
              <w:bottom w:val="single" w:color="auto" w:sz="4" w:space="0"/>
              <w:right w:val="single" w:color="auto" w:sz="4" w:space="0"/>
            </w:tcBorders>
            <w:noWrap w:val="0"/>
            <w:vAlign w:val="center"/>
          </w:tcPr>
          <w:p w14:paraId="1444BFDB">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1.涉及1类文件资料，系数为0；涉及2类文件资料，系数为1；涉及3类及以上文件资料，系数为2。2.造成严重影响的，系数加2。3</w:t>
            </w:r>
            <w:r>
              <w:rPr>
                <w:rFonts w:hint="eastAsia" w:ascii="宋体" w:hAnsi="宋体" w:eastAsia="宋体" w:cs="宋体"/>
                <w:color w:val="000000"/>
                <w:kern w:val="0"/>
                <w:sz w:val="15"/>
                <w:szCs w:val="15"/>
                <w:highlight w:val="none"/>
              </w:rPr>
              <w:t>.存在基准2.1.3规定情形的，系数按照相关规定确定（基准</w:t>
            </w:r>
            <w:r>
              <w:rPr>
                <w:rFonts w:hint="eastAsia" w:ascii="宋体" w:hAnsi="宋体" w:eastAsia="宋体" w:cs="宋体"/>
                <w:color w:val="000000"/>
                <w:kern w:val="0"/>
                <w:sz w:val="15"/>
                <w:szCs w:val="15"/>
                <w:highlight w:val="none"/>
                <w:lang w:val="en-US"/>
              </w:rPr>
              <w:t>2.1.3.2</w:t>
            </w:r>
            <w:r>
              <w:rPr>
                <w:rFonts w:hint="eastAsia" w:ascii="宋体" w:hAnsi="宋体" w:eastAsia="宋体" w:cs="宋体"/>
                <w:color w:val="000000"/>
                <w:kern w:val="0"/>
                <w:sz w:val="15"/>
                <w:szCs w:val="15"/>
                <w:highlight w:val="none"/>
                <w:lang w:val="en-US" w:eastAsia="zh-CN"/>
              </w:rPr>
              <w:t>、</w:t>
            </w:r>
            <w:r>
              <w:rPr>
                <w:rFonts w:hint="eastAsia" w:ascii="宋体" w:hAnsi="宋体" w:eastAsia="宋体" w:cs="宋体"/>
                <w:color w:val="000000"/>
                <w:kern w:val="0"/>
                <w:sz w:val="15"/>
                <w:szCs w:val="15"/>
                <w:highlight w:val="none"/>
              </w:rPr>
              <w:t>2.1.3.5不适用）。</w:t>
            </w:r>
          </w:p>
          <w:p w14:paraId="5B9F96A1">
            <w:pPr>
              <w:widowControl/>
              <w:jc w:val="center"/>
              <w:rPr>
                <w:rFonts w:hint="eastAsia" w:ascii="宋体" w:hAnsi="宋体" w:eastAsia="宋体" w:cs="宋体"/>
                <w:color w:val="000000"/>
                <w:kern w:val="0"/>
                <w:sz w:val="15"/>
                <w:szCs w:val="15"/>
                <w:highlight w:val="none"/>
                <w:lang w:val="en-US" w:eastAsia="zh-CN" w:bidi="ar-SA"/>
              </w:rPr>
            </w:pPr>
          </w:p>
        </w:tc>
        <w:tc>
          <w:tcPr>
            <w:tcW w:w="1881" w:type="dxa"/>
            <w:gridSpan w:val="2"/>
            <w:tcBorders>
              <w:top w:val="nil"/>
              <w:left w:val="nil"/>
              <w:bottom w:val="single" w:color="auto" w:sz="4" w:space="0"/>
              <w:right w:val="single" w:color="auto" w:sz="4" w:space="0"/>
            </w:tcBorders>
            <w:noWrap w:val="0"/>
            <w:vAlign w:val="center"/>
          </w:tcPr>
          <w:p w14:paraId="718FAC25">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14:paraId="4D33DEDE">
            <w:pPr>
              <w:widowControl/>
              <w:numPr>
                <w:ilvl w:val="0"/>
                <w:numId w:val="10"/>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14:paraId="5753D766">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14:paraId="332D6B9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7061352D">
            <w:pPr>
              <w:widowControl/>
              <w:jc w:val="center"/>
              <w:outlineLvl w:val="1"/>
              <w:rPr>
                <w:rFonts w:hint="eastAsia" w:ascii="宋体" w:hAnsi="宋体" w:eastAsia="宋体" w:cs="宋体"/>
                <w:color w:val="auto"/>
                <w:kern w:val="0"/>
                <w:szCs w:val="21"/>
                <w:highlight w:val="none"/>
              </w:rPr>
            </w:pPr>
            <w:bookmarkStart w:id="305" w:name="_Toc1386978898"/>
            <w:bookmarkStart w:id="306" w:name="_Toc1083469754"/>
            <w:r>
              <w:rPr>
                <w:rFonts w:hint="eastAsia" w:ascii="宋体" w:hAnsi="宋体" w:eastAsia="宋体" w:cs="宋体"/>
                <w:b/>
                <w:bCs/>
                <w:color w:val="auto"/>
                <w:kern w:val="0"/>
                <w:szCs w:val="21"/>
                <w:highlight w:val="none"/>
              </w:rPr>
              <w:t>《水利工程质量检测管理规定》案由5项</w:t>
            </w:r>
            <w:bookmarkEnd w:id="304"/>
            <w:bookmarkEnd w:id="305"/>
            <w:bookmarkEnd w:id="306"/>
          </w:p>
        </w:tc>
      </w:tr>
      <w:tr w14:paraId="5A54C81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3F4F86E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63DCBC1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未取得相应的资质，擅自承担检测业务</w:t>
            </w:r>
          </w:p>
        </w:tc>
        <w:tc>
          <w:tcPr>
            <w:tcW w:w="2793" w:type="dxa"/>
            <w:gridSpan w:val="2"/>
            <w:tcBorders>
              <w:top w:val="nil"/>
              <w:left w:val="nil"/>
              <w:bottom w:val="single" w:color="auto" w:sz="4" w:space="0"/>
              <w:right w:val="single" w:color="auto" w:sz="4" w:space="0"/>
            </w:tcBorders>
            <w:noWrap w:val="0"/>
            <w:vAlign w:val="center"/>
          </w:tcPr>
          <w:p w14:paraId="582D323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处罚条款：第二十四条，责令改正，可并处1万元以上3万元以下的罚款。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1246E9D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6471FB9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161F547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6ED9FFB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10F3229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6A3A0B8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457DB3A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1F93EDE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隐瞒有关情况或者提供虚假材料申请资质</w:t>
            </w:r>
          </w:p>
        </w:tc>
        <w:tc>
          <w:tcPr>
            <w:tcW w:w="2793" w:type="dxa"/>
            <w:gridSpan w:val="2"/>
            <w:tcBorders>
              <w:top w:val="nil"/>
              <w:left w:val="nil"/>
              <w:bottom w:val="single" w:color="auto" w:sz="4" w:space="0"/>
              <w:right w:val="single" w:color="auto" w:sz="4" w:space="0"/>
            </w:tcBorders>
            <w:noWrap w:val="0"/>
            <w:vAlign w:val="center"/>
          </w:tcPr>
          <w:p w14:paraId="4A7EBE0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处罚条款：第二十五条，给予警告或者通报批评，二年之内不得再次申请资质。</w:t>
            </w:r>
          </w:p>
        </w:tc>
        <w:tc>
          <w:tcPr>
            <w:tcW w:w="864" w:type="dxa"/>
            <w:gridSpan w:val="2"/>
            <w:tcBorders>
              <w:top w:val="nil"/>
              <w:left w:val="nil"/>
              <w:bottom w:val="single" w:color="auto" w:sz="4" w:space="0"/>
              <w:right w:val="single" w:color="auto" w:sz="4" w:space="0"/>
            </w:tcBorders>
            <w:noWrap w:val="0"/>
            <w:vAlign w:val="center"/>
          </w:tcPr>
          <w:p w14:paraId="7D11839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5B756F5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38988E3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（一）隐瞒或者提供虚假材料申请乙级资质的，给予警告；（二）隐瞒或者提供虚假材料申请甲级资质或造成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恶劣影响的，给予通报批评。</w:t>
            </w:r>
          </w:p>
        </w:tc>
        <w:tc>
          <w:tcPr>
            <w:tcW w:w="1881" w:type="dxa"/>
            <w:gridSpan w:val="2"/>
            <w:tcBorders>
              <w:top w:val="nil"/>
              <w:left w:val="nil"/>
              <w:bottom w:val="single" w:color="auto" w:sz="4" w:space="0"/>
              <w:right w:val="single" w:color="auto" w:sz="4" w:space="0"/>
            </w:tcBorders>
            <w:noWrap w:val="0"/>
            <w:vAlign w:val="center"/>
          </w:tcPr>
          <w:p w14:paraId="50F3522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0836CFE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4A6DEB0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56BD74B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14:paraId="721059D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以欺骗、贿赂等不正当手段取得《资质等级证书》</w:t>
            </w:r>
          </w:p>
        </w:tc>
        <w:tc>
          <w:tcPr>
            <w:tcW w:w="2793" w:type="dxa"/>
            <w:gridSpan w:val="2"/>
            <w:tcBorders>
              <w:top w:val="nil"/>
              <w:left w:val="nil"/>
              <w:bottom w:val="single" w:color="auto" w:sz="4" w:space="0"/>
              <w:right w:val="single" w:color="auto" w:sz="4" w:space="0"/>
            </w:tcBorders>
            <w:noWrap w:val="0"/>
            <w:vAlign w:val="center"/>
          </w:tcPr>
          <w:p w14:paraId="58BB9EB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处罚条款：第二十六条，3年内不得再次申请，可并处1万元以上3万元以下的罚款。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099DBF7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3DCFF92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4B2B689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1.以欺骗、贿赂等不正当手段取得乙级资质，系数为0；2.以欺骗、贿赂等不正当手段取得甲级资质，系数为1；3.造成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BE8362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0EBC11A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F661EF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548C3B4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14:paraId="46A10A3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水利工程质量检测单位超出资质等级范围从事检测活动</w:t>
            </w:r>
          </w:p>
        </w:tc>
        <w:tc>
          <w:tcPr>
            <w:tcW w:w="2793" w:type="dxa"/>
            <w:gridSpan w:val="2"/>
            <w:tcBorders>
              <w:top w:val="nil"/>
              <w:left w:val="nil"/>
              <w:bottom w:val="single" w:color="auto" w:sz="4" w:space="0"/>
              <w:right w:val="single" w:color="auto" w:sz="4" w:space="0"/>
            </w:tcBorders>
            <w:noWrap w:val="0"/>
            <w:vAlign w:val="center"/>
          </w:tcPr>
          <w:p w14:paraId="74B6A62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处罚条款：第二十七条第一款第（一）项，责令改正，有违法所得的，没收违法所得，可并处1万元以上3万元以下的罚款。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381AE99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526D4A9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3091B81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7612EF9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6DABC9B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491B2D5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2785699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14:paraId="3D0FB57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水利工程质量检测单位涂改、倒卖、出租、出借或者以其他形式非法转让《资质等级证书》</w:t>
            </w:r>
          </w:p>
        </w:tc>
        <w:tc>
          <w:tcPr>
            <w:tcW w:w="2793" w:type="dxa"/>
            <w:gridSpan w:val="2"/>
            <w:tcBorders>
              <w:top w:val="nil"/>
              <w:left w:val="nil"/>
              <w:bottom w:val="single" w:color="auto" w:sz="4" w:space="0"/>
              <w:right w:val="single" w:color="auto" w:sz="4" w:space="0"/>
            </w:tcBorders>
            <w:noWrap w:val="0"/>
            <w:vAlign w:val="center"/>
          </w:tcPr>
          <w:p w14:paraId="585629C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处罚条款：第二十七条第一款第（二）项，责令改正，有违法所得的，没收违法所得，可并处1万元以上3万元以下的罚款。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6B7487A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4E9EC7E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66C0228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系数为2。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12D2773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3AAAAC2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1EBF6F6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23DBE1BE">
            <w:pPr>
              <w:widowControl/>
              <w:jc w:val="center"/>
              <w:outlineLvl w:val="1"/>
              <w:rPr>
                <w:rFonts w:hint="eastAsia" w:ascii="宋体" w:hAnsi="宋体" w:eastAsia="宋体" w:cs="宋体"/>
                <w:color w:val="auto"/>
                <w:kern w:val="0"/>
                <w:szCs w:val="21"/>
                <w:highlight w:val="none"/>
              </w:rPr>
            </w:pPr>
            <w:bookmarkStart w:id="307" w:name="_Toc218468875"/>
            <w:bookmarkStart w:id="308" w:name="_Toc1980735967"/>
            <w:bookmarkStart w:id="309" w:name="_Toc466093567"/>
            <w:r>
              <w:rPr>
                <w:rFonts w:hint="eastAsia" w:ascii="宋体" w:hAnsi="宋体" w:eastAsia="宋体" w:cs="宋体"/>
                <w:b/>
                <w:bCs/>
                <w:color w:val="auto"/>
                <w:kern w:val="0"/>
                <w:szCs w:val="21"/>
                <w:highlight w:val="none"/>
              </w:rPr>
              <w:t>《市政公用事业特许经营管理办法》案由1项</w:t>
            </w:r>
            <w:bookmarkEnd w:id="307"/>
            <w:bookmarkEnd w:id="308"/>
            <w:bookmarkEnd w:id="309"/>
          </w:p>
        </w:tc>
      </w:tr>
      <w:tr w14:paraId="0B300E0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7112832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4433678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以欺骗、贿赂等不正当手段获得水务特许经营权的企业</w:t>
            </w:r>
          </w:p>
        </w:tc>
        <w:tc>
          <w:tcPr>
            <w:tcW w:w="2793" w:type="dxa"/>
            <w:gridSpan w:val="2"/>
            <w:tcBorders>
              <w:top w:val="nil"/>
              <w:left w:val="nil"/>
              <w:bottom w:val="single" w:color="auto" w:sz="4" w:space="0"/>
              <w:right w:val="single" w:color="auto" w:sz="4" w:space="0"/>
            </w:tcBorders>
            <w:noWrap w:val="0"/>
            <w:vAlign w:val="center"/>
          </w:tcPr>
          <w:p w14:paraId="2CC74EF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处罚条款：第二十八条，取消其特许经营权，三年内不得参与市政公用事业特许经营竞标。</w:t>
            </w:r>
          </w:p>
        </w:tc>
        <w:tc>
          <w:tcPr>
            <w:tcW w:w="864" w:type="dxa"/>
            <w:gridSpan w:val="2"/>
            <w:tcBorders>
              <w:top w:val="nil"/>
              <w:left w:val="nil"/>
              <w:bottom w:val="single" w:color="auto" w:sz="4" w:space="0"/>
              <w:right w:val="single" w:color="auto" w:sz="4" w:space="0"/>
            </w:tcBorders>
            <w:noWrap w:val="0"/>
            <w:vAlign w:val="center"/>
          </w:tcPr>
          <w:p w14:paraId="5EB991B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1CCB9AD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1235E01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17B33B5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4B71BDF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48AF88F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53AE1CCB">
            <w:pPr>
              <w:widowControl/>
              <w:jc w:val="center"/>
              <w:outlineLvl w:val="1"/>
              <w:rPr>
                <w:rFonts w:hint="eastAsia" w:ascii="宋体" w:hAnsi="宋体" w:eastAsia="宋体" w:cs="宋体"/>
                <w:color w:val="auto"/>
                <w:kern w:val="0"/>
                <w:szCs w:val="21"/>
                <w:highlight w:val="none"/>
              </w:rPr>
            </w:pPr>
            <w:bookmarkStart w:id="310" w:name="_Toc218468876"/>
            <w:bookmarkStart w:id="311" w:name="_Toc734146450"/>
            <w:bookmarkStart w:id="312" w:name="_Toc986997971"/>
            <w:r>
              <w:rPr>
                <w:rFonts w:hint="eastAsia" w:ascii="宋体" w:hAnsi="宋体" w:eastAsia="宋体" w:cs="宋体"/>
                <w:b/>
                <w:bCs/>
                <w:color w:val="auto"/>
                <w:kern w:val="0"/>
                <w:szCs w:val="21"/>
                <w:highlight w:val="none"/>
              </w:rPr>
              <w:t>《注册造价工程师管理办法》案由3项</w:t>
            </w:r>
            <w:bookmarkEnd w:id="310"/>
            <w:bookmarkEnd w:id="311"/>
            <w:bookmarkEnd w:id="312"/>
          </w:p>
        </w:tc>
      </w:tr>
      <w:tr w14:paraId="31827CE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3883112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546CB88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未经注册而以注册造价工程师的名义从事水利工程造价活动</w:t>
            </w:r>
          </w:p>
        </w:tc>
        <w:tc>
          <w:tcPr>
            <w:tcW w:w="2793" w:type="dxa"/>
            <w:gridSpan w:val="2"/>
            <w:tcBorders>
              <w:top w:val="nil"/>
              <w:left w:val="nil"/>
              <w:bottom w:val="single" w:color="auto" w:sz="4" w:space="0"/>
              <w:right w:val="single" w:color="auto" w:sz="4" w:space="0"/>
            </w:tcBorders>
            <w:noWrap w:val="0"/>
            <w:vAlign w:val="center"/>
          </w:tcPr>
          <w:p w14:paraId="388130A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处罚条款：第三十四条，给予警告，责令停止违法活动，并可处以1万元以上3万元以下的罚款。</w:t>
            </w:r>
          </w:p>
        </w:tc>
        <w:tc>
          <w:tcPr>
            <w:tcW w:w="864" w:type="dxa"/>
            <w:gridSpan w:val="2"/>
            <w:tcBorders>
              <w:top w:val="nil"/>
              <w:left w:val="nil"/>
              <w:bottom w:val="single" w:color="auto" w:sz="4" w:space="0"/>
              <w:right w:val="single" w:color="auto" w:sz="4" w:space="0"/>
            </w:tcBorders>
            <w:noWrap w:val="0"/>
            <w:vAlign w:val="center"/>
          </w:tcPr>
          <w:p w14:paraId="797340D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4FD23F7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1DDB93C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造价咨询合同金额＜10万，系数为0；2.10万≤造价咨询合同金额＜50万，系数为1；3.50万≤造价咨询合同金额，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599751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4AA4A80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777890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373F1C3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15F3995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注册造价工程师未办理变更注册而继续执业并参与水利工程造价活动</w:t>
            </w:r>
          </w:p>
        </w:tc>
        <w:tc>
          <w:tcPr>
            <w:tcW w:w="2793" w:type="dxa"/>
            <w:gridSpan w:val="2"/>
            <w:tcBorders>
              <w:top w:val="nil"/>
              <w:left w:val="nil"/>
              <w:bottom w:val="single" w:color="auto" w:sz="4" w:space="0"/>
              <w:right w:val="single" w:color="auto" w:sz="4" w:space="0"/>
            </w:tcBorders>
            <w:noWrap w:val="0"/>
            <w:vAlign w:val="center"/>
          </w:tcPr>
          <w:p w14:paraId="230ACC4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处罚条款：第三十五条，责令限期改正；逾期未改正，可处以5000元以下的罚款。</w:t>
            </w:r>
          </w:p>
        </w:tc>
        <w:tc>
          <w:tcPr>
            <w:tcW w:w="864" w:type="dxa"/>
            <w:gridSpan w:val="2"/>
            <w:tcBorders>
              <w:top w:val="nil"/>
              <w:left w:val="nil"/>
              <w:bottom w:val="single" w:color="auto" w:sz="4" w:space="0"/>
              <w:right w:val="single" w:color="auto" w:sz="4" w:space="0"/>
            </w:tcBorders>
            <w:noWrap w:val="0"/>
            <w:vAlign w:val="center"/>
          </w:tcPr>
          <w:p w14:paraId="79C8958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 </w:t>
            </w:r>
          </w:p>
        </w:tc>
        <w:tc>
          <w:tcPr>
            <w:tcW w:w="840" w:type="dxa"/>
            <w:tcBorders>
              <w:top w:val="nil"/>
              <w:left w:val="nil"/>
              <w:bottom w:val="single" w:color="auto" w:sz="4" w:space="0"/>
              <w:right w:val="single" w:color="auto" w:sz="4" w:space="0"/>
            </w:tcBorders>
            <w:noWrap w:val="0"/>
            <w:vAlign w:val="center"/>
          </w:tcPr>
          <w:p w14:paraId="030095A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3C3030E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价咨询合同金额＜10万，系数为0；2.10万≤造价咨询合同金额＜20万，系数为2；3.20万≤造价咨询合同金额＜30万，系数为4；4.30万≤造价咨询合同金额＜50万，系数为6；5.50万≤造价咨询合同金额，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8E97E4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14:paraId="5C6F3B3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14:paraId="63874C8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14:paraId="671C84A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14:paraId="6E38ADD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注册造价师存在禁止的行为</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14:paraId="10F19EF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处罚条款：第三十六条，给予警告，责令改正，没有违法所得的，处以1万元以下罚款，有违法所得的，处以违法所得3倍以下且不超过3万元的罚款。</w:t>
            </w:r>
          </w:p>
        </w:tc>
        <w:tc>
          <w:tcPr>
            <w:tcW w:w="864" w:type="dxa"/>
            <w:gridSpan w:val="2"/>
            <w:tcBorders>
              <w:top w:val="nil"/>
              <w:left w:val="nil"/>
              <w:bottom w:val="single" w:color="auto" w:sz="4" w:space="0"/>
              <w:right w:val="single" w:color="auto" w:sz="4" w:space="0"/>
            </w:tcBorders>
            <w:noWrap w:val="0"/>
            <w:vAlign w:val="center"/>
          </w:tcPr>
          <w:p w14:paraId="0940CA9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14:paraId="2EDF492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46D94DC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给予警告，并处以下罚款：1.未造成危害后果，系数为0；2.影响项目造价准确性，系数为4；3.导致工程质量事故，系数为9。4.存在基准2.1.3规定情形的，系数按照相关规定确定（基准2.1.3.5不适用）。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3D162A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14:paraId="1C8C4AF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14:paraId="43B028D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02A77488">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2E8D7112">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0382F92A">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042B7C6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w:t>
            </w:r>
          </w:p>
        </w:tc>
        <w:tc>
          <w:tcPr>
            <w:tcW w:w="840" w:type="dxa"/>
            <w:tcBorders>
              <w:top w:val="nil"/>
              <w:left w:val="nil"/>
              <w:bottom w:val="single" w:color="auto" w:sz="4" w:space="0"/>
              <w:right w:val="single" w:color="auto" w:sz="4" w:space="0"/>
            </w:tcBorders>
            <w:noWrap w:val="0"/>
            <w:vAlign w:val="center"/>
          </w:tcPr>
          <w:p w14:paraId="416CBDC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525FFC2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给予警告，并处以下罚款：1.未造成危害后果，系数为0；2.影响项目造价准确性，系数为1；3.导致工程质量事故，系数为2。4.存在基准2.1.3规定情形的，系数按照相关规定确定（基准2.1.3.5不适用）。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EF1CE4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noWrap w:val="0"/>
            <w:vAlign w:val="center"/>
          </w:tcPr>
          <w:p w14:paraId="4F8E0BE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需要作出违法所得1倍以下且不超过3万元罚款决定的，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69ACD7D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5F29F37C">
            <w:pPr>
              <w:widowControl/>
              <w:jc w:val="center"/>
              <w:outlineLvl w:val="0"/>
              <w:rPr>
                <w:rFonts w:ascii="Times New Roman" w:hAnsi="Times New Roman" w:eastAsia="宋体" w:cs="Times New Roman"/>
                <w:color w:val="auto"/>
                <w:kern w:val="0"/>
                <w:sz w:val="28"/>
                <w:szCs w:val="28"/>
                <w:highlight w:val="none"/>
              </w:rPr>
            </w:pPr>
            <w:bookmarkStart w:id="313" w:name="_Toc218468877"/>
            <w:bookmarkStart w:id="314" w:name="_Toc904582335"/>
            <w:bookmarkStart w:id="315" w:name="_Toc1944288638"/>
            <w:r>
              <w:rPr>
                <w:rFonts w:hint="eastAsia" w:ascii="黑体" w:hAnsi="黑体" w:eastAsia="黑体" w:cs="黑体"/>
                <w:color w:val="auto"/>
                <w:kern w:val="0"/>
                <w:sz w:val="28"/>
                <w:szCs w:val="28"/>
                <w:highlight w:val="none"/>
              </w:rPr>
              <w:t>水文与水行政许可管理方面</w:t>
            </w:r>
            <w:bookmarkEnd w:id="313"/>
            <w:bookmarkEnd w:id="314"/>
            <w:bookmarkEnd w:id="315"/>
          </w:p>
        </w:tc>
      </w:tr>
      <w:tr w14:paraId="2785E7B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20E6DBEB">
            <w:pPr>
              <w:widowControl/>
              <w:jc w:val="center"/>
              <w:outlineLvl w:val="1"/>
              <w:rPr>
                <w:rFonts w:hint="eastAsia" w:ascii="宋体" w:hAnsi="宋体" w:eastAsia="宋体" w:cs="宋体"/>
                <w:color w:val="auto"/>
                <w:kern w:val="0"/>
                <w:szCs w:val="21"/>
                <w:highlight w:val="none"/>
              </w:rPr>
            </w:pPr>
            <w:bookmarkStart w:id="316" w:name="_Toc12838676"/>
            <w:bookmarkStart w:id="317" w:name="_Toc218468878"/>
            <w:bookmarkStart w:id="318" w:name="_Toc587339941"/>
            <w:r>
              <w:rPr>
                <w:rFonts w:hint="eastAsia" w:ascii="宋体" w:hAnsi="宋体" w:eastAsia="宋体" w:cs="宋体"/>
                <w:b/>
                <w:bCs/>
                <w:color w:val="auto"/>
                <w:kern w:val="0"/>
                <w:szCs w:val="21"/>
                <w:highlight w:val="none"/>
              </w:rPr>
              <w:t>《中华人民共和国水文条例》案由5项</w:t>
            </w:r>
            <w:bookmarkEnd w:id="316"/>
            <w:bookmarkEnd w:id="317"/>
            <w:bookmarkEnd w:id="318"/>
          </w:p>
        </w:tc>
      </w:tr>
      <w:tr w14:paraId="7890E07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2F5EECE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01506BF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不符合规定的条件从事水文活动</w:t>
            </w:r>
          </w:p>
        </w:tc>
        <w:tc>
          <w:tcPr>
            <w:tcW w:w="2793" w:type="dxa"/>
            <w:gridSpan w:val="2"/>
            <w:tcBorders>
              <w:top w:val="nil"/>
              <w:left w:val="nil"/>
              <w:bottom w:val="single" w:color="auto" w:sz="4" w:space="0"/>
              <w:right w:val="single" w:color="auto" w:sz="4" w:space="0"/>
            </w:tcBorders>
            <w:noWrap w:val="0"/>
            <w:vAlign w:val="center"/>
          </w:tcPr>
          <w:p w14:paraId="41F7ED3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处罚条款：第三十八条，责令停止违法行为，没收违法所得，并处5万元以上10万元以下罚款。</w:t>
            </w:r>
          </w:p>
        </w:tc>
        <w:tc>
          <w:tcPr>
            <w:tcW w:w="864" w:type="dxa"/>
            <w:gridSpan w:val="2"/>
            <w:tcBorders>
              <w:top w:val="nil"/>
              <w:left w:val="nil"/>
              <w:bottom w:val="single" w:color="auto" w:sz="4" w:space="0"/>
              <w:right w:val="single" w:color="auto" w:sz="4" w:space="0"/>
            </w:tcBorders>
            <w:noWrap w:val="0"/>
            <w:vAlign w:val="center"/>
          </w:tcPr>
          <w:p w14:paraId="3657A07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14:paraId="21803B6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269EB4D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1.不符合本条例第二十四条规定的1项条件，系数为0，每增加1项，系数加1。2.存在基准2.1.3规定情形的，系数按照相关规定确定（基准2.1.3.5不适用）。同时没收违法所得。</w:t>
            </w:r>
          </w:p>
        </w:tc>
        <w:tc>
          <w:tcPr>
            <w:tcW w:w="1881" w:type="dxa"/>
            <w:gridSpan w:val="2"/>
            <w:tcBorders>
              <w:top w:val="nil"/>
              <w:left w:val="nil"/>
              <w:bottom w:val="single" w:color="auto" w:sz="4" w:space="0"/>
              <w:right w:val="single" w:color="auto" w:sz="4" w:space="0"/>
            </w:tcBorders>
            <w:noWrap w:val="0"/>
            <w:vAlign w:val="center"/>
          </w:tcPr>
          <w:p w14:paraId="48A704C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14:paraId="1299B4D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64D4F5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4696AE7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354B2F5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拒不汇交水文监测资料</w:t>
            </w:r>
          </w:p>
        </w:tc>
        <w:tc>
          <w:tcPr>
            <w:tcW w:w="2793" w:type="dxa"/>
            <w:gridSpan w:val="2"/>
            <w:tcBorders>
              <w:top w:val="nil"/>
              <w:left w:val="nil"/>
              <w:bottom w:val="single" w:color="auto" w:sz="4" w:space="0"/>
              <w:right w:val="single" w:color="auto" w:sz="4" w:space="0"/>
            </w:tcBorders>
            <w:noWrap w:val="0"/>
            <w:vAlign w:val="center"/>
          </w:tcPr>
          <w:p w14:paraId="0D7311F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处罚条款：第三十七条第一款，责令停止违法行为，处1万元以上5万元以下罚款。</w:t>
            </w:r>
          </w:p>
        </w:tc>
        <w:tc>
          <w:tcPr>
            <w:tcW w:w="864" w:type="dxa"/>
            <w:gridSpan w:val="2"/>
            <w:tcBorders>
              <w:top w:val="nil"/>
              <w:left w:val="nil"/>
              <w:bottom w:val="single" w:color="auto" w:sz="4" w:space="0"/>
              <w:right w:val="single" w:color="auto" w:sz="4" w:space="0"/>
            </w:tcBorders>
            <w:noWrap w:val="0"/>
            <w:vAlign w:val="center"/>
          </w:tcPr>
          <w:p w14:paraId="6F7EB6E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09A3B1F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467ADEC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1.因拒不汇交资料导致重大隐患、恶劣影响、严重后果的，系数为4。2.存在基准2.1.3规定情形的，系数按照相关规定确定（基准2.1.3.5不适用）。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CB4ADF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48CC6C1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59D0D7F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7DF4EBE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14:paraId="4D2DA15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非法向社会传播水文情报预报，造成严重经济损失和不良影响</w:t>
            </w:r>
          </w:p>
        </w:tc>
        <w:tc>
          <w:tcPr>
            <w:tcW w:w="2793" w:type="dxa"/>
            <w:gridSpan w:val="2"/>
            <w:tcBorders>
              <w:top w:val="nil"/>
              <w:left w:val="nil"/>
              <w:bottom w:val="single" w:color="auto" w:sz="4" w:space="0"/>
              <w:right w:val="single" w:color="auto" w:sz="4" w:space="0"/>
            </w:tcBorders>
            <w:noWrap w:val="0"/>
            <w:vAlign w:val="center"/>
          </w:tcPr>
          <w:p w14:paraId="7B52FEB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处罚条款：第四十条第一款第（二）项，责令停止违法行为，处1万元以上5万元以下罚款。</w:t>
            </w:r>
          </w:p>
        </w:tc>
        <w:tc>
          <w:tcPr>
            <w:tcW w:w="864" w:type="dxa"/>
            <w:gridSpan w:val="2"/>
            <w:tcBorders>
              <w:top w:val="nil"/>
              <w:left w:val="nil"/>
              <w:bottom w:val="single" w:color="auto" w:sz="4" w:space="0"/>
              <w:right w:val="single" w:color="auto" w:sz="4" w:space="0"/>
            </w:tcBorders>
            <w:noWrap w:val="0"/>
            <w:vAlign w:val="center"/>
          </w:tcPr>
          <w:p w14:paraId="15C03A5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4D49842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5EFD955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直接经济损失＜5万元或不良影响范围局限于街道乡镇，系数为0；2.5万≤直接经济损失＜10万或不良影响范围扩大至区级行政区域，系数为1；3.10万≤直接经济损失＜20万或不良影响波及多个区级行政区域，系数为2；4.20万≤直接经济损失＜50万或不良影响波及全市，系数为3；5.50万≤直接经济损失或不良影响波及全市并外溢</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省市，系数为4。6.存在基准2.1.3规定情形的，系数按照相关规定确定（基准2.1.3.5不适用）。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8A7D6C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1ABAF49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5D636FF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21C0830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14:paraId="57CE203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在水文监测环境保护范围内种植高秆作物、堆放物料、修建建筑物以及其他禁止性活动</w:t>
            </w:r>
          </w:p>
        </w:tc>
        <w:tc>
          <w:tcPr>
            <w:tcW w:w="2793" w:type="dxa"/>
            <w:gridSpan w:val="2"/>
            <w:tcBorders>
              <w:top w:val="nil"/>
              <w:left w:val="nil"/>
              <w:bottom w:val="single" w:color="auto" w:sz="4" w:space="0"/>
              <w:right w:val="single" w:color="auto" w:sz="4" w:space="0"/>
            </w:tcBorders>
            <w:noWrap w:val="0"/>
            <w:vAlign w:val="center"/>
          </w:tcPr>
          <w:p w14:paraId="4DAF62A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处罚条款：第四十三条，责令停止违法行为，限期恢复原状或者采取其他补救措施，可以处1万元以下罚款。</w:t>
            </w:r>
          </w:p>
        </w:tc>
        <w:tc>
          <w:tcPr>
            <w:tcW w:w="864" w:type="dxa"/>
            <w:gridSpan w:val="2"/>
            <w:tcBorders>
              <w:top w:val="nil"/>
              <w:left w:val="nil"/>
              <w:bottom w:val="single" w:color="auto" w:sz="4" w:space="0"/>
              <w:right w:val="single" w:color="auto" w:sz="4" w:space="0"/>
            </w:tcBorders>
            <w:noWrap w:val="0"/>
            <w:vAlign w:val="center"/>
          </w:tcPr>
          <w:p w14:paraId="6A58459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 </w:t>
            </w:r>
          </w:p>
        </w:tc>
        <w:tc>
          <w:tcPr>
            <w:tcW w:w="840" w:type="dxa"/>
            <w:tcBorders>
              <w:top w:val="nil"/>
              <w:left w:val="nil"/>
              <w:bottom w:val="single" w:color="auto" w:sz="4" w:space="0"/>
              <w:right w:val="single" w:color="auto" w:sz="4" w:space="0"/>
            </w:tcBorders>
            <w:noWrap w:val="0"/>
            <w:vAlign w:val="center"/>
          </w:tcPr>
          <w:p w14:paraId="31440BF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32CFED4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1.面积＜50平方米，系数为0；2.50平方米≤面积＜100平方米，系数为1；3.100平方米≤面积＜200平方米，系数为2；4.200平方米≤面积＜300平方米，系数为3；5.300平方米≤面积，或者造成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4E8709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罚款金额=2000×（1+情节系数）</w:t>
            </w:r>
          </w:p>
        </w:tc>
        <w:tc>
          <w:tcPr>
            <w:tcW w:w="1973" w:type="dxa"/>
            <w:gridSpan w:val="2"/>
            <w:tcBorders>
              <w:top w:val="nil"/>
              <w:left w:val="nil"/>
              <w:bottom w:val="single" w:color="auto" w:sz="4" w:space="0"/>
              <w:right w:val="single" w:color="auto" w:sz="4" w:space="0"/>
            </w:tcBorders>
            <w:noWrap w:val="0"/>
            <w:vAlign w:val="center"/>
          </w:tcPr>
          <w:p w14:paraId="48187A2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需要作出2000元以下罚款决定的，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3CF4B14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1557F87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14:paraId="6414ABA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侵占、毁坏水文监测设施或者未经批准擅自移动、擅自使用水文监测设施</w:t>
            </w:r>
          </w:p>
        </w:tc>
        <w:tc>
          <w:tcPr>
            <w:tcW w:w="2793" w:type="dxa"/>
            <w:gridSpan w:val="2"/>
            <w:tcBorders>
              <w:top w:val="nil"/>
              <w:left w:val="nil"/>
              <w:bottom w:val="single" w:color="auto" w:sz="4" w:space="0"/>
              <w:right w:val="single" w:color="auto" w:sz="4" w:space="0"/>
            </w:tcBorders>
            <w:noWrap w:val="0"/>
            <w:vAlign w:val="center"/>
          </w:tcPr>
          <w:p w14:paraId="33658FB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处罚条款：第四十二条，责令停止违法行为，限期恢复原状或者采取其他补救措施，可以处5万元以下罚款。</w:t>
            </w:r>
          </w:p>
        </w:tc>
        <w:tc>
          <w:tcPr>
            <w:tcW w:w="864" w:type="dxa"/>
            <w:gridSpan w:val="2"/>
            <w:tcBorders>
              <w:top w:val="nil"/>
              <w:left w:val="nil"/>
              <w:bottom w:val="single" w:color="auto" w:sz="4" w:space="0"/>
              <w:right w:val="single" w:color="auto" w:sz="4" w:space="0"/>
            </w:tcBorders>
            <w:noWrap w:val="0"/>
            <w:vAlign w:val="center"/>
          </w:tcPr>
          <w:p w14:paraId="3933355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 </w:t>
            </w:r>
          </w:p>
        </w:tc>
        <w:tc>
          <w:tcPr>
            <w:tcW w:w="840" w:type="dxa"/>
            <w:tcBorders>
              <w:top w:val="nil"/>
              <w:left w:val="nil"/>
              <w:bottom w:val="single" w:color="auto" w:sz="4" w:space="0"/>
              <w:right w:val="single" w:color="auto" w:sz="4" w:space="0"/>
            </w:tcBorders>
            <w:noWrap w:val="0"/>
            <w:vAlign w:val="center"/>
          </w:tcPr>
          <w:p w14:paraId="032007B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0080C2D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1.违法行为发生地点在区级河道，系数为0；2.违法行为发生地点在市级河道，系数为3；3.违法行为发生地点在国家级河道，系数为6；4.造成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恶劣影响，系数为9；5.违法行为发生在汛期或侵占、毁坏、擅自移动、擅自使用3处以上，系数加3。6.存在基准2.1.3规定情形的，系数按照相关规定确定（基准2.1.3.5不适用）。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E61B4E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w:t>
            </w:r>
            <w:r>
              <w:rPr>
                <w:rFonts w:hint="eastAsia" w:ascii="宋体" w:hAnsi="宋体" w:eastAsia="宋体" w:cs="宋体"/>
                <w:color w:val="auto"/>
                <w:kern w:val="0"/>
                <w:sz w:val="15"/>
                <w:szCs w:val="15"/>
                <w:highlight w:val="none"/>
                <w:lang w:val="en-US" w:eastAsia="zh-CN"/>
              </w:rPr>
              <w:t>5</w:t>
            </w:r>
            <w:r>
              <w:rPr>
                <w:rFonts w:hint="eastAsia" w:ascii="宋体" w:hAnsi="宋体" w:eastAsia="宋体" w:cs="宋体"/>
                <w:color w:val="auto"/>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14:paraId="7EF5A5F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7CDF363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ign w:val="center"/>
          </w:tcPr>
          <w:p w14:paraId="3AAB070B">
            <w:pPr>
              <w:widowControl/>
              <w:jc w:val="center"/>
              <w:outlineLvl w:val="1"/>
              <w:rPr>
                <w:rFonts w:hint="eastAsia" w:ascii="宋体" w:hAnsi="宋体" w:eastAsia="宋体" w:cs="宋体"/>
                <w:color w:val="auto"/>
                <w:kern w:val="0"/>
                <w:szCs w:val="21"/>
                <w:highlight w:val="none"/>
              </w:rPr>
            </w:pPr>
            <w:bookmarkStart w:id="319" w:name="_Toc871765378"/>
            <w:bookmarkStart w:id="320" w:name="_Toc218468879"/>
            <w:bookmarkStart w:id="321" w:name="_Toc1888080768"/>
            <w:r>
              <w:rPr>
                <w:rFonts w:hint="eastAsia" w:ascii="宋体" w:hAnsi="宋体" w:eastAsia="宋体" w:cs="宋体"/>
                <w:b/>
                <w:bCs/>
                <w:color w:val="auto"/>
                <w:kern w:val="0"/>
                <w:szCs w:val="21"/>
                <w:highlight w:val="none"/>
              </w:rPr>
              <w:t>《中华人民共和国行政许可法》《水行政许可实施办法》案由4项</w:t>
            </w:r>
            <w:bookmarkEnd w:id="319"/>
            <w:bookmarkEnd w:id="320"/>
            <w:bookmarkEnd w:id="321"/>
          </w:p>
        </w:tc>
      </w:tr>
      <w:tr w14:paraId="50936AF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570" w:hRule="atLeast"/>
        </w:trPr>
        <w:tc>
          <w:tcPr>
            <w:tcW w:w="612" w:type="dxa"/>
            <w:gridSpan w:val="2"/>
            <w:tcBorders>
              <w:top w:val="nil"/>
              <w:left w:val="single" w:color="auto" w:sz="4" w:space="0"/>
              <w:bottom w:val="single" w:color="auto" w:sz="4" w:space="0"/>
              <w:right w:val="single" w:color="auto" w:sz="4" w:space="0"/>
            </w:tcBorders>
            <w:noWrap/>
            <w:vAlign w:val="center"/>
          </w:tcPr>
          <w:p w14:paraId="5B3AE1F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72F5B0B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水行政许可申请人隐瞒有关情况或者提供虚假材料申请水行政许可</w:t>
            </w:r>
          </w:p>
        </w:tc>
        <w:tc>
          <w:tcPr>
            <w:tcW w:w="2793" w:type="dxa"/>
            <w:gridSpan w:val="2"/>
            <w:tcBorders>
              <w:top w:val="nil"/>
              <w:left w:val="nil"/>
              <w:bottom w:val="single" w:color="auto" w:sz="4" w:space="0"/>
              <w:right w:val="single" w:color="auto" w:sz="4" w:space="0"/>
            </w:tcBorders>
            <w:noWrap w:val="0"/>
            <w:vAlign w:val="center"/>
          </w:tcPr>
          <w:p w14:paraId="3B5ECDE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处罚条款：《办法》第五十五条，给予警告。</w:t>
            </w:r>
          </w:p>
        </w:tc>
        <w:tc>
          <w:tcPr>
            <w:tcW w:w="864" w:type="dxa"/>
            <w:gridSpan w:val="2"/>
            <w:tcBorders>
              <w:top w:val="nil"/>
              <w:left w:val="nil"/>
              <w:bottom w:val="single" w:color="auto" w:sz="4" w:space="0"/>
              <w:right w:val="single" w:color="auto" w:sz="4" w:space="0"/>
            </w:tcBorders>
            <w:noWrap w:val="0"/>
            <w:vAlign w:val="center"/>
          </w:tcPr>
          <w:p w14:paraId="76FA466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2C2A80F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369D8E4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72E6010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2F929E8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612F4D6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14:paraId="7B1292D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14:paraId="75F0340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被许可人以欺骗、贿赂等不正当手段取得水行政许可</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14:paraId="6597E6D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违反条款：《办法》第五十条第二款；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六条，给予警告。被许可人从事非经营活动的，可以处一千元以下罚款；被许可人从事经营活动，有违法所得的，可以处违法所得三倍以下罚款，但是最高不得超过三万元，没有违法所得的，可以处一万元以下罚款，法律、法规另有规定的除外。</w:t>
            </w:r>
          </w:p>
        </w:tc>
        <w:tc>
          <w:tcPr>
            <w:tcW w:w="864" w:type="dxa"/>
            <w:gridSpan w:val="2"/>
            <w:tcBorders>
              <w:top w:val="nil"/>
              <w:left w:val="nil"/>
              <w:bottom w:val="single" w:color="auto" w:sz="4" w:space="0"/>
              <w:right w:val="single" w:color="auto" w:sz="4" w:space="0"/>
            </w:tcBorders>
            <w:noWrap w:val="0"/>
            <w:vAlign w:val="center"/>
          </w:tcPr>
          <w:p w14:paraId="1FF2118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noWrap w:val="0"/>
            <w:vAlign w:val="center"/>
          </w:tcPr>
          <w:p w14:paraId="185EFA7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7A2C603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3F2603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14:paraId="73B9DEF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14:paraId="12313F4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049BC6F6">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5D3E29B5">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564F8A6D">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34421D5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noWrap w:val="0"/>
            <w:vAlign w:val="center"/>
          </w:tcPr>
          <w:p w14:paraId="79293FE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2180F22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B0DAC4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1973" w:type="dxa"/>
            <w:gridSpan w:val="2"/>
            <w:tcBorders>
              <w:top w:val="nil"/>
              <w:left w:val="nil"/>
              <w:bottom w:val="single" w:color="auto" w:sz="4" w:space="0"/>
              <w:right w:val="single" w:color="auto" w:sz="4" w:space="0"/>
            </w:tcBorders>
            <w:noWrap w:val="0"/>
            <w:vAlign w:val="center"/>
          </w:tcPr>
          <w:p w14:paraId="4BEFC88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0DF5DB0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25051A10">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10B59B7D">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623BC480">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458D292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noWrap w:val="0"/>
            <w:vAlign w:val="center"/>
          </w:tcPr>
          <w:p w14:paraId="6EB565C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2B2981A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D883D5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14:paraId="0CFD015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09D050F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14:paraId="25BAEB2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14:paraId="5287EA8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未经水行政许可，擅自从事依法应当取得水行政许可的活动</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14:paraId="7C9EB23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违反条款：《办法》第十七条；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八条，责令停止违法行为，并给予警告。当事人从事非经营活动的，可以处一千元以下罚款；当事人从事经营活动，有违法所得的，可以处违法所得三倍以下罚款，但是最高不得超过三万元，没有违法所得的，可以处一万元以下罚款，法律、法规另有规定的除外。</w:t>
            </w:r>
          </w:p>
        </w:tc>
        <w:tc>
          <w:tcPr>
            <w:tcW w:w="864" w:type="dxa"/>
            <w:gridSpan w:val="2"/>
            <w:tcBorders>
              <w:top w:val="nil"/>
              <w:left w:val="nil"/>
              <w:bottom w:val="single" w:color="auto" w:sz="4" w:space="0"/>
              <w:right w:val="single" w:color="auto" w:sz="4" w:space="0"/>
            </w:tcBorders>
            <w:noWrap w:val="0"/>
            <w:vAlign w:val="center"/>
          </w:tcPr>
          <w:p w14:paraId="1CAE1F2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noWrap w:val="0"/>
            <w:vAlign w:val="center"/>
          </w:tcPr>
          <w:p w14:paraId="25652DD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5BCBD15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24728E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14:paraId="2567FDC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14:paraId="3679B69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6A9B172B">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6705B7DF">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42B371AA">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7D4DF29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noWrap w:val="0"/>
            <w:vAlign w:val="center"/>
          </w:tcPr>
          <w:p w14:paraId="3A880F9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7B754FE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F83C1E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1973" w:type="dxa"/>
            <w:gridSpan w:val="2"/>
            <w:tcBorders>
              <w:top w:val="nil"/>
              <w:left w:val="nil"/>
              <w:bottom w:val="single" w:color="auto" w:sz="4" w:space="0"/>
              <w:right w:val="single" w:color="auto" w:sz="4" w:space="0"/>
            </w:tcBorders>
            <w:noWrap w:val="0"/>
            <w:vAlign w:val="center"/>
          </w:tcPr>
          <w:p w14:paraId="52E03B0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69BAF50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1EB5FAD4">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5E3815FB">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5CB991B6">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1F49E80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noWrap w:val="0"/>
            <w:vAlign w:val="center"/>
          </w:tcPr>
          <w:p w14:paraId="19B5031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7AE01E3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60E607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14:paraId="7523DBB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299D12E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14:paraId="61205D8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vMerge w:val="restart"/>
            <w:tcBorders>
              <w:top w:val="nil"/>
              <w:left w:val="single" w:color="auto" w:sz="4" w:space="0"/>
              <w:bottom w:val="single" w:color="auto" w:sz="4" w:space="0"/>
              <w:right w:val="single" w:color="auto" w:sz="4" w:space="0"/>
            </w:tcBorders>
            <w:noWrap w:val="0"/>
            <w:vAlign w:val="center"/>
          </w:tcPr>
          <w:p w14:paraId="5233DA2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涂改、倒卖、出租、出借行政许可证件，或者以其他形式非法转让行政许可、超越行政许可范围进行活动以及向负责监督检查的行政机关隐瞒有关情况、提供虚假材料或者拒绝提供反映其活动情况的真实材料</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14:paraId="4F35112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违反条款：《行政许可法》第八十条；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办法》第五十七条，给予警告或者降低水行政许可资格（质）等级。被许可人从事非经营活动的，可以处一千元以下罚款；被许可人从事经营活动，有违法所得的，可以处违法所得三倍以下罚款，但是最高不得超过三万元，没有违法所得的，可以处一万元以下罚款，法律、法规另有规定的除外。</w:t>
            </w:r>
          </w:p>
        </w:tc>
        <w:tc>
          <w:tcPr>
            <w:tcW w:w="864" w:type="dxa"/>
            <w:gridSpan w:val="2"/>
            <w:tcBorders>
              <w:top w:val="nil"/>
              <w:left w:val="nil"/>
              <w:bottom w:val="single" w:color="auto" w:sz="4" w:space="0"/>
              <w:right w:val="single" w:color="auto" w:sz="4" w:space="0"/>
            </w:tcBorders>
            <w:noWrap w:val="0"/>
            <w:vAlign w:val="center"/>
          </w:tcPr>
          <w:p w14:paraId="1414111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500（从事非经营活动的）</w:t>
            </w:r>
          </w:p>
        </w:tc>
        <w:tc>
          <w:tcPr>
            <w:tcW w:w="840" w:type="dxa"/>
            <w:tcBorders>
              <w:top w:val="nil"/>
              <w:left w:val="nil"/>
              <w:bottom w:val="single" w:color="auto" w:sz="4" w:space="0"/>
              <w:right w:val="single" w:color="auto" w:sz="4" w:space="0"/>
            </w:tcBorders>
            <w:noWrap w:val="0"/>
            <w:vAlign w:val="center"/>
          </w:tcPr>
          <w:p w14:paraId="21A2CB0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5BA3022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E1BA16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14:paraId="1FDD5F5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r>
      <w:tr w14:paraId="713E385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4C30F69E">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259F418A">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0677BB1B">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40370ED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违法所得（从事经营活动且有违法所得的）×1倍</w:t>
            </w:r>
          </w:p>
        </w:tc>
        <w:tc>
          <w:tcPr>
            <w:tcW w:w="840" w:type="dxa"/>
            <w:tcBorders>
              <w:top w:val="nil"/>
              <w:left w:val="nil"/>
              <w:bottom w:val="single" w:color="auto" w:sz="4" w:space="0"/>
              <w:right w:val="single" w:color="auto" w:sz="4" w:space="0"/>
            </w:tcBorders>
            <w:noWrap w:val="0"/>
            <w:vAlign w:val="center"/>
          </w:tcPr>
          <w:p w14:paraId="32AF3CE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2D24C92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DFC5B1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罚款金额=违法所得×1倍×（1+情节系数）</w:t>
            </w:r>
          </w:p>
        </w:tc>
        <w:tc>
          <w:tcPr>
            <w:tcW w:w="1973" w:type="dxa"/>
            <w:gridSpan w:val="2"/>
            <w:tcBorders>
              <w:top w:val="nil"/>
              <w:left w:val="nil"/>
              <w:bottom w:val="single" w:color="auto" w:sz="4" w:space="0"/>
              <w:right w:val="single" w:color="auto" w:sz="4" w:space="0"/>
            </w:tcBorders>
            <w:noWrap w:val="0"/>
            <w:vAlign w:val="center"/>
          </w:tcPr>
          <w:p w14:paraId="232BC81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（一）需要作出1倍以下罚款决定的，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r>
      <w:tr w14:paraId="60573C8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2FE8EA04">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757789E8">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3A012B2A">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435A4D0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5000（从事经营活动且无违法所得的）</w:t>
            </w:r>
          </w:p>
        </w:tc>
        <w:tc>
          <w:tcPr>
            <w:tcW w:w="840" w:type="dxa"/>
            <w:tcBorders>
              <w:top w:val="nil"/>
              <w:left w:val="nil"/>
              <w:bottom w:val="single" w:color="auto" w:sz="4" w:space="0"/>
              <w:right w:val="single" w:color="auto" w:sz="4" w:space="0"/>
            </w:tcBorders>
            <w:noWrap w:val="0"/>
            <w:vAlign w:val="center"/>
          </w:tcPr>
          <w:p w14:paraId="4973F84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5661CD0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给予警告，并处以下罚款：1.属于直接关系防洪安全、水利工程安全、水生态环境安全、人民群众生命财产安全事项的，系数为1。2.存在基准2.1.3规定情形的，系数按照相关规定确定（基准2.1.3.5不适用）。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C87C96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14:paraId="58A807A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（二）拟作出降低水行政许可资格（质）等级的，在作出处罚决定前，要邀请行业主管部门共同会商。</w:t>
            </w:r>
          </w:p>
        </w:tc>
      </w:tr>
      <w:tr w14:paraId="2FC8898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4B06AC13">
            <w:pPr>
              <w:widowControl/>
              <w:jc w:val="center"/>
              <w:outlineLvl w:val="0"/>
              <w:rPr>
                <w:rFonts w:ascii="Times New Roman" w:hAnsi="Times New Roman" w:eastAsia="宋体" w:cs="Times New Roman"/>
                <w:color w:val="auto"/>
                <w:kern w:val="0"/>
                <w:sz w:val="28"/>
                <w:szCs w:val="28"/>
                <w:highlight w:val="none"/>
              </w:rPr>
            </w:pPr>
            <w:bookmarkStart w:id="322" w:name="_Toc962402114"/>
            <w:bookmarkStart w:id="323" w:name="_Toc1931890835"/>
            <w:bookmarkStart w:id="324" w:name="_Toc218468880"/>
            <w:r>
              <w:rPr>
                <w:rFonts w:hint="eastAsia" w:ascii="黑体" w:hAnsi="黑体" w:eastAsia="黑体" w:cs="黑体"/>
                <w:color w:val="auto"/>
                <w:kern w:val="0"/>
                <w:sz w:val="28"/>
                <w:szCs w:val="28"/>
                <w:highlight w:val="none"/>
              </w:rPr>
              <w:t>水务移民管理方面</w:t>
            </w:r>
            <w:bookmarkEnd w:id="322"/>
            <w:bookmarkEnd w:id="323"/>
            <w:bookmarkEnd w:id="324"/>
          </w:p>
        </w:tc>
      </w:tr>
      <w:tr w14:paraId="4CA9D87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137D1DE6">
            <w:pPr>
              <w:widowControl/>
              <w:jc w:val="center"/>
              <w:outlineLvl w:val="1"/>
              <w:rPr>
                <w:rFonts w:hint="eastAsia" w:ascii="宋体" w:hAnsi="宋体" w:eastAsia="宋体" w:cs="宋体"/>
                <w:color w:val="auto"/>
                <w:kern w:val="0"/>
                <w:szCs w:val="21"/>
                <w:highlight w:val="none"/>
              </w:rPr>
            </w:pPr>
            <w:bookmarkStart w:id="325" w:name="_Toc218468881"/>
            <w:bookmarkStart w:id="326" w:name="_Toc715202099"/>
            <w:bookmarkStart w:id="327" w:name="_Toc667239925"/>
            <w:r>
              <w:rPr>
                <w:rFonts w:hint="eastAsia" w:ascii="宋体" w:hAnsi="宋体" w:eastAsia="宋体" w:cs="宋体"/>
                <w:b/>
                <w:bCs/>
                <w:color w:val="auto"/>
                <w:kern w:val="0"/>
                <w:szCs w:val="21"/>
                <w:highlight w:val="none"/>
              </w:rPr>
              <w:t>《大中型水利水电工程建设征地补偿和移民安置条例》案由3项</w:t>
            </w:r>
            <w:bookmarkEnd w:id="325"/>
            <w:bookmarkEnd w:id="326"/>
            <w:bookmarkEnd w:id="327"/>
          </w:p>
        </w:tc>
      </w:tr>
      <w:tr w14:paraId="79DB6AE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14:paraId="4DDDA44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vMerge w:val="restart"/>
            <w:tcBorders>
              <w:top w:val="nil"/>
              <w:left w:val="single" w:color="auto" w:sz="4" w:space="0"/>
              <w:bottom w:val="single" w:color="auto" w:sz="4" w:space="0"/>
              <w:right w:val="single" w:color="auto" w:sz="4" w:space="0"/>
            </w:tcBorders>
            <w:noWrap w:val="0"/>
            <w:vAlign w:val="center"/>
          </w:tcPr>
          <w:p w14:paraId="5022A36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在编制移民安置规划大纲、移民安置规划、水库移民后期扶持规划，或者进行实物调查、移民安置监督评估中弄虚作假</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14:paraId="606F2F8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处罚条款：第五十九条，责令改正，对有关单位处10万元以上50万元以下的罚款；对直接负责的主管人员和其他直接责任人员处1万元以上5万元以下的罚款。</w:t>
            </w:r>
          </w:p>
        </w:tc>
        <w:tc>
          <w:tcPr>
            <w:tcW w:w="864" w:type="dxa"/>
            <w:gridSpan w:val="2"/>
            <w:tcBorders>
              <w:top w:val="nil"/>
              <w:left w:val="nil"/>
              <w:bottom w:val="single" w:color="auto" w:sz="4" w:space="0"/>
              <w:right w:val="single" w:color="auto" w:sz="4" w:space="0"/>
            </w:tcBorders>
            <w:noWrap w:val="0"/>
            <w:vAlign w:val="center"/>
          </w:tcPr>
          <w:p w14:paraId="1B4F9CE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14:paraId="1C621F5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06D28AA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弄虚作假1处，系数为0；每增加1处，系数加0.8；弄虚作假≥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DCB98A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1810433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02F5BC7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303BD674">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182E080A">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1E93DAB0">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0A47946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（对个人） </w:t>
            </w:r>
          </w:p>
        </w:tc>
        <w:tc>
          <w:tcPr>
            <w:tcW w:w="840" w:type="dxa"/>
            <w:tcBorders>
              <w:top w:val="nil"/>
              <w:left w:val="nil"/>
              <w:bottom w:val="single" w:color="auto" w:sz="4" w:space="0"/>
              <w:right w:val="single" w:color="auto" w:sz="4" w:space="0"/>
            </w:tcBorders>
            <w:noWrap w:val="0"/>
            <w:vAlign w:val="center"/>
          </w:tcPr>
          <w:p w14:paraId="6AF56C8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777405F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弄虚作假1处，系数为0；每增加1处，系数加0.8；弄虚作假≥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5C3C89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48B0305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0A50FA3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79A1024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52F9B78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侵占、截留、挪用大中型水利水电工程建设征地补偿和移民安置资金、水库移民后期扶持资金</w:t>
            </w:r>
          </w:p>
        </w:tc>
        <w:tc>
          <w:tcPr>
            <w:tcW w:w="2793" w:type="dxa"/>
            <w:gridSpan w:val="2"/>
            <w:tcBorders>
              <w:top w:val="nil"/>
              <w:left w:val="nil"/>
              <w:bottom w:val="single" w:color="auto" w:sz="4" w:space="0"/>
              <w:right w:val="single" w:color="auto" w:sz="4" w:space="0"/>
            </w:tcBorders>
            <w:noWrap w:val="0"/>
            <w:vAlign w:val="center"/>
          </w:tcPr>
          <w:p w14:paraId="0C9D979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处罚条款：第六十条，责令退赔，并处侵占、截留、挪用资金额3倍以下的罚款。</w:t>
            </w:r>
          </w:p>
        </w:tc>
        <w:tc>
          <w:tcPr>
            <w:tcW w:w="864" w:type="dxa"/>
            <w:gridSpan w:val="2"/>
            <w:tcBorders>
              <w:top w:val="nil"/>
              <w:left w:val="nil"/>
              <w:bottom w:val="single" w:color="auto" w:sz="4" w:space="0"/>
              <w:right w:val="single" w:color="auto" w:sz="4" w:space="0"/>
            </w:tcBorders>
            <w:noWrap w:val="0"/>
            <w:vAlign w:val="center"/>
          </w:tcPr>
          <w:p w14:paraId="0783562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资金额</w:t>
            </w:r>
          </w:p>
        </w:tc>
        <w:tc>
          <w:tcPr>
            <w:tcW w:w="840" w:type="dxa"/>
            <w:tcBorders>
              <w:top w:val="nil"/>
              <w:left w:val="nil"/>
              <w:bottom w:val="single" w:color="auto" w:sz="4" w:space="0"/>
              <w:right w:val="single" w:color="auto" w:sz="4" w:space="0"/>
            </w:tcBorders>
            <w:noWrap w:val="0"/>
            <w:vAlign w:val="center"/>
          </w:tcPr>
          <w:p w14:paraId="0FB82F5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2ACDA6B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1.造成严重后果或恶劣影响的，系数为2。2.存在基准2.1.3规定情形的，系数按照相关规定确定（基准2.1.3.5不适用）。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061109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罚款金额=资金额×（1+情节系数）</w:t>
            </w:r>
          </w:p>
        </w:tc>
        <w:tc>
          <w:tcPr>
            <w:tcW w:w="1973" w:type="dxa"/>
            <w:gridSpan w:val="2"/>
            <w:tcBorders>
              <w:top w:val="nil"/>
              <w:left w:val="nil"/>
              <w:bottom w:val="single" w:color="auto" w:sz="4" w:space="0"/>
              <w:right w:val="single" w:color="auto" w:sz="4" w:space="0"/>
            </w:tcBorders>
            <w:noWrap w:val="0"/>
            <w:vAlign w:val="center"/>
          </w:tcPr>
          <w:p w14:paraId="10161BD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需要作出3倍以下罚款决定的，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7BEDB13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14:paraId="2E47078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vMerge w:val="restart"/>
            <w:tcBorders>
              <w:top w:val="nil"/>
              <w:left w:val="single" w:color="auto" w:sz="4" w:space="0"/>
              <w:bottom w:val="single" w:color="auto" w:sz="4" w:space="0"/>
              <w:right w:val="single" w:color="auto" w:sz="4" w:space="0"/>
            </w:tcBorders>
            <w:noWrap w:val="0"/>
            <w:vAlign w:val="center"/>
          </w:tcPr>
          <w:p w14:paraId="2101D6C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项目法人未经批准擅自调整或者修改移民安置规划大纲</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14:paraId="3DE7FE7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违反条款：第九条第二款、第十五条第二款；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处罚条款：第五十八条第二款，责令改正，处10万元以上50万元以下的罚款；对直接负责的主管人员和其他直接责任人员处1万元以上5万元以下的罚款。</w:t>
            </w:r>
          </w:p>
        </w:tc>
        <w:tc>
          <w:tcPr>
            <w:tcW w:w="864" w:type="dxa"/>
            <w:gridSpan w:val="2"/>
            <w:tcBorders>
              <w:top w:val="nil"/>
              <w:left w:val="nil"/>
              <w:bottom w:val="single" w:color="auto" w:sz="4" w:space="0"/>
              <w:right w:val="single" w:color="auto" w:sz="4" w:space="0"/>
            </w:tcBorders>
            <w:noWrap w:val="0"/>
            <w:vAlign w:val="center"/>
          </w:tcPr>
          <w:p w14:paraId="4F15F99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（对单位）</w:t>
            </w:r>
          </w:p>
        </w:tc>
        <w:tc>
          <w:tcPr>
            <w:tcW w:w="840" w:type="dxa"/>
            <w:tcBorders>
              <w:top w:val="nil"/>
              <w:left w:val="nil"/>
              <w:bottom w:val="single" w:color="auto" w:sz="4" w:space="0"/>
              <w:right w:val="single" w:color="auto" w:sz="4" w:space="0"/>
            </w:tcBorders>
            <w:noWrap w:val="0"/>
            <w:vAlign w:val="center"/>
          </w:tcPr>
          <w:p w14:paraId="08BBD05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678BBC2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擅自调整或者修改1处，系数为0；每增加1处，系数加0.8；擅自调整或者修改≥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186C66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5D5C82F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1F2C658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2E03F7C5">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14FC7726">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046F5A26">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103F9AD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 xml:space="preserve">（对个人） </w:t>
            </w:r>
          </w:p>
        </w:tc>
        <w:tc>
          <w:tcPr>
            <w:tcW w:w="840" w:type="dxa"/>
            <w:tcBorders>
              <w:top w:val="nil"/>
              <w:left w:val="nil"/>
              <w:bottom w:val="single" w:color="auto" w:sz="4" w:space="0"/>
              <w:right w:val="single" w:color="auto" w:sz="4" w:space="0"/>
            </w:tcBorders>
            <w:noWrap w:val="0"/>
            <w:vAlign w:val="center"/>
          </w:tcPr>
          <w:p w14:paraId="5BECB4E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3E467E2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严重后果或恶劣影响的，擅自调整或者修改1处，系数为0；每增加1处，系数加0.8；擅自调整或者修改≥6处，系数为4；2.造成严重后果或恶劣影响的，系数为4。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13617F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1F7C5F7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0E393F0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4B38104D">
            <w:pPr>
              <w:widowControl/>
              <w:jc w:val="center"/>
              <w:outlineLvl w:val="0"/>
              <w:rPr>
                <w:rFonts w:ascii="Times New Roman" w:hAnsi="Times New Roman" w:eastAsia="宋体" w:cs="Times New Roman"/>
                <w:color w:val="auto"/>
                <w:kern w:val="0"/>
                <w:sz w:val="28"/>
                <w:szCs w:val="28"/>
                <w:highlight w:val="none"/>
              </w:rPr>
            </w:pPr>
            <w:bookmarkStart w:id="328" w:name="_Toc218468882"/>
            <w:bookmarkStart w:id="329" w:name="_Toc1537757160"/>
            <w:bookmarkStart w:id="330" w:name="_Toc1954588193"/>
            <w:r>
              <w:rPr>
                <w:rFonts w:hint="eastAsia" w:ascii="黑体" w:hAnsi="黑体" w:eastAsia="黑体" w:cs="黑体"/>
                <w:color w:val="auto"/>
                <w:kern w:val="0"/>
                <w:sz w:val="28"/>
                <w:szCs w:val="28"/>
                <w:highlight w:val="none"/>
              </w:rPr>
              <w:t>防汛抗旱管理方面</w:t>
            </w:r>
            <w:bookmarkEnd w:id="328"/>
            <w:bookmarkEnd w:id="329"/>
            <w:bookmarkEnd w:id="330"/>
          </w:p>
        </w:tc>
      </w:tr>
      <w:tr w14:paraId="4A3A2E5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0F6C17B7">
            <w:pPr>
              <w:widowControl/>
              <w:jc w:val="center"/>
              <w:outlineLvl w:val="1"/>
              <w:rPr>
                <w:rFonts w:hint="eastAsia" w:ascii="宋体" w:hAnsi="宋体" w:eastAsia="宋体" w:cs="宋体"/>
                <w:color w:val="auto"/>
                <w:kern w:val="0"/>
                <w:szCs w:val="21"/>
                <w:highlight w:val="none"/>
              </w:rPr>
            </w:pPr>
            <w:bookmarkStart w:id="331" w:name="_Toc218468883"/>
            <w:bookmarkStart w:id="332" w:name="_Toc63845650"/>
            <w:bookmarkStart w:id="333" w:name="_Toc1964421824"/>
            <w:r>
              <w:rPr>
                <w:rFonts w:hint="eastAsia" w:ascii="宋体" w:hAnsi="宋体" w:eastAsia="宋体" w:cs="宋体"/>
                <w:b/>
                <w:bCs/>
                <w:color w:val="auto"/>
                <w:kern w:val="0"/>
                <w:szCs w:val="21"/>
                <w:highlight w:val="none"/>
              </w:rPr>
              <w:t>《中华人民共和国抗旱条例》案由4项</w:t>
            </w:r>
            <w:bookmarkEnd w:id="331"/>
            <w:bookmarkEnd w:id="332"/>
            <w:bookmarkEnd w:id="333"/>
          </w:p>
        </w:tc>
      </w:tr>
      <w:tr w14:paraId="32E34CD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0C80378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017A55E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水库、水电站、拦河闸坝等工程的管理单位以及其他经营工程设施的经营者拒不服从统一调度和指挥</w:t>
            </w:r>
          </w:p>
        </w:tc>
        <w:tc>
          <w:tcPr>
            <w:tcW w:w="2793" w:type="dxa"/>
            <w:gridSpan w:val="2"/>
            <w:tcBorders>
              <w:top w:val="nil"/>
              <w:left w:val="nil"/>
              <w:bottom w:val="single" w:color="auto" w:sz="4" w:space="0"/>
              <w:right w:val="single" w:color="auto" w:sz="4" w:space="0"/>
            </w:tcBorders>
            <w:noWrap w:val="0"/>
            <w:vAlign w:val="center"/>
          </w:tcPr>
          <w:p w14:paraId="69D5A9C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处罚条款：第六十条，责令改正，给予警告；拒不改正的，强制执行，处1万元以上5万元以下的罚款。</w:t>
            </w:r>
          </w:p>
        </w:tc>
        <w:tc>
          <w:tcPr>
            <w:tcW w:w="864" w:type="dxa"/>
            <w:gridSpan w:val="2"/>
            <w:tcBorders>
              <w:top w:val="nil"/>
              <w:left w:val="nil"/>
              <w:bottom w:val="single" w:color="auto" w:sz="4" w:space="0"/>
              <w:right w:val="single" w:color="auto" w:sz="4" w:space="0"/>
            </w:tcBorders>
            <w:noWrap w:val="0"/>
            <w:vAlign w:val="center"/>
          </w:tcPr>
          <w:p w14:paraId="4731E01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6F00140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3B3816F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一）限期改正，给予警告。（二）拒不改正的，处以下罚款：1.违法行为发生在干旱蓝色预警期间，系数为0；2.违法行为发生在干旱黄色预警期间，系数为1；3.违法行为发生在干旱橙色预警期间，系数为2；4.违法行为发生在干旱红色预警期间，系数为3；5.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6CB41B3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0B04A66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939036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57AE05E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578F80D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侵占、破坏水源和抗旱设施</w:t>
            </w:r>
          </w:p>
        </w:tc>
        <w:tc>
          <w:tcPr>
            <w:tcW w:w="2793" w:type="dxa"/>
            <w:gridSpan w:val="2"/>
            <w:tcBorders>
              <w:top w:val="nil"/>
              <w:left w:val="nil"/>
              <w:bottom w:val="single" w:color="auto" w:sz="4" w:space="0"/>
              <w:right w:val="single" w:color="auto" w:sz="4" w:space="0"/>
            </w:tcBorders>
            <w:noWrap w:val="0"/>
            <w:vAlign w:val="center"/>
          </w:tcPr>
          <w:p w14:paraId="066ECF5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处罚条款：第六十一条，责令停止违法行为，采取补救措施，处1万元以上5万元以下的罚款。</w:t>
            </w:r>
          </w:p>
        </w:tc>
        <w:tc>
          <w:tcPr>
            <w:tcW w:w="864" w:type="dxa"/>
            <w:gridSpan w:val="2"/>
            <w:tcBorders>
              <w:top w:val="nil"/>
              <w:left w:val="nil"/>
              <w:bottom w:val="single" w:color="auto" w:sz="4" w:space="0"/>
              <w:right w:val="single" w:color="auto" w:sz="4" w:space="0"/>
            </w:tcBorders>
            <w:noWrap w:val="0"/>
            <w:vAlign w:val="center"/>
          </w:tcPr>
          <w:p w14:paraId="15D051F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5F3C2EC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257592E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1.违法行为发生在干旱蓝色预警期间，系数为0；2.违法行为发生在干旱黄色预警期间，系数为1；3.违法行为发生在干旱橙色预警期间，系数为2；4.违法行为发生在干旱红色预警期间，系数为3；5.造成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5047ED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0A9C624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26DB89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74F288A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14:paraId="675910D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阻碍、威胁防汛抗旱指挥机构、水行政主管部门或者流域管理机构的工作人员依法执行职务</w:t>
            </w:r>
          </w:p>
        </w:tc>
        <w:tc>
          <w:tcPr>
            <w:tcW w:w="2793" w:type="dxa"/>
            <w:gridSpan w:val="2"/>
            <w:tcBorders>
              <w:top w:val="nil"/>
              <w:left w:val="nil"/>
              <w:bottom w:val="single" w:color="auto" w:sz="4" w:space="0"/>
              <w:right w:val="single" w:color="auto" w:sz="4" w:space="0"/>
            </w:tcBorders>
            <w:noWrap w:val="0"/>
            <w:vAlign w:val="center"/>
          </w:tcPr>
          <w:p w14:paraId="2257F10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处罚条款：第六十三条，责令改正，予以警告。</w:t>
            </w:r>
          </w:p>
        </w:tc>
        <w:tc>
          <w:tcPr>
            <w:tcW w:w="864" w:type="dxa"/>
            <w:gridSpan w:val="2"/>
            <w:tcBorders>
              <w:top w:val="nil"/>
              <w:left w:val="nil"/>
              <w:bottom w:val="single" w:color="auto" w:sz="4" w:space="0"/>
              <w:right w:val="single" w:color="auto" w:sz="4" w:space="0"/>
            </w:tcBorders>
            <w:noWrap w:val="0"/>
            <w:vAlign w:val="center"/>
          </w:tcPr>
          <w:p w14:paraId="0CCA331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3951E93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40FD1A9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3790F41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7B29418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736580A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570" w:hRule="atLeast"/>
        </w:trPr>
        <w:tc>
          <w:tcPr>
            <w:tcW w:w="612" w:type="dxa"/>
            <w:gridSpan w:val="2"/>
            <w:tcBorders>
              <w:top w:val="nil"/>
              <w:left w:val="single" w:color="auto" w:sz="4" w:space="0"/>
              <w:bottom w:val="single" w:color="auto" w:sz="4" w:space="0"/>
              <w:right w:val="single" w:color="auto" w:sz="4" w:space="0"/>
            </w:tcBorders>
            <w:noWrap/>
            <w:vAlign w:val="center"/>
          </w:tcPr>
          <w:p w14:paraId="68542A1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14:paraId="4239A2B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抢水、非法引水、截水</w:t>
            </w:r>
          </w:p>
        </w:tc>
        <w:tc>
          <w:tcPr>
            <w:tcW w:w="2793" w:type="dxa"/>
            <w:gridSpan w:val="2"/>
            <w:tcBorders>
              <w:top w:val="nil"/>
              <w:left w:val="nil"/>
              <w:bottom w:val="single" w:color="auto" w:sz="4" w:space="0"/>
              <w:right w:val="single" w:color="auto" w:sz="4" w:space="0"/>
            </w:tcBorders>
            <w:noWrap w:val="0"/>
            <w:vAlign w:val="center"/>
          </w:tcPr>
          <w:p w14:paraId="2F53F15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处罚条款：第六十二条，责令停止违法行为，予以警告。</w:t>
            </w:r>
          </w:p>
        </w:tc>
        <w:tc>
          <w:tcPr>
            <w:tcW w:w="864" w:type="dxa"/>
            <w:gridSpan w:val="2"/>
            <w:tcBorders>
              <w:top w:val="nil"/>
              <w:left w:val="nil"/>
              <w:bottom w:val="single" w:color="auto" w:sz="4" w:space="0"/>
              <w:right w:val="single" w:color="auto" w:sz="4" w:space="0"/>
            </w:tcBorders>
            <w:noWrap w:val="0"/>
            <w:vAlign w:val="center"/>
          </w:tcPr>
          <w:p w14:paraId="14CD090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0303877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0E98570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252D7AD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741E3E8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19B57E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ign w:val="center"/>
          </w:tcPr>
          <w:p w14:paraId="39133660">
            <w:pPr>
              <w:widowControl/>
              <w:jc w:val="center"/>
              <w:outlineLvl w:val="1"/>
              <w:rPr>
                <w:rFonts w:hint="eastAsia" w:ascii="宋体" w:hAnsi="宋体" w:eastAsia="宋体" w:cs="宋体"/>
                <w:color w:val="auto"/>
                <w:kern w:val="0"/>
                <w:szCs w:val="21"/>
                <w:highlight w:val="none"/>
              </w:rPr>
            </w:pPr>
            <w:bookmarkStart w:id="334" w:name="_Toc1805578450"/>
            <w:bookmarkStart w:id="335" w:name="_Toc218468884"/>
            <w:bookmarkStart w:id="336" w:name="_Toc1440360601"/>
            <w:r>
              <w:rPr>
                <w:rFonts w:hint="eastAsia" w:ascii="宋体" w:hAnsi="宋体" w:eastAsia="宋体" w:cs="宋体"/>
                <w:b/>
                <w:bCs/>
                <w:color w:val="auto"/>
                <w:kern w:val="0"/>
                <w:szCs w:val="21"/>
                <w:highlight w:val="none"/>
              </w:rPr>
              <w:t>《中华人民共和国河道管理条例》案由1项</w:t>
            </w:r>
            <w:bookmarkEnd w:id="334"/>
            <w:bookmarkEnd w:id="335"/>
            <w:bookmarkEnd w:id="336"/>
          </w:p>
        </w:tc>
      </w:tr>
      <w:tr w14:paraId="2580700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6BFE74C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2BBCD50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汛期违反防汛指挥部的规定或者指令</w:t>
            </w:r>
          </w:p>
        </w:tc>
        <w:tc>
          <w:tcPr>
            <w:tcW w:w="2793" w:type="dxa"/>
            <w:gridSpan w:val="2"/>
            <w:tcBorders>
              <w:top w:val="nil"/>
              <w:left w:val="nil"/>
              <w:bottom w:val="single" w:color="auto" w:sz="4" w:space="0"/>
              <w:right w:val="single" w:color="auto" w:sz="4" w:space="0"/>
            </w:tcBorders>
            <w:noWrap w:val="0"/>
            <w:vAlign w:val="center"/>
          </w:tcPr>
          <w:p w14:paraId="53D1103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违反条款：第四十四条第一款第（八）项；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处罚条款：第四十四条第一款第（八）项，责令其纠正违法行为、采取补救措施外，可以并处警告、罚款、没收非法所得。</w:t>
            </w:r>
          </w:p>
        </w:tc>
        <w:tc>
          <w:tcPr>
            <w:tcW w:w="864" w:type="dxa"/>
            <w:gridSpan w:val="2"/>
            <w:tcBorders>
              <w:top w:val="nil"/>
              <w:left w:val="nil"/>
              <w:bottom w:val="single" w:color="auto" w:sz="4" w:space="0"/>
              <w:right w:val="single" w:color="auto" w:sz="4" w:space="0"/>
            </w:tcBorders>
            <w:noWrap w:val="0"/>
            <w:vAlign w:val="center"/>
          </w:tcPr>
          <w:p w14:paraId="7A85604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448B75E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7CB45F4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34C963F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4311FBF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462D298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14:paraId="233FA016">
            <w:pPr>
              <w:widowControl/>
              <w:jc w:val="center"/>
              <w:outlineLvl w:val="0"/>
              <w:rPr>
                <w:rFonts w:ascii="Times New Roman" w:hAnsi="Times New Roman" w:eastAsia="宋体" w:cs="Times New Roman"/>
                <w:color w:val="auto"/>
                <w:kern w:val="0"/>
                <w:sz w:val="28"/>
                <w:szCs w:val="28"/>
                <w:highlight w:val="none"/>
              </w:rPr>
            </w:pPr>
            <w:bookmarkStart w:id="337" w:name="_Toc218468885"/>
            <w:bookmarkStart w:id="338" w:name="_Toc3181134"/>
            <w:bookmarkStart w:id="339" w:name="_Toc323740398"/>
            <w:r>
              <w:rPr>
                <w:rFonts w:hint="eastAsia" w:ascii="黑体" w:hAnsi="黑体" w:eastAsia="黑体" w:cs="黑体"/>
                <w:color w:val="auto"/>
                <w:kern w:val="0"/>
                <w:sz w:val="28"/>
                <w:szCs w:val="28"/>
                <w:highlight w:val="none"/>
              </w:rPr>
              <w:t>水利项目招投标管理方面</w:t>
            </w:r>
            <w:bookmarkEnd w:id="337"/>
            <w:bookmarkEnd w:id="338"/>
            <w:bookmarkEnd w:id="339"/>
          </w:p>
        </w:tc>
      </w:tr>
      <w:tr w14:paraId="74F262E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14:paraId="3445FB38">
            <w:pPr>
              <w:widowControl/>
              <w:jc w:val="center"/>
              <w:outlineLvl w:val="1"/>
              <w:rPr>
                <w:rFonts w:hint="eastAsia" w:ascii="宋体" w:hAnsi="宋体" w:eastAsia="宋体" w:cs="宋体"/>
                <w:color w:val="auto"/>
                <w:kern w:val="0"/>
                <w:szCs w:val="21"/>
                <w:highlight w:val="none"/>
              </w:rPr>
            </w:pPr>
            <w:bookmarkStart w:id="340" w:name="_Toc1989036001"/>
            <w:bookmarkStart w:id="341" w:name="_Toc218468886"/>
            <w:bookmarkStart w:id="342" w:name="_Toc1376045253"/>
            <w:r>
              <w:rPr>
                <w:rFonts w:hint="eastAsia" w:ascii="宋体" w:hAnsi="宋体" w:eastAsia="宋体" w:cs="宋体"/>
                <w:b/>
                <w:bCs/>
                <w:color w:val="auto"/>
                <w:kern w:val="0"/>
                <w:szCs w:val="21"/>
                <w:highlight w:val="none"/>
              </w:rPr>
              <w:t>《中华人民共和国招标投标法》《中华人民共和国招标投标法实施条例》案由9项</w:t>
            </w:r>
            <w:bookmarkEnd w:id="340"/>
            <w:bookmarkEnd w:id="341"/>
            <w:bookmarkEnd w:id="342"/>
          </w:p>
        </w:tc>
      </w:tr>
      <w:tr w14:paraId="1410DC9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567283A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4A58145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必须进行招标的项目而不招标，或者将必须进行招标的项目化整为零或者以其他任何方式规避招标（水利项目）</w:t>
            </w:r>
          </w:p>
        </w:tc>
        <w:tc>
          <w:tcPr>
            <w:tcW w:w="2793" w:type="dxa"/>
            <w:gridSpan w:val="2"/>
            <w:tcBorders>
              <w:top w:val="nil"/>
              <w:left w:val="nil"/>
              <w:bottom w:val="single" w:color="auto" w:sz="4" w:space="0"/>
              <w:right w:val="single" w:color="auto" w:sz="4" w:space="0"/>
            </w:tcBorders>
            <w:noWrap w:val="0"/>
            <w:vAlign w:val="center"/>
          </w:tcPr>
          <w:p w14:paraId="5353CE9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处罚条款：《招标投标法》第四十九条，责令限期改正，可以处项目合同金额千分之五以上千分之十以下的罚款。</w:t>
            </w:r>
          </w:p>
        </w:tc>
        <w:tc>
          <w:tcPr>
            <w:tcW w:w="864" w:type="dxa"/>
            <w:gridSpan w:val="2"/>
            <w:tcBorders>
              <w:top w:val="nil"/>
              <w:left w:val="nil"/>
              <w:bottom w:val="single" w:color="auto" w:sz="4" w:space="0"/>
              <w:right w:val="single" w:color="auto" w:sz="4" w:space="0"/>
            </w:tcBorders>
            <w:noWrap w:val="0"/>
            <w:vAlign w:val="center"/>
          </w:tcPr>
          <w:p w14:paraId="2EF7D97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项目合同金额×5‰</w:t>
            </w:r>
          </w:p>
        </w:tc>
        <w:tc>
          <w:tcPr>
            <w:tcW w:w="840" w:type="dxa"/>
            <w:tcBorders>
              <w:top w:val="nil"/>
              <w:left w:val="nil"/>
              <w:bottom w:val="single" w:color="auto" w:sz="4" w:space="0"/>
              <w:right w:val="single" w:color="auto" w:sz="4" w:space="0"/>
            </w:tcBorders>
            <w:noWrap w:val="0"/>
            <w:vAlign w:val="center"/>
          </w:tcPr>
          <w:p w14:paraId="39C2C22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3F44219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1.项目合同金额＜法定必须招标的金额标准2倍，系数为0；2.法定必须招标的金额标准2倍≤项目合同金额＜法定必须招标的金额标准5倍，系数为0.5；3.法定必须招标的金额标准5倍≤项目合同金额或造成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3730B5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罚款金额=项目合同金额×5‰×（1+情节系数）</w:t>
            </w:r>
          </w:p>
        </w:tc>
        <w:tc>
          <w:tcPr>
            <w:tcW w:w="1973" w:type="dxa"/>
            <w:gridSpan w:val="2"/>
            <w:tcBorders>
              <w:top w:val="nil"/>
              <w:left w:val="nil"/>
              <w:bottom w:val="single" w:color="auto" w:sz="4" w:space="0"/>
              <w:right w:val="single" w:color="auto" w:sz="4" w:space="0"/>
            </w:tcBorders>
            <w:noWrap w:val="0"/>
            <w:vAlign w:val="center"/>
          </w:tcPr>
          <w:p w14:paraId="21DE080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6474727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14:paraId="47B22E5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vMerge w:val="restart"/>
            <w:tcBorders>
              <w:top w:val="nil"/>
              <w:left w:val="single" w:color="auto" w:sz="4" w:space="0"/>
              <w:bottom w:val="single" w:color="auto" w:sz="4" w:space="0"/>
              <w:right w:val="single" w:color="auto" w:sz="4" w:space="0"/>
            </w:tcBorders>
            <w:noWrap w:val="0"/>
            <w:vAlign w:val="center"/>
          </w:tcPr>
          <w:p w14:paraId="389FC0E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招标代理机构泄露应当保密的与招标投标活动有关的情况和资料，或者与招标人、投标人串通损害国家利益、社会公共利益或者他人合法权益（水利项目）</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14:paraId="455DF38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条，处五万元以上二十五万元以下的罚款，对单位直接负责的主管人员和其他直接责任人员处单位罚款数额百分之五以上百分之十以下的罚款；有违法所得的，并处没收违法所得。</w:t>
            </w:r>
          </w:p>
        </w:tc>
        <w:tc>
          <w:tcPr>
            <w:tcW w:w="864" w:type="dxa"/>
            <w:gridSpan w:val="2"/>
            <w:tcBorders>
              <w:top w:val="nil"/>
              <w:left w:val="nil"/>
              <w:bottom w:val="single" w:color="auto" w:sz="4" w:space="0"/>
              <w:right w:val="single" w:color="auto" w:sz="4" w:space="0"/>
            </w:tcBorders>
            <w:noWrap w:val="0"/>
            <w:vAlign w:val="center"/>
          </w:tcPr>
          <w:p w14:paraId="2E28166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50000（对单位）</w:t>
            </w:r>
          </w:p>
        </w:tc>
        <w:tc>
          <w:tcPr>
            <w:tcW w:w="840" w:type="dxa"/>
            <w:tcBorders>
              <w:top w:val="nil"/>
              <w:left w:val="nil"/>
              <w:bottom w:val="single" w:color="auto" w:sz="4" w:space="0"/>
              <w:right w:val="single" w:color="auto" w:sz="4" w:space="0"/>
            </w:tcBorders>
            <w:noWrap w:val="0"/>
            <w:vAlign w:val="center"/>
          </w:tcPr>
          <w:p w14:paraId="58CCAA9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F62C1A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3倍，系数为1；3.法定必须招标的金额标准3倍≤招标控制价＜法定必须招标的金额标准4倍，系数为2；4.法定必须招标的金额标准4倍≤招标控制价＜法定必须招标的金额标准5倍，系数为3；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297983E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14:paraId="0286540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13A5C6C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3AD78EB0">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2C04992B">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0DA7222E">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78E5650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noWrap w:val="0"/>
            <w:vAlign w:val="center"/>
          </w:tcPr>
          <w:p w14:paraId="59019ED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23E2C710">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1.招标控制价＜法定必须招标的金额标准2倍，系数为0；2.法定必须招标的金额标准2倍≤招标控制价＜法定必须招标的金额标准5倍，系数为0.5；3.法定必须招标的金额标准5倍≤招标控制价或造成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68B64BA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14:paraId="2E4BDCB8">
            <w:pPr>
              <w:widowControl/>
              <w:jc w:val="left"/>
              <w:rPr>
                <w:rFonts w:hint="eastAsia" w:ascii="宋体" w:hAnsi="宋体" w:eastAsia="宋体" w:cs="宋体"/>
                <w:color w:val="auto"/>
                <w:kern w:val="0"/>
                <w:sz w:val="15"/>
                <w:szCs w:val="15"/>
                <w:highlight w:val="none"/>
              </w:rPr>
            </w:pPr>
          </w:p>
        </w:tc>
      </w:tr>
      <w:tr w14:paraId="75397DE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70D812C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14:paraId="393207D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招标人以不合理的条件限制或者排斥潜在投标人，对潜在投标人实行歧视待遇，强制要求投标人组成联合体共同投标，或者限制投标人之间竞争（水利项目）</w:t>
            </w:r>
          </w:p>
        </w:tc>
        <w:tc>
          <w:tcPr>
            <w:tcW w:w="2793" w:type="dxa"/>
            <w:gridSpan w:val="2"/>
            <w:tcBorders>
              <w:top w:val="nil"/>
              <w:left w:val="nil"/>
              <w:bottom w:val="single" w:color="auto" w:sz="4" w:space="0"/>
              <w:right w:val="single" w:color="auto" w:sz="4" w:space="0"/>
            </w:tcBorders>
            <w:noWrap w:val="0"/>
            <w:vAlign w:val="center"/>
          </w:tcPr>
          <w:p w14:paraId="0CF7000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处罚条款：《招标投标法》第五十一条，责令改正，可以处一万元以上五万元以下的罚款。</w:t>
            </w:r>
          </w:p>
        </w:tc>
        <w:tc>
          <w:tcPr>
            <w:tcW w:w="864" w:type="dxa"/>
            <w:gridSpan w:val="2"/>
            <w:tcBorders>
              <w:top w:val="nil"/>
              <w:left w:val="nil"/>
              <w:bottom w:val="single" w:color="auto" w:sz="4" w:space="0"/>
              <w:right w:val="single" w:color="auto" w:sz="4" w:space="0"/>
            </w:tcBorders>
            <w:noWrap w:val="0"/>
            <w:vAlign w:val="center"/>
          </w:tcPr>
          <w:p w14:paraId="44EEB6E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14:paraId="728C8AB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6D98BB6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2.法定必须招标的金额标准2倍≤招标控制价＜法定必须招标的金额标准3倍，系数为1；3.法定必须招标的金额标准3倍≤招标控制价＜法定必须招标的金额标准4倍，系数为2；4.法定必须招标的金额标准4倍≤招标控制价＜法定必须招标的金额标准5倍，系数为3；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恶劣影响，系数为4。6.存在基准2.1.3规定情形的，系数按照相关规定确定（基准2.1.3.5不适用）。有违法所得的，没收违法所得。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0CF9874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44D0975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4A67BD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526B237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14:paraId="1586CA6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依法必须进行招标的项目的招标人向他人透露已获取招标文件的潜在投标人的名称、数量或者可能影响公平竞争的有关招标投标的其他情况，或者泄露标底（水利项目）</w:t>
            </w:r>
          </w:p>
        </w:tc>
        <w:tc>
          <w:tcPr>
            <w:tcW w:w="2793" w:type="dxa"/>
            <w:gridSpan w:val="2"/>
            <w:tcBorders>
              <w:top w:val="nil"/>
              <w:left w:val="nil"/>
              <w:bottom w:val="single" w:color="auto" w:sz="4" w:space="0"/>
              <w:right w:val="single" w:color="auto" w:sz="4" w:space="0"/>
            </w:tcBorders>
            <w:noWrap w:val="0"/>
            <w:vAlign w:val="center"/>
          </w:tcPr>
          <w:p w14:paraId="590D387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处罚条款：《招标投标法》第五十二条，给予警告，可以并处一万元以上十万元以下的罚款。</w:t>
            </w:r>
          </w:p>
        </w:tc>
        <w:tc>
          <w:tcPr>
            <w:tcW w:w="864" w:type="dxa"/>
            <w:gridSpan w:val="2"/>
            <w:tcBorders>
              <w:top w:val="nil"/>
              <w:left w:val="nil"/>
              <w:bottom w:val="single" w:color="auto" w:sz="4" w:space="0"/>
              <w:right w:val="single" w:color="auto" w:sz="4" w:space="0"/>
            </w:tcBorders>
            <w:noWrap w:val="0"/>
            <w:vAlign w:val="center"/>
          </w:tcPr>
          <w:p w14:paraId="2526D10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14:paraId="041BEC2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3998BF68">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招标控制价＜法定必须招标的金额标准2倍，系数为0；2.法定必须招标的金额标准2倍≤招标控制价＜法定必须招标的金额标准3倍，系数为2；3.法定必须招标的金额标准3倍≤招标控制价＜法定必须招标的金额标准4倍，系数为4；4.法定必须招标的金额标准4倍≤招标控制价＜法定必须招标的金额标准5倍，系数为6；5.法定必须招标的金额标准5倍≤招标控制价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16093A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7B64D56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175A249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14:paraId="73EA1BF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vMerge w:val="restart"/>
            <w:tcBorders>
              <w:top w:val="nil"/>
              <w:left w:val="single" w:color="auto" w:sz="4" w:space="0"/>
              <w:bottom w:val="single" w:color="auto" w:sz="4" w:space="0"/>
              <w:right w:val="single" w:color="auto" w:sz="4" w:space="0"/>
            </w:tcBorders>
            <w:noWrap w:val="0"/>
            <w:vAlign w:val="center"/>
          </w:tcPr>
          <w:p w14:paraId="7180596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投标人相互串通投标或者与招标人串通投标，投标人以向招标人或者评标委员会成员行贿的手段谋取中标（水利项目）</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14:paraId="08344DE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三条，处中标项目金额千分之五以上千分之十以下的罚款，对单位直接负责的主管人员和其他直接责任人员处单位罚款数额百分之五以上百分之十以下的罚款；有违法所得的，并处没收违法所得。</w:t>
            </w:r>
          </w:p>
        </w:tc>
        <w:tc>
          <w:tcPr>
            <w:tcW w:w="864" w:type="dxa"/>
            <w:gridSpan w:val="2"/>
            <w:tcBorders>
              <w:top w:val="nil"/>
              <w:left w:val="nil"/>
              <w:bottom w:val="single" w:color="auto" w:sz="4" w:space="0"/>
              <w:right w:val="single" w:color="auto" w:sz="4" w:space="0"/>
            </w:tcBorders>
            <w:noWrap w:val="0"/>
            <w:vAlign w:val="center"/>
          </w:tcPr>
          <w:p w14:paraId="7162310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中标项目金额×5‰（对单位）</w:t>
            </w:r>
          </w:p>
        </w:tc>
        <w:tc>
          <w:tcPr>
            <w:tcW w:w="840" w:type="dxa"/>
            <w:tcBorders>
              <w:top w:val="nil"/>
              <w:left w:val="nil"/>
              <w:bottom w:val="single" w:color="auto" w:sz="4" w:space="0"/>
              <w:right w:val="single" w:color="auto" w:sz="4" w:space="0"/>
            </w:tcBorders>
            <w:noWrap w:val="0"/>
            <w:vAlign w:val="center"/>
          </w:tcPr>
          <w:p w14:paraId="2BD1465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14:paraId="5927991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6314F44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罚款金额=中标项目金额×5‰×（1+情节系数）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14:paraId="3C5F030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B4DAD6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57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686B0043">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5721FB82">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09D79C41">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552C4FA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noWrap w:val="0"/>
            <w:vAlign w:val="center"/>
          </w:tcPr>
          <w:p w14:paraId="0DE5CAD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14:paraId="7852F1B8">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14:paraId="5C6DC50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14:paraId="6171B5FA">
            <w:pPr>
              <w:widowControl/>
              <w:jc w:val="left"/>
              <w:rPr>
                <w:rFonts w:hint="eastAsia" w:ascii="宋体" w:hAnsi="宋体" w:eastAsia="宋体" w:cs="宋体"/>
                <w:color w:val="auto"/>
                <w:kern w:val="0"/>
                <w:sz w:val="15"/>
                <w:szCs w:val="15"/>
                <w:highlight w:val="none"/>
              </w:rPr>
            </w:pPr>
          </w:p>
        </w:tc>
      </w:tr>
      <w:tr w14:paraId="36B971D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00" w:hRule="atLeast"/>
        </w:trPr>
        <w:tc>
          <w:tcPr>
            <w:tcW w:w="612" w:type="dxa"/>
            <w:gridSpan w:val="2"/>
            <w:vMerge w:val="restart"/>
            <w:tcBorders>
              <w:top w:val="nil"/>
              <w:left w:val="single" w:color="auto" w:sz="4" w:space="0"/>
              <w:bottom w:val="single" w:color="auto" w:sz="4" w:space="0"/>
              <w:right w:val="single" w:color="auto" w:sz="4" w:space="0"/>
            </w:tcBorders>
            <w:noWrap w:val="0"/>
            <w:vAlign w:val="center"/>
          </w:tcPr>
          <w:p w14:paraId="1AD319C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vMerge w:val="restart"/>
            <w:tcBorders>
              <w:top w:val="nil"/>
              <w:left w:val="single" w:color="auto" w:sz="4" w:space="0"/>
              <w:bottom w:val="single" w:color="auto" w:sz="4" w:space="0"/>
              <w:right w:val="single" w:color="auto" w:sz="4" w:space="0"/>
            </w:tcBorders>
            <w:noWrap w:val="0"/>
            <w:vAlign w:val="center"/>
          </w:tcPr>
          <w:p w14:paraId="1864BE8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投标人以他人名义投标或者以其他方式弄虚作假，骗取中标（水利项目）</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14:paraId="69D8FE5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违反条款：《招标投标法》第三十三条；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四条，处中标项目金额千分之五以上千分之十以下的罚款，对单位直接负责的主管人员和其他直接责任人员处单位罚款数额百分之五以上百分之十以下的罚款；有违法所得的，并处没收违法所得。</w:t>
            </w:r>
          </w:p>
        </w:tc>
        <w:tc>
          <w:tcPr>
            <w:tcW w:w="864" w:type="dxa"/>
            <w:gridSpan w:val="2"/>
            <w:tcBorders>
              <w:top w:val="nil"/>
              <w:left w:val="nil"/>
              <w:bottom w:val="single" w:color="auto" w:sz="4" w:space="0"/>
              <w:right w:val="single" w:color="auto" w:sz="4" w:space="0"/>
            </w:tcBorders>
            <w:noWrap w:val="0"/>
            <w:vAlign w:val="center"/>
          </w:tcPr>
          <w:p w14:paraId="1FF7E08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中标项目金额×5‰（对单位）</w:t>
            </w:r>
          </w:p>
        </w:tc>
        <w:tc>
          <w:tcPr>
            <w:tcW w:w="840" w:type="dxa"/>
            <w:tcBorders>
              <w:top w:val="nil"/>
              <w:left w:val="nil"/>
              <w:bottom w:val="single" w:color="auto" w:sz="4" w:space="0"/>
              <w:right w:val="single" w:color="auto" w:sz="4" w:space="0"/>
            </w:tcBorders>
            <w:noWrap w:val="0"/>
            <w:vAlign w:val="center"/>
          </w:tcPr>
          <w:p w14:paraId="5FBD6D7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restart"/>
            <w:tcBorders>
              <w:top w:val="nil"/>
              <w:left w:val="single" w:color="auto" w:sz="4" w:space="0"/>
              <w:bottom w:val="single" w:color="auto" w:sz="4" w:space="0"/>
              <w:right w:val="single" w:color="auto" w:sz="4" w:space="0"/>
            </w:tcBorders>
            <w:noWrap w:val="0"/>
            <w:vAlign w:val="center"/>
          </w:tcPr>
          <w:p w14:paraId="159E9EE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43DA4A4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罚款金额=项目金额×5‰×（1+情节系数）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14:paraId="69A5AF3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情节严重从《中华人民共和国招标投标法实施条例》规定。</w:t>
            </w:r>
          </w:p>
        </w:tc>
      </w:tr>
      <w:tr w14:paraId="3DE395F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80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04FE9693">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620C0CA4">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77742CBE">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5BBED89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单位罚款数额×5%（对个人）</w:t>
            </w:r>
          </w:p>
        </w:tc>
        <w:tc>
          <w:tcPr>
            <w:tcW w:w="840" w:type="dxa"/>
            <w:tcBorders>
              <w:top w:val="nil"/>
              <w:left w:val="nil"/>
              <w:bottom w:val="single" w:color="auto" w:sz="4" w:space="0"/>
              <w:right w:val="single" w:color="auto" w:sz="4" w:space="0"/>
            </w:tcBorders>
            <w:noWrap w:val="0"/>
            <w:vAlign w:val="center"/>
          </w:tcPr>
          <w:p w14:paraId="2766309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vMerge w:val="continue"/>
            <w:tcBorders>
              <w:top w:val="nil"/>
              <w:left w:val="single" w:color="auto" w:sz="4" w:space="0"/>
              <w:bottom w:val="single" w:color="auto" w:sz="4" w:space="0"/>
              <w:right w:val="single" w:color="auto" w:sz="4" w:space="0"/>
            </w:tcBorders>
            <w:noWrap w:val="0"/>
            <w:vAlign w:val="center"/>
          </w:tcPr>
          <w:p w14:paraId="4EC7BC9A">
            <w:pPr>
              <w:widowControl/>
              <w:jc w:val="left"/>
              <w:rPr>
                <w:rFonts w:hint="eastAsia" w:ascii="宋体" w:hAnsi="宋体" w:eastAsia="宋体" w:cs="宋体"/>
                <w:color w:val="auto"/>
                <w:kern w:val="0"/>
                <w:sz w:val="15"/>
                <w:szCs w:val="15"/>
                <w:highlight w:val="none"/>
              </w:rPr>
            </w:pPr>
          </w:p>
        </w:tc>
        <w:tc>
          <w:tcPr>
            <w:tcW w:w="1881" w:type="dxa"/>
            <w:gridSpan w:val="2"/>
            <w:tcBorders>
              <w:top w:val="nil"/>
              <w:left w:val="nil"/>
              <w:bottom w:val="single" w:color="auto" w:sz="4" w:space="0"/>
              <w:right w:val="single" w:color="auto" w:sz="4" w:space="0"/>
            </w:tcBorders>
            <w:noWrap w:val="0"/>
            <w:vAlign w:val="center"/>
          </w:tcPr>
          <w:p w14:paraId="17B1994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罚款金额=单位罚款数额×5%×（1+情节系数）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14:paraId="6495DF34">
            <w:pPr>
              <w:widowControl/>
              <w:jc w:val="left"/>
              <w:rPr>
                <w:rFonts w:hint="eastAsia" w:ascii="宋体" w:hAnsi="宋体" w:eastAsia="宋体" w:cs="宋体"/>
                <w:color w:val="auto"/>
                <w:kern w:val="0"/>
                <w:sz w:val="15"/>
                <w:szCs w:val="15"/>
                <w:highlight w:val="none"/>
              </w:rPr>
            </w:pPr>
          </w:p>
        </w:tc>
      </w:tr>
      <w:tr w14:paraId="0B533F1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1BAA2C9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14:paraId="1104B4F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评标委员会成员收受投标人的财物或者其他好处，评标委员会成员或者参加评标的有关工作人员向他人透露对投标文件的评审和比较、中标候选人的推荐以及与评标有关的其他情况（水利项目）</w:t>
            </w:r>
          </w:p>
        </w:tc>
        <w:tc>
          <w:tcPr>
            <w:tcW w:w="2793" w:type="dxa"/>
            <w:gridSpan w:val="2"/>
            <w:tcBorders>
              <w:top w:val="nil"/>
              <w:left w:val="nil"/>
              <w:bottom w:val="single" w:color="auto" w:sz="4" w:space="0"/>
              <w:right w:val="single" w:color="auto" w:sz="4" w:space="0"/>
            </w:tcBorders>
            <w:noWrap w:val="0"/>
            <w:vAlign w:val="center"/>
          </w:tcPr>
          <w:p w14:paraId="3BCE60F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处罚条款：《招标投标法》第五十六条，给予警告，没收收受的财物，可以并处三千元以上五万元以下的罚款。</w:t>
            </w:r>
          </w:p>
        </w:tc>
        <w:tc>
          <w:tcPr>
            <w:tcW w:w="864" w:type="dxa"/>
            <w:gridSpan w:val="2"/>
            <w:tcBorders>
              <w:top w:val="nil"/>
              <w:left w:val="nil"/>
              <w:bottom w:val="single" w:color="auto" w:sz="4" w:space="0"/>
              <w:right w:val="single" w:color="auto" w:sz="4" w:space="0"/>
            </w:tcBorders>
            <w:noWrap w:val="0"/>
            <w:vAlign w:val="center"/>
          </w:tcPr>
          <w:p w14:paraId="18DF4EC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noWrap w:val="0"/>
            <w:vAlign w:val="center"/>
          </w:tcPr>
          <w:p w14:paraId="41012A5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7DAEE14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没收收受的财物，并处以下罚款：1.招标项目合同金额＜法定必须招标的金额标准2倍，系数为0；2.法定必须招标的金额标准2倍≤招标项目合同金额＜法定必须招标的金额标准5倍，系数为4；3.法定必须招标的金额标准5倍≤招标项目合同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97D2D7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14:paraId="6A987E3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需要作出3000元以上5000元以下罚款决定的，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482DACA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1FDFDD1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14:paraId="7391345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违反规定转让、分包中标项目（水利项目）</w:t>
            </w:r>
          </w:p>
        </w:tc>
        <w:tc>
          <w:tcPr>
            <w:tcW w:w="2793" w:type="dxa"/>
            <w:gridSpan w:val="2"/>
            <w:tcBorders>
              <w:top w:val="nil"/>
              <w:left w:val="nil"/>
              <w:bottom w:val="single" w:color="auto" w:sz="4" w:space="0"/>
              <w:right w:val="single" w:color="auto" w:sz="4" w:space="0"/>
            </w:tcBorders>
            <w:noWrap w:val="0"/>
            <w:vAlign w:val="center"/>
          </w:tcPr>
          <w:p w14:paraId="3E857E3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处罚条款：《招标投标法》第五十八条，处转让、分包项目金额千分之五以上千分之十以下的罚款；有违法所得的，并处没收违法所得。</w:t>
            </w:r>
          </w:p>
        </w:tc>
        <w:tc>
          <w:tcPr>
            <w:tcW w:w="864" w:type="dxa"/>
            <w:gridSpan w:val="2"/>
            <w:tcBorders>
              <w:top w:val="nil"/>
              <w:left w:val="nil"/>
              <w:bottom w:val="single" w:color="auto" w:sz="4" w:space="0"/>
              <w:right w:val="single" w:color="auto" w:sz="4" w:space="0"/>
            </w:tcBorders>
            <w:noWrap w:val="0"/>
            <w:vAlign w:val="center"/>
          </w:tcPr>
          <w:p w14:paraId="0B65C32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转让、分包项目金额×5‰</w:t>
            </w:r>
          </w:p>
        </w:tc>
        <w:tc>
          <w:tcPr>
            <w:tcW w:w="840" w:type="dxa"/>
            <w:tcBorders>
              <w:top w:val="nil"/>
              <w:left w:val="nil"/>
              <w:bottom w:val="single" w:color="auto" w:sz="4" w:space="0"/>
              <w:right w:val="single" w:color="auto" w:sz="4" w:space="0"/>
            </w:tcBorders>
            <w:noWrap w:val="0"/>
            <w:vAlign w:val="center"/>
          </w:tcPr>
          <w:p w14:paraId="59DBD0F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601495C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转让、分包项目金额＜200万元，系数为0；2.200万元≤转让、分包项目金额＜300万元，系数为0.25；3.300万元≤转让、分包项目金额＜400万元，系数为0.5；4.400万元≤转让、分包项目金额＜500万元，系数为0.75；5.500万元≤转让、分包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恶劣影响，系数为1。6.存在基准2.1.3规定情形的，系数按照相关规定确定（基准2.1.3.5不适用）。有违法所得的，没收违法所得。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6B19383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罚款金额=项目金额×5‰×（1+情节系数）</w:t>
            </w:r>
          </w:p>
        </w:tc>
        <w:tc>
          <w:tcPr>
            <w:tcW w:w="1973" w:type="dxa"/>
            <w:gridSpan w:val="2"/>
            <w:tcBorders>
              <w:top w:val="nil"/>
              <w:left w:val="nil"/>
              <w:bottom w:val="single" w:color="auto" w:sz="4" w:space="0"/>
              <w:right w:val="single" w:color="auto" w:sz="4" w:space="0"/>
            </w:tcBorders>
            <w:noWrap w:val="0"/>
            <w:vAlign w:val="center"/>
          </w:tcPr>
          <w:p w14:paraId="481B862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拟作出停业整顿，在作出处罚决定前，要邀请行业主管部门共同会商。</w:t>
            </w:r>
          </w:p>
        </w:tc>
      </w:tr>
      <w:tr w14:paraId="13DB7C8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71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15FA0AB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14:paraId="73E5F40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招标人与中标人不按照招标文件和中标人的投标文件订立合同，或者合同的主要条款与招标文件、中标人的投标文件的内容不一致，或者招标人、中标人订立背离合同实质性内容的协议的（水利项目）</w:t>
            </w:r>
          </w:p>
        </w:tc>
        <w:tc>
          <w:tcPr>
            <w:tcW w:w="2793" w:type="dxa"/>
            <w:gridSpan w:val="2"/>
            <w:tcBorders>
              <w:top w:val="nil"/>
              <w:left w:val="nil"/>
              <w:bottom w:val="single" w:color="auto" w:sz="4" w:space="0"/>
              <w:right w:val="single" w:color="auto" w:sz="4" w:space="0"/>
            </w:tcBorders>
            <w:noWrap w:val="0"/>
            <w:vAlign w:val="center"/>
          </w:tcPr>
          <w:p w14:paraId="587F76B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违反条款：《招标投标法》第四十六条第一款；《条例》第五十七条第一款；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处罚条款：《招标投标法》第五十九条，责令改正，可以处中标项目金额千分之五以上千分之十以下的罚款；《条例》第七十五条，责令改正，可以处中标项目金额5‰以上10‰以下的罚款。</w:t>
            </w:r>
          </w:p>
        </w:tc>
        <w:tc>
          <w:tcPr>
            <w:tcW w:w="864" w:type="dxa"/>
            <w:gridSpan w:val="2"/>
            <w:tcBorders>
              <w:top w:val="nil"/>
              <w:left w:val="nil"/>
              <w:bottom w:val="single" w:color="auto" w:sz="4" w:space="0"/>
              <w:right w:val="single" w:color="auto" w:sz="4" w:space="0"/>
            </w:tcBorders>
            <w:noWrap w:val="0"/>
            <w:vAlign w:val="center"/>
          </w:tcPr>
          <w:p w14:paraId="04F5B0C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中标项目金额×5‰</w:t>
            </w:r>
          </w:p>
        </w:tc>
        <w:tc>
          <w:tcPr>
            <w:tcW w:w="840" w:type="dxa"/>
            <w:tcBorders>
              <w:top w:val="nil"/>
              <w:left w:val="nil"/>
              <w:bottom w:val="single" w:color="auto" w:sz="4" w:space="0"/>
              <w:right w:val="single" w:color="auto" w:sz="4" w:space="0"/>
            </w:tcBorders>
            <w:noWrap w:val="0"/>
            <w:vAlign w:val="center"/>
          </w:tcPr>
          <w:p w14:paraId="7FF1B73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69A9B1F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1.中标项目金额＜法定必须招标的金额标准2倍，系数为0；2.法定必须招标的金额标准2倍≤中标项目金额＜法定必须招标的金额标准5倍，系数为0.5；3.法定必须招标的金额标准5倍≤中标项目金额或造成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0A991F8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罚款金额=中标项目金额×5‰×（1+情节系数）</w:t>
            </w:r>
          </w:p>
        </w:tc>
        <w:tc>
          <w:tcPr>
            <w:tcW w:w="1973" w:type="dxa"/>
            <w:gridSpan w:val="2"/>
            <w:tcBorders>
              <w:top w:val="nil"/>
              <w:left w:val="nil"/>
              <w:bottom w:val="single" w:color="auto" w:sz="4" w:space="0"/>
              <w:right w:val="single" w:color="auto" w:sz="4" w:space="0"/>
            </w:tcBorders>
            <w:noWrap w:val="0"/>
            <w:vAlign w:val="center"/>
          </w:tcPr>
          <w:p w14:paraId="53D07D6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C05FFC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655EEE76">
            <w:pPr>
              <w:widowControl/>
              <w:jc w:val="center"/>
              <w:outlineLvl w:val="1"/>
              <w:rPr>
                <w:rFonts w:hint="eastAsia" w:ascii="宋体" w:hAnsi="宋体" w:eastAsia="宋体" w:cs="宋体"/>
                <w:color w:val="auto"/>
                <w:kern w:val="0"/>
                <w:szCs w:val="21"/>
                <w:highlight w:val="none"/>
              </w:rPr>
            </w:pPr>
            <w:bookmarkStart w:id="343" w:name="_Toc762678722"/>
            <w:bookmarkStart w:id="344" w:name="_Toc218468887"/>
            <w:bookmarkStart w:id="345" w:name="_Toc188320306"/>
            <w:r>
              <w:rPr>
                <w:rFonts w:hint="eastAsia" w:ascii="宋体" w:hAnsi="宋体" w:eastAsia="宋体" w:cs="宋体"/>
                <w:b/>
                <w:bCs/>
                <w:color w:val="auto"/>
                <w:kern w:val="0"/>
                <w:szCs w:val="21"/>
                <w:highlight w:val="none"/>
              </w:rPr>
              <w:t>《中华人民共和国招标投标法实施条例》案由12项</w:t>
            </w:r>
            <w:bookmarkEnd w:id="343"/>
            <w:bookmarkEnd w:id="344"/>
            <w:bookmarkEnd w:id="345"/>
          </w:p>
        </w:tc>
      </w:tr>
      <w:tr w14:paraId="51DE0EB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2340F32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39E15A0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招标人违法组建评标委员会，或者违法确定、更换评标委员会成员</w:t>
            </w:r>
          </w:p>
        </w:tc>
        <w:tc>
          <w:tcPr>
            <w:tcW w:w="2793" w:type="dxa"/>
            <w:gridSpan w:val="2"/>
            <w:tcBorders>
              <w:top w:val="nil"/>
              <w:left w:val="nil"/>
              <w:bottom w:val="single" w:color="auto" w:sz="4" w:space="0"/>
              <w:right w:val="single" w:color="auto" w:sz="4" w:space="0"/>
            </w:tcBorders>
            <w:noWrap w:val="0"/>
            <w:vAlign w:val="center"/>
          </w:tcPr>
          <w:p w14:paraId="6AB53B8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处罚条款：第七十条第一款，责令改正，可以处10万元以下的罚款。</w:t>
            </w:r>
          </w:p>
        </w:tc>
        <w:tc>
          <w:tcPr>
            <w:tcW w:w="864" w:type="dxa"/>
            <w:gridSpan w:val="2"/>
            <w:tcBorders>
              <w:top w:val="nil"/>
              <w:left w:val="nil"/>
              <w:bottom w:val="single" w:color="auto" w:sz="4" w:space="0"/>
              <w:right w:val="single" w:color="auto" w:sz="4" w:space="0"/>
            </w:tcBorders>
            <w:noWrap w:val="0"/>
            <w:vAlign w:val="center"/>
          </w:tcPr>
          <w:p w14:paraId="527873A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14:paraId="4651AF2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72A2A4B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0DE097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4F2AB1F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3838404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29E938D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4DFAC21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招标人无正当理由不与中标人订立合同（水利项目）</w:t>
            </w:r>
          </w:p>
        </w:tc>
        <w:tc>
          <w:tcPr>
            <w:tcW w:w="2793" w:type="dxa"/>
            <w:gridSpan w:val="2"/>
            <w:tcBorders>
              <w:top w:val="nil"/>
              <w:left w:val="nil"/>
              <w:bottom w:val="single" w:color="auto" w:sz="4" w:space="0"/>
              <w:right w:val="single" w:color="auto" w:sz="4" w:space="0"/>
            </w:tcBorders>
            <w:noWrap w:val="0"/>
            <w:vAlign w:val="center"/>
          </w:tcPr>
          <w:p w14:paraId="1581B46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处罚条款：第七十三条第（四）项，责令改正，可以处中标项目金额10‰以下的罚款。</w:t>
            </w:r>
          </w:p>
        </w:tc>
        <w:tc>
          <w:tcPr>
            <w:tcW w:w="864" w:type="dxa"/>
            <w:gridSpan w:val="2"/>
            <w:tcBorders>
              <w:top w:val="nil"/>
              <w:left w:val="nil"/>
              <w:bottom w:val="single" w:color="auto" w:sz="4" w:space="0"/>
              <w:right w:val="single" w:color="auto" w:sz="4" w:space="0"/>
            </w:tcBorders>
            <w:noWrap w:val="0"/>
            <w:vAlign w:val="center"/>
          </w:tcPr>
          <w:p w14:paraId="07EA63F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noWrap w:val="0"/>
            <w:vAlign w:val="center"/>
          </w:tcPr>
          <w:p w14:paraId="50611FD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C28245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D6EEF4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14:paraId="61BEBE3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74E8D5C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3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6758A43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14:paraId="475E6AE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招标人在订立合同时向中标人提出附加条件（水利项目）</w:t>
            </w:r>
          </w:p>
        </w:tc>
        <w:tc>
          <w:tcPr>
            <w:tcW w:w="2793" w:type="dxa"/>
            <w:gridSpan w:val="2"/>
            <w:tcBorders>
              <w:top w:val="nil"/>
              <w:left w:val="nil"/>
              <w:bottom w:val="single" w:color="auto" w:sz="4" w:space="0"/>
              <w:right w:val="single" w:color="auto" w:sz="4" w:space="0"/>
            </w:tcBorders>
            <w:noWrap w:val="0"/>
            <w:vAlign w:val="center"/>
          </w:tcPr>
          <w:p w14:paraId="7D27E08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处罚条款：第七十三条第（五）项，责令改正，可以处中标项目金额10‰以下的罚款。</w:t>
            </w:r>
          </w:p>
        </w:tc>
        <w:tc>
          <w:tcPr>
            <w:tcW w:w="864" w:type="dxa"/>
            <w:gridSpan w:val="2"/>
            <w:tcBorders>
              <w:top w:val="nil"/>
              <w:left w:val="nil"/>
              <w:bottom w:val="single" w:color="auto" w:sz="4" w:space="0"/>
              <w:right w:val="single" w:color="auto" w:sz="4" w:space="0"/>
            </w:tcBorders>
            <w:noWrap w:val="0"/>
            <w:vAlign w:val="center"/>
          </w:tcPr>
          <w:p w14:paraId="31E81C8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noWrap w:val="0"/>
            <w:vAlign w:val="center"/>
          </w:tcPr>
          <w:p w14:paraId="28676AA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10F703E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9CFC2C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14:paraId="335A798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323F8AA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6D2DBFF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14:paraId="6CAA9B0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中标人无正当理由不与招标人订立合同，在签订合同时向招标人提出附加条件，或者不按照招标文件要求提交履约保证金（水利项目）</w:t>
            </w:r>
          </w:p>
        </w:tc>
        <w:tc>
          <w:tcPr>
            <w:tcW w:w="2793" w:type="dxa"/>
            <w:gridSpan w:val="2"/>
            <w:tcBorders>
              <w:top w:val="nil"/>
              <w:left w:val="nil"/>
              <w:bottom w:val="single" w:color="auto" w:sz="4" w:space="0"/>
              <w:right w:val="single" w:color="auto" w:sz="4" w:space="0"/>
            </w:tcBorders>
            <w:noWrap w:val="0"/>
            <w:vAlign w:val="center"/>
          </w:tcPr>
          <w:p w14:paraId="50E2D67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处罚条款：第七十四条，责令改正，可以处中标项目金额10‰以下的罚款。</w:t>
            </w:r>
          </w:p>
        </w:tc>
        <w:tc>
          <w:tcPr>
            <w:tcW w:w="864" w:type="dxa"/>
            <w:gridSpan w:val="2"/>
            <w:tcBorders>
              <w:top w:val="nil"/>
              <w:left w:val="nil"/>
              <w:bottom w:val="single" w:color="auto" w:sz="4" w:space="0"/>
              <w:right w:val="single" w:color="auto" w:sz="4" w:space="0"/>
            </w:tcBorders>
            <w:noWrap w:val="0"/>
            <w:vAlign w:val="center"/>
          </w:tcPr>
          <w:p w14:paraId="75241FB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中标金额×1‰</w:t>
            </w:r>
          </w:p>
        </w:tc>
        <w:tc>
          <w:tcPr>
            <w:tcW w:w="840" w:type="dxa"/>
            <w:tcBorders>
              <w:top w:val="nil"/>
              <w:left w:val="nil"/>
              <w:bottom w:val="single" w:color="auto" w:sz="4" w:space="0"/>
              <w:right w:val="single" w:color="auto" w:sz="4" w:space="0"/>
            </w:tcBorders>
            <w:noWrap w:val="0"/>
            <w:vAlign w:val="center"/>
          </w:tcPr>
          <w:p w14:paraId="465B4BE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72993E3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731C9F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14:paraId="558BA8D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40D68E0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5EACFDC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14:paraId="62D32C6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招标人招标文件、资格预审文件的发售、澄清、修改的时限，或者确定的提交资格预审申请文件、投标文件的时限不符合法规规定（水利项目）</w:t>
            </w:r>
          </w:p>
        </w:tc>
        <w:tc>
          <w:tcPr>
            <w:tcW w:w="2793" w:type="dxa"/>
            <w:gridSpan w:val="2"/>
            <w:tcBorders>
              <w:top w:val="nil"/>
              <w:left w:val="nil"/>
              <w:bottom w:val="single" w:color="auto" w:sz="4" w:space="0"/>
              <w:right w:val="single" w:color="auto" w:sz="4" w:space="0"/>
            </w:tcBorders>
            <w:noWrap w:val="0"/>
            <w:vAlign w:val="center"/>
          </w:tcPr>
          <w:p w14:paraId="1313D8B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违反条款：第十六条第一款、第二十一条；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处罚条款：第六十四条第一款第（二）项，责令改正，可以处10万元以下的罚款。</w:t>
            </w:r>
          </w:p>
        </w:tc>
        <w:tc>
          <w:tcPr>
            <w:tcW w:w="864" w:type="dxa"/>
            <w:gridSpan w:val="2"/>
            <w:tcBorders>
              <w:top w:val="nil"/>
              <w:left w:val="nil"/>
              <w:bottom w:val="single" w:color="auto" w:sz="4" w:space="0"/>
              <w:right w:val="single" w:color="auto" w:sz="4" w:space="0"/>
            </w:tcBorders>
            <w:noWrap w:val="0"/>
            <w:vAlign w:val="center"/>
          </w:tcPr>
          <w:p w14:paraId="090784B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14:paraId="47CB954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1B46293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C508AB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07EC228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1952A25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6DCF020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14:paraId="1853DE2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招标人接受未通过资格预审的单位或者个人参加投标（水利项目）</w:t>
            </w:r>
          </w:p>
        </w:tc>
        <w:tc>
          <w:tcPr>
            <w:tcW w:w="2793" w:type="dxa"/>
            <w:gridSpan w:val="2"/>
            <w:tcBorders>
              <w:top w:val="nil"/>
              <w:left w:val="nil"/>
              <w:bottom w:val="single" w:color="auto" w:sz="4" w:space="0"/>
              <w:right w:val="single" w:color="auto" w:sz="4" w:space="0"/>
            </w:tcBorders>
            <w:noWrap w:val="0"/>
            <w:vAlign w:val="center"/>
          </w:tcPr>
          <w:p w14:paraId="0D0AF12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处罚条款：第六十四条第（三）项，责令改正，可以处10万元以下的罚款。</w:t>
            </w:r>
          </w:p>
        </w:tc>
        <w:tc>
          <w:tcPr>
            <w:tcW w:w="864" w:type="dxa"/>
            <w:gridSpan w:val="2"/>
            <w:tcBorders>
              <w:top w:val="nil"/>
              <w:left w:val="nil"/>
              <w:bottom w:val="single" w:color="auto" w:sz="4" w:space="0"/>
              <w:right w:val="single" w:color="auto" w:sz="4" w:space="0"/>
            </w:tcBorders>
            <w:noWrap w:val="0"/>
            <w:vAlign w:val="center"/>
          </w:tcPr>
          <w:p w14:paraId="255BE95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14:paraId="31888C8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7B2878C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EC4451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3C123B3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5B6342A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3976A79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14:paraId="6511757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招标人接受应当拒收的投标文件（水利项目）</w:t>
            </w:r>
          </w:p>
        </w:tc>
        <w:tc>
          <w:tcPr>
            <w:tcW w:w="2793" w:type="dxa"/>
            <w:gridSpan w:val="2"/>
            <w:tcBorders>
              <w:top w:val="nil"/>
              <w:left w:val="nil"/>
              <w:bottom w:val="single" w:color="auto" w:sz="4" w:space="0"/>
              <w:right w:val="single" w:color="auto" w:sz="4" w:space="0"/>
            </w:tcBorders>
            <w:noWrap w:val="0"/>
            <w:vAlign w:val="center"/>
          </w:tcPr>
          <w:p w14:paraId="47B9B0A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处罚条款：第六十四条第（四）项，责令改正，可以处10万元以下的罚款。</w:t>
            </w:r>
          </w:p>
        </w:tc>
        <w:tc>
          <w:tcPr>
            <w:tcW w:w="864" w:type="dxa"/>
            <w:gridSpan w:val="2"/>
            <w:tcBorders>
              <w:top w:val="nil"/>
              <w:left w:val="nil"/>
              <w:bottom w:val="single" w:color="auto" w:sz="4" w:space="0"/>
              <w:right w:val="single" w:color="auto" w:sz="4" w:space="0"/>
            </w:tcBorders>
            <w:noWrap w:val="0"/>
            <w:vAlign w:val="center"/>
          </w:tcPr>
          <w:p w14:paraId="247D982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14:paraId="040105A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7D2220C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C68714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2F71296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7EF9FF9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71B73B5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14:paraId="446AF06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招标人超过法规规定的比例收取投标保证金、履约保证金或者不按照规定退还投标保证金及银行同期存款利息（水利项目）</w:t>
            </w:r>
          </w:p>
        </w:tc>
        <w:tc>
          <w:tcPr>
            <w:tcW w:w="2793" w:type="dxa"/>
            <w:gridSpan w:val="2"/>
            <w:tcBorders>
              <w:top w:val="nil"/>
              <w:left w:val="nil"/>
              <w:bottom w:val="single" w:color="auto" w:sz="4" w:space="0"/>
              <w:right w:val="single" w:color="auto" w:sz="4" w:space="0"/>
            </w:tcBorders>
            <w:noWrap w:val="0"/>
            <w:vAlign w:val="center"/>
          </w:tcPr>
          <w:p w14:paraId="47B22BE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违反条款：第二十六条第一款、第五十七条第二款、第五十八条；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处罚条款：第六十六条，责令改正，可以处5万元以下的罚款。</w:t>
            </w:r>
          </w:p>
        </w:tc>
        <w:tc>
          <w:tcPr>
            <w:tcW w:w="864" w:type="dxa"/>
            <w:gridSpan w:val="2"/>
            <w:tcBorders>
              <w:top w:val="nil"/>
              <w:left w:val="nil"/>
              <w:bottom w:val="single" w:color="auto" w:sz="4" w:space="0"/>
              <w:right w:val="single" w:color="auto" w:sz="4" w:space="0"/>
            </w:tcBorders>
            <w:noWrap w:val="0"/>
            <w:vAlign w:val="center"/>
          </w:tcPr>
          <w:p w14:paraId="536E4E7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w:t>
            </w:r>
          </w:p>
        </w:tc>
        <w:tc>
          <w:tcPr>
            <w:tcW w:w="840" w:type="dxa"/>
            <w:tcBorders>
              <w:top w:val="nil"/>
              <w:left w:val="nil"/>
              <w:bottom w:val="single" w:color="auto" w:sz="4" w:space="0"/>
              <w:right w:val="single" w:color="auto" w:sz="4" w:space="0"/>
            </w:tcBorders>
            <w:noWrap w:val="0"/>
            <w:vAlign w:val="center"/>
          </w:tcPr>
          <w:p w14:paraId="2AF1E08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1D3F5FB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保证金超过规定比例＜20%或逾期退还天数＜15天，系数为0；2.20％≤保证金超过规定比例＜30%或15天≤逾期退还天数＜30天，系数为2；3.30％≤保证金超过规定比例＜40%或30天≤逾期退还天数＜45天，系数为4；4.40％≤保证金超过规定比例＜50%或45天≤逾期退还天数＜60天，系数为6；5.50％≤保证金超过规定比例或60天≤逾期退还天数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6B98E9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罚款金额=5000×（1+情节系数）</w:t>
            </w:r>
          </w:p>
        </w:tc>
        <w:tc>
          <w:tcPr>
            <w:tcW w:w="1973" w:type="dxa"/>
            <w:gridSpan w:val="2"/>
            <w:tcBorders>
              <w:top w:val="nil"/>
              <w:left w:val="nil"/>
              <w:bottom w:val="single" w:color="auto" w:sz="4" w:space="0"/>
              <w:right w:val="single" w:color="auto" w:sz="4" w:space="0"/>
            </w:tcBorders>
            <w:noWrap w:val="0"/>
            <w:vAlign w:val="center"/>
          </w:tcPr>
          <w:p w14:paraId="76B521F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4A116C2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2E279C3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14:paraId="615ADEC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招标人无正当理由不发出中标通知书（水利项目）</w:t>
            </w:r>
          </w:p>
        </w:tc>
        <w:tc>
          <w:tcPr>
            <w:tcW w:w="2793" w:type="dxa"/>
            <w:gridSpan w:val="2"/>
            <w:tcBorders>
              <w:top w:val="nil"/>
              <w:left w:val="nil"/>
              <w:bottom w:val="single" w:color="auto" w:sz="4" w:space="0"/>
              <w:right w:val="single" w:color="auto" w:sz="4" w:space="0"/>
            </w:tcBorders>
            <w:noWrap w:val="0"/>
            <w:vAlign w:val="center"/>
          </w:tcPr>
          <w:p w14:paraId="41284CC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违反条款：第七十三条第（一）项；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处罚条款：第七十三条第（一）项，责令改正，可以处中标项目金额10‰以下的罚款。</w:t>
            </w:r>
          </w:p>
        </w:tc>
        <w:tc>
          <w:tcPr>
            <w:tcW w:w="864" w:type="dxa"/>
            <w:gridSpan w:val="2"/>
            <w:tcBorders>
              <w:top w:val="nil"/>
              <w:left w:val="nil"/>
              <w:bottom w:val="single" w:color="auto" w:sz="4" w:space="0"/>
              <w:right w:val="single" w:color="auto" w:sz="4" w:space="0"/>
            </w:tcBorders>
            <w:noWrap w:val="0"/>
            <w:vAlign w:val="center"/>
          </w:tcPr>
          <w:p w14:paraId="5ED6528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noWrap w:val="0"/>
            <w:vAlign w:val="center"/>
          </w:tcPr>
          <w:p w14:paraId="4EEF796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48C7E13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CC8082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14:paraId="2FD0E8B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3F6F97E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21A4F7B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14:paraId="74A324B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招标人不按照规定确定中标人（水利项目）</w:t>
            </w:r>
          </w:p>
        </w:tc>
        <w:tc>
          <w:tcPr>
            <w:tcW w:w="2793" w:type="dxa"/>
            <w:gridSpan w:val="2"/>
            <w:tcBorders>
              <w:top w:val="nil"/>
              <w:left w:val="nil"/>
              <w:bottom w:val="single" w:color="auto" w:sz="4" w:space="0"/>
              <w:right w:val="single" w:color="auto" w:sz="4" w:space="0"/>
            </w:tcBorders>
            <w:noWrap w:val="0"/>
            <w:vAlign w:val="center"/>
          </w:tcPr>
          <w:p w14:paraId="7BD6842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处罚条款：第七十三条第（二）项，责令改正，可以处中标项目金额10‰以下的罚款。</w:t>
            </w:r>
          </w:p>
        </w:tc>
        <w:tc>
          <w:tcPr>
            <w:tcW w:w="864" w:type="dxa"/>
            <w:gridSpan w:val="2"/>
            <w:tcBorders>
              <w:top w:val="nil"/>
              <w:left w:val="nil"/>
              <w:bottom w:val="single" w:color="auto" w:sz="4" w:space="0"/>
              <w:right w:val="single" w:color="auto" w:sz="4" w:space="0"/>
            </w:tcBorders>
            <w:noWrap w:val="0"/>
            <w:vAlign w:val="center"/>
          </w:tcPr>
          <w:p w14:paraId="48A38E8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noWrap w:val="0"/>
            <w:vAlign w:val="center"/>
          </w:tcPr>
          <w:p w14:paraId="560ACFB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4F79E846">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080A63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14:paraId="3AA1C14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3893C1D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3369421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14:paraId="7B45E91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招标人中标通知书发出后无正当理由改变中标结果（水利项目）</w:t>
            </w:r>
          </w:p>
        </w:tc>
        <w:tc>
          <w:tcPr>
            <w:tcW w:w="2793" w:type="dxa"/>
            <w:gridSpan w:val="2"/>
            <w:tcBorders>
              <w:top w:val="nil"/>
              <w:left w:val="nil"/>
              <w:bottom w:val="single" w:color="auto" w:sz="4" w:space="0"/>
              <w:right w:val="single" w:color="auto" w:sz="4" w:space="0"/>
            </w:tcBorders>
            <w:noWrap w:val="0"/>
            <w:vAlign w:val="center"/>
          </w:tcPr>
          <w:p w14:paraId="3D8EB53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处罚条款：第七十三条第（三）项，责令改正，可以处中标项目金额10‰以下的罚款。</w:t>
            </w:r>
          </w:p>
        </w:tc>
        <w:tc>
          <w:tcPr>
            <w:tcW w:w="864" w:type="dxa"/>
            <w:gridSpan w:val="2"/>
            <w:tcBorders>
              <w:top w:val="nil"/>
              <w:left w:val="nil"/>
              <w:bottom w:val="single" w:color="auto" w:sz="4" w:space="0"/>
              <w:right w:val="single" w:color="auto" w:sz="4" w:space="0"/>
            </w:tcBorders>
            <w:noWrap w:val="0"/>
            <w:vAlign w:val="center"/>
          </w:tcPr>
          <w:p w14:paraId="68287B9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中标项目金额×1‰</w:t>
            </w:r>
          </w:p>
        </w:tc>
        <w:tc>
          <w:tcPr>
            <w:tcW w:w="840" w:type="dxa"/>
            <w:tcBorders>
              <w:top w:val="nil"/>
              <w:left w:val="nil"/>
              <w:bottom w:val="single" w:color="auto" w:sz="4" w:space="0"/>
              <w:right w:val="single" w:color="auto" w:sz="4" w:space="0"/>
            </w:tcBorders>
            <w:noWrap w:val="0"/>
            <w:vAlign w:val="center"/>
          </w:tcPr>
          <w:p w14:paraId="081035E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2CE5EFA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后改正时间＜2个工作日，系数为0；2.2个工作日≤逾期后改正时间＜4个工作日，系数为2；3.4个工作日≤逾期后改正时间＜6个工作日，系数为4；4.6个工作日≤逾期后改正时间＜8个工作日，系数为6；5.8个工作日≤逾期后改正时间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6A079E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罚款金额=中标项目金额×1‰×（1+情节系数）</w:t>
            </w:r>
          </w:p>
        </w:tc>
        <w:tc>
          <w:tcPr>
            <w:tcW w:w="1973" w:type="dxa"/>
            <w:gridSpan w:val="2"/>
            <w:tcBorders>
              <w:top w:val="nil"/>
              <w:left w:val="nil"/>
              <w:bottom w:val="single" w:color="auto" w:sz="4" w:space="0"/>
              <w:right w:val="single" w:color="auto" w:sz="4" w:space="0"/>
            </w:tcBorders>
            <w:noWrap w:val="0"/>
            <w:vAlign w:val="center"/>
          </w:tcPr>
          <w:p w14:paraId="349C3F8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需要作出中标金额1‰以下罚款决定的，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40042D6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53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5F0AA5A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14:paraId="06B98B3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招标人依法应当公开招标而采用邀请招标（水利项目）</w:t>
            </w:r>
          </w:p>
        </w:tc>
        <w:tc>
          <w:tcPr>
            <w:tcW w:w="2793" w:type="dxa"/>
            <w:gridSpan w:val="2"/>
            <w:tcBorders>
              <w:top w:val="nil"/>
              <w:left w:val="nil"/>
              <w:bottom w:val="single" w:color="auto" w:sz="4" w:space="0"/>
              <w:right w:val="single" w:color="auto" w:sz="4" w:space="0"/>
            </w:tcBorders>
            <w:noWrap w:val="0"/>
            <w:vAlign w:val="center"/>
          </w:tcPr>
          <w:p w14:paraId="07668DF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处罚条款：第六十四条第一款第（一）项，责令改正，可以处10万元以下的罚款。</w:t>
            </w:r>
          </w:p>
        </w:tc>
        <w:tc>
          <w:tcPr>
            <w:tcW w:w="864" w:type="dxa"/>
            <w:gridSpan w:val="2"/>
            <w:tcBorders>
              <w:top w:val="nil"/>
              <w:left w:val="nil"/>
              <w:bottom w:val="single" w:color="auto" w:sz="4" w:space="0"/>
              <w:right w:val="single" w:color="auto" w:sz="4" w:space="0"/>
            </w:tcBorders>
            <w:noWrap w:val="0"/>
            <w:vAlign w:val="center"/>
          </w:tcPr>
          <w:p w14:paraId="0562264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0"/>
            <w:vAlign w:val="center"/>
          </w:tcPr>
          <w:p w14:paraId="3925EB0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0921DA3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招标控制价＜法定必须招标的金额标准2倍，系数为0；法定必须招标的金额标准2倍≤招标控制价＜法定必须招标的金额标准3倍，系数为1；每增加1倍（不足1倍的，按1倍计），系数加1；法定必须招标的金额标准10倍≤招标控制价，系数为9。2.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F0DA21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1C8F59F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需要作出10000元以下罚款决定的，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5D55A01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1A3AC65E">
            <w:pPr>
              <w:widowControl/>
              <w:jc w:val="center"/>
              <w:outlineLvl w:val="1"/>
              <w:rPr>
                <w:rFonts w:ascii="Times New Roman" w:hAnsi="Times New Roman" w:eastAsia="宋体" w:cs="Times New Roman"/>
                <w:color w:val="auto"/>
                <w:kern w:val="0"/>
                <w:szCs w:val="21"/>
                <w:highlight w:val="none"/>
              </w:rPr>
            </w:pPr>
            <w:bookmarkStart w:id="346" w:name="_Toc803184549"/>
            <w:bookmarkStart w:id="347" w:name="_Toc1506442196"/>
            <w:bookmarkStart w:id="348" w:name="_Toc218468888"/>
            <w:r>
              <w:rPr>
                <w:rFonts w:hint="eastAsia" w:ascii="宋体" w:hAnsi="宋体" w:eastAsia="宋体" w:cs="宋体"/>
                <w:b/>
                <w:bCs/>
                <w:color w:val="auto"/>
                <w:kern w:val="0"/>
                <w:szCs w:val="21"/>
                <w:highlight w:val="none"/>
              </w:rPr>
              <w:t>《工程建设项目施工招标投标办法》案由1项</w:t>
            </w:r>
            <w:bookmarkEnd w:id="346"/>
            <w:bookmarkEnd w:id="347"/>
            <w:bookmarkEnd w:id="348"/>
          </w:p>
        </w:tc>
      </w:tr>
      <w:tr w14:paraId="6007AFA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682D5129">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46E743E5">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依法必须进行招标的项目，招标人违法与投标人就投标价格、投标方案等实质性内容进行谈判（水利项目）</w:t>
            </w:r>
          </w:p>
        </w:tc>
        <w:tc>
          <w:tcPr>
            <w:tcW w:w="2793" w:type="dxa"/>
            <w:gridSpan w:val="2"/>
            <w:tcBorders>
              <w:top w:val="nil"/>
              <w:left w:val="nil"/>
              <w:bottom w:val="single" w:color="auto" w:sz="4" w:space="0"/>
              <w:right w:val="single" w:color="auto" w:sz="4" w:space="0"/>
            </w:tcBorders>
            <w:noWrap w:val="0"/>
            <w:vAlign w:val="center"/>
          </w:tcPr>
          <w:p w14:paraId="060631AE">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违反条款：第七十六条；</w:t>
            </w:r>
            <w:r>
              <w:rPr>
                <w:rFonts w:ascii="Times New Roman" w:hAnsi="Times New Roman" w:eastAsia="宋体" w:cs="Times New Roman"/>
                <w:color w:val="auto"/>
                <w:kern w:val="0"/>
                <w:sz w:val="15"/>
                <w:szCs w:val="15"/>
                <w:highlight w:val="none"/>
              </w:rPr>
              <w:br w:type="textWrapping"/>
            </w:r>
            <w:r>
              <w:rPr>
                <w:rFonts w:ascii="Times New Roman" w:hAnsi="Times New Roman" w:eastAsia="宋体" w:cs="Times New Roman"/>
                <w:color w:val="auto"/>
                <w:kern w:val="0"/>
                <w:sz w:val="15"/>
                <w:szCs w:val="15"/>
                <w:highlight w:val="none"/>
              </w:rPr>
              <w:t>处罚条款：第七十六条，给予警告。</w:t>
            </w:r>
          </w:p>
        </w:tc>
        <w:tc>
          <w:tcPr>
            <w:tcW w:w="864" w:type="dxa"/>
            <w:gridSpan w:val="2"/>
            <w:tcBorders>
              <w:top w:val="nil"/>
              <w:left w:val="nil"/>
              <w:bottom w:val="single" w:color="auto" w:sz="4" w:space="0"/>
              <w:right w:val="single" w:color="auto" w:sz="4" w:space="0"/>
            </w:tcBorders>
            <w:noWrap w:val="0"/>
            <w:vAlign w:val="center"/>
          </w:tcPr>
          <w:p w14:paraId="29EE33DF">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05481509">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5AE873AF">
            <w:pPr>
              <w:widowControl/>
              <w:jc w:val="center"/>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3BC64BB9">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7C343566">
            <w:pPr>
              <w:widowControl/>
              <w:jc w:val="left"/>
              <w:rPr>
                <w:rFonts w:ascii="Times New Roman" w:hAnsi="Times New Roman" w:eastAsia="宋体" w:cs="Times New Roman"/>
                <w:color w:val="auto"/>
                <w:kern w:val="0"/>
                <w:sz w:val="15"/>
                <w:szCs w:val="15"/>
                <w:highlight w:val="none"/>
              </w:rPr>
            </w:pPr>
            <w:r>
              <w:rPr>
                <w:rFonts w:ascii="Times New Roman" w:hAnsi="Times New Roman" w:eastAsia="宋体" w:cs="Times New Roman"/>
                <w:color w:val="auto"/>
                <w:kern w:val="0"/>
                <w:sz w:val="15"/>
                <w:szCs w:val="15"/>
                <w:highlight w:val="none"/>
              </w:rPr>
              <w:t>　</w:t>
            </w:r>
          </w:p>
        </w:tc>
      </w:tr>
      <w:tr w14:paraId="1750E6B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7CE32C60">
            <w:pPr>
              <w:widowControl/>
              <w:jc w:val="center"/>
              <w:outlineLvl w:val="0"/>
              <w:rPr>
                <w:rFonts w:ascii="Times New Roman" w:hAnsi="Times New Roman" w:eastAsia="宋体" w:cs="Times New Roman"/>
                <w:color w:val="auto"/>
                <w:kern w:val="0"/>
                <w:sz w:val="28"/>
                <w:szCs w:val="28"/>
                <w:highlight w:val="none"/>
              </w:rPr>
            </w:pPr>
            <w:bookmarkStart w:id="349" w:name="_Toc218468889"/>
            <w:bookmarkStart w:id="350" w:name="_Toc540032834"/>
            <w:bookmarkStart w:id="351" w:name="_Toc1064629641"/>
            <w:r>
              <w:rPr>
                <w:rFonts w:hint="eastAsia" w:ascii="黑体" w:hAnsi="黑体" w:eastAsia="黑体" w:cs="黑体"/>
                <w:color w:val="auto"/>
                <w:kern w:val="0"/>
                <w:sz w:val="28"/>
                <w:szCs w:val="28"/>
                <w:highlight w:val="none"/>
              </w:rPr>
              <w:t>水利建设勘察设计管理方面</w:t>
            </w:r>
            <w:bookmarkEnd w:id="349"/>
            <w:bookmarkEnd w:id="350"/>
            <w:bookmarkEnd w:id="351"/>
          </w:p>
        </w:tc>
      </w:tr>
      <w:tr w14:paraId="6D15774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0"/>
            <w:vAlign w:val="center"/>
          </w:tcPr>
          <w:p w14:paraId="218E121C">
            <w:pPr>
              <w:widowControl/>
              <w:jc w:val="center"/>
              <w:outlineLvl w:val="1"/>
              <w:rPr>
                <w:rFonts w:hint="eastAsia" w:ascii="宋体" w:hAnsi="宋体" w:eastAsia="宋体" w:cs="宋体"/>
                <w:color w:val="auto"/>
                <w:kern w:val="0"/>
                <w:szCs w:val="21"/>
                <w:highlight w:val="none"/>
              </w:rPr>
            </w:pPr>
            <w:bookmarkStart w:id="352" w:name="_Toc218468890"/>
            <w:bookmarkStart w:id="353" w:name="_Toc1950515509"/>
            <w:bookmarkStart w:id="354" w:name="_Toc1445542441"/>
            <w:r>
              <w:rPr>
                <w:rFonts w:hint="eastAsia" w:ascii="宋体" w:hAnsi="宋体" w:eastAsia="宋体" w:cs="宋体"/>
                <w:b/>
                <w:bCs/>
                <w:color w:val="auto"/>
                <w:kern w:val="0"/>
                <w:szCs w:val="21"/>
                <w:highlight w:val="none"/>
              </w:rPr>
              <w:t>《建设工程勘察设计管理条例》案由5项</w:t>
            </w:r>
            <w:bookmarkEnd w:id="352"/>
            <w:bookmarkEnd w:id="353"/>
            <w:bookmarkEnd w:id="354"/>
          </w:p>
        </w:tc>
      </w:tr>
      <w:tr w14:paraId="115234D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14:paraId="14344A8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4E416A3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水利建设工程勘察、设计单位以其他单位的名义承揽业务</w:t>
            </w:r>
          </w:p>
        </w:tc>
        <w:tc>
          <w:tcPr>
            <w:tcW w:w="2793" w:type="dxa"/>
            <w:gridSpan w:val="2"/>
            <w:tcBorders>
              <w:top w:val="nil"/>
              <w:left w:val="nil"/>
              <w:bottom w:val="single" w:color="auto" w:sz="4" w:space="0"/>
              <w:right w:val="single" w:color="auto" w:sz="4" w:space="0"/>
            </w:tcBorders>
            <w:noWrap w:val="0"/>
            <w:vAlign w:val="center"/>
          </w:tcPr>
          <w:p w14:paraId="354FC58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处罚条款：第三十五条第一款，责令停止违法行为，处合同约定的勘察费、设计费1倍以上2倍以下的罚款，有违法所得的，予以没收；可以责令停业整顿，降低资质等级；情节严重的，吊销资质证书。</w:t>
            </w:r>
          </w:p>
        </w:tc>
        <w:tc>
          <w:tcPr>
            <w:tcW w:w="864" w:type="dxa"/>
            <w:gridSpan w:val="2"/>
            <w:tcBorders>
              <w:top w:val="nil"/>
              <w:left w:val="nil"/>
              <w:bottom w:val="single" w:color="auto" w:sz="4" w:space="0"/>
              <w:right w:val="single" w:color="auto" w:sz="4" w:space="0"/>
            </w:tcBorders>
            <w:noWrap w:val="0"/>
            <w:vAlign w:val="center"/>
          </w:tcPr>
          <w:p w14:paraId="520EFA7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勘察费或设计费×1倍</w:t>
            </w:r>
          </w:p>
        </w:tc>
        <w:tc>
          <w:tcPr>
            <w:tcW w:w="840" w:type="dxa"/>
            <w:tcBorders>
              <w:top w:val="nil"/>
              <w:left w:val="nil"/>
              <w:bottom w:val="single" w:color="auto" w:sz="4" w:space="0"/>
              <w:right w:val="single" w:color="auto" w:sz="4" w:space="0"/>
            </w:tcBorders>
            <w:noWrap w:val="0"/>
            <w:vAlign w:val="center"/>
          </w:tcPr>
          <w:p w14:paraId="3442E60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7B22436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1.资质等级为乙级，系数为0；2.资质等级为甲级或造成其他恶劣影响或造成工程质量事故的，系数为1。3.存在基准2.1.3规定情形的，系数按照相关规定确定（基准2.1.3.5不适用）。有违法所得的，没收违法所得。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2FCCD09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罚款金额=勘察费或设计费×1倍×（1+情节系数）</w:t>
            </w:r>
          </w:p>
        </w:tc>
        <w:tc>
          <w:tcPr>
            <w:tcW w:w="1973" w:type="dxa"/>
            <w:gridSpan w:val="2"/>
            <w:tcBorders>
              <w:top w:val="nil"/>
              <w:left w:val="nil"/>
              <w:bottom w:val="single" w:color="auto" w:sz="4" w:space="0"/>
              <w:right w:val="single" w:color="auto" w:sz="4" w:space="0"/>
            </w:tcBorders>
            <w:noWrap w:val="0"/>
            <w:vAlign w:val="center"/>
          </w:tcPr>
          <w:p w14:paraId="5E53930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14:paraId="34398DB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71F94B7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229A942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未经注册，擅自从事水利建设工程勘察、设计活动</w:t>
            </w:r>
          </w:p>
        </w:tc>
        <w:tc>
          <w:tcPr>
            <w:tcW w:w="2793" w:type="dxa"/>
            <w:gridSpan w:val="2"/>
            <w:tcBorders>
              <w:top w:val="nil"/>
              <w:left w:val="nil"/>
              <w:bottom w:val="single" w:color="auto" w:sz="4" w:space="0"/>
              <w:right w:val="single" w:color="auto" w:sz="4" w:space="0"/>
            </w:tcBorders>
            <w:noWrap w:val="0"/>
            <w:vAlign w:val="center"/>
          </w:tcPr>
          <w:p w14:paraId="6B540E9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处罚条款：第三十六条，责令停止违法行为，没收违法所得，处违法所得2倍以上5倍以下罚款。</w:t>
            </w:r>
          </w:p>
        </w:tc>
        <w:tc>
          <w:tcPr>
            <w:tcW w:w="864" w:type="dxa"/>
            <w:gridSpan w:val="2"/>
            <w:tcBorders>
              <w:top w:val="nil"/>
              <w:left w:val="nil"/>
              <w:bottom w:val="single" w:color="auto" w:sz="4" w:space="0"/>
              <w:right w:val="single" w:color="auto" w:sz="4" w:space="0"/>
            </w:tcBorders>
            <w:noWrap w:val="0"/>
            <w:vAlign w:val="center"/>
          </w:tcPr>
          <w:p w14:paraId="1DFCC60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违法所得×2倍</w:t>
            </w:r>
          </w:p>
        </w:tc>
        <w:tc>
          <w:tcPr>
            <w:tcW w:w="840" w:type="dxa"/>
            <w:tcBorders>
              <w:top w:val="nil"/>
              <w:left w:val="nil"/>
              <w:bottom w:val="single" w:color="auto" w:sz="4" w:space="0"/>
              <w:right w:val="single" w:color="auto" w:sz="4" w:space="0"/>
            </w:tcBorders>
            <w:noWrap w:val="0"/>
            <w:vAlign w:val="center"/>
          </w:tcPr>
          <w:p w14:paraId="4773D09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27AB861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取得执业资格但未注册从事相应资质活动，系数为0；2.未取得执业资格从事活动或取得执业资格从事高于注册资质等级活动，系数为1；3.造成其他恶劣影响或造成工程质量事故的，系数为1.5。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230B4C9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罚款金额=违法所得×2倍×（1+情节系数）</w:t>
            </w:r>
          </w:p>
        </w:tc>
        <w:tc>
          <w:tcPr>
            <w:tcW w:w="1973" w:type="dxa"/>
            <w:gridSpan w:val="2"/>
            <w:tcBorders>
              <w:top w:val="nil"/>
              <w:left w:val="nil"/>
              <w:bottom w:val="single" w:color="auto" w:sz="4" w:space="0"/>
              <w:right w:val="single" w:color="auto" w:sz="4" w:space="0"/>
            </w:tcBorders>
            <w:noWrap w:val="0"/>
            <w:vAlign w:val="center"/>
          </w:tcPr>
          <w:p w14:paraId="52B8B83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6F3F3DF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14:paraId="25FC160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14:paraId="332E213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建设工程勘察、设计注册执业人员和其他专业技术人员未受聘于一个建设工程勘察、设计单位或者同时受聘于两个以上建设工程勘察、设计单位，从事水利建设工程勘察、设计活动</w:t>
            </w:r>
          </w:p>
        </w:tc>
        <w:tc>
          <w:tcPr>
            <w:tcW w:w="2793" w:type="dxa"/>
            <w:gridSpan w:val="2"/>
            <w:tcBorders>
              <w:top w:val="nil"/>
              <w:left w:val="nil"/>
              <w:bottom w:val="single" w:color="auto" w:sz="4" w:space="0"/>
              <w:right w:val="single" w:color="auto" w:sz="4" w:space="0"/>
            </w:tcBorders>
            <w:noWrap w:val="0"/>
            <w:vAlign w:val="center"/>
          </w:tcPr>
          <w:p w14:paraId="6FA73BF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处罚条款：第三十七条，责令停止违法行为，没收违法所得，处违法所得2倍以上5倍以下的罚款；情节严重的，可以责令停止执行业务或者吊销资格证书。</w:t>
            </w:r>
          </w:p>
        </w:tc>
        <w:tc>
          <w:tcPr>
            <w:tcW w:w="864" w:type="dxa"/>
            <w:gridSpan w:val="2"/>
            <w:tcBorders>
              <w:top w:val="nil"/>
              <w:left w:val="nil"/>
              <w:bottom w:val="single" w:color="auto" w:sz="4" w:space="0"/>
              <w:right w:val="single" w:color="auto" w:sz="4" w:space="0"/>
            </w:tcBorders>
            <w:noWrap w:val="0"/>
            <w:vAlign w:val="center"/>
          </w:tcPr>
          <w:p w14:paraId="13C9C39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违法所得×2倍</w:t>
            </w:r>
          </w:p>
        </w:tc>
        <w:tc>
          <w:tcPr>
            <w:tcW w:w="840" w:type="dxa"/>
            <w:tcBorders>
              <w:top w:val="nil"/>
              <w:left w:val="nil"/>
              <w:bottom w:val="single" w:color="auto" w:sz="4" w:space="0"/>
              <w:right w:val="single" w:color="auto" w:sz="4" w:space="0"/>
            </w:tcBorders>
            <w:noWrap w:val="0"/>
            <w:vAlign w:val="center"/>
          </w:tcPr>
          <w:p w14:paraId="7DEA8A3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5164A8B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受聘或同时受聘两个及以上单位从事工程勘察、设计乙级资质活动，系数为0；2.未受聘或同时受聘两个单位从事工程勘察、设计涉及甲级资质活动，系数为1；3.同时受聘三个及以上单位从事工程勘察、设计活动或造成其他恶劣影响或造成工程质量事故的，系数为1.5。4.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2F33B50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罚款金额=违法所得×2倍×（1+情节系数）</w:t>
            </w:r>
          </w:p>
        </w:tc>
        <w:tc>
          <w:tcPr>
            <w:tcW w:w="1973" w:type="dxa"/>
            <w:gridSpan w:val="2"/>
            <w:tcBorders>
              <w:top w:val="nil"/>
              <w:left w:val="nil"/>
              <w:bottom w:val="single" w:color="auto" w:sz="4" w:space="0"/>
              <w:right w:val="single" w:color="auto" w:sz="4" w:space="0"/>
            </w:tcBorders>
            <w:noWrap w:val="0"/>
            <w:vAlign w:val="center"/>
          </w:tcPr>
          <w:p w14:paraId="748EC17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止执行业务或吊销资格证书的，在作出处罚决定前，要邀请行业主管部门共同会商。</w:t>
            </w:r>
          </w:p>
        </w:tc>
      </w:tr>
      <w:tr w14:paraId="14261E5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026C80F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14:paraId="651044D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发包方将水利建设工程勘察、设计业务发包给不具有相应资质等级的水利建设工程勘察、设计单位</w:t>
            </w:r>
          </w:p>
        </w:tc>
        <w:tc>
          <w:tcPr>
            <w:tcW w:w="2793" w:type="dxa"/>
            <w:gridSpan w:val="2"/>
            <w:tcBorders>
              <w:top w:val="nil"/>
              <w:left w:val="nil"/>
              <w:bottom w:val="single" w:color="auto" w:sz="4" w:space="0"/>
              <w:right w:val="single" w:color="auto" w:sz="4" w:space="0"/>
            </w:tcBorders>
            <w:noWrap w:val="0"/>
            <w:vAlign w:val="center"/>
          </w:tcPr>
          <w:p w14:paraId="1F14F16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处罚条款：第三十八条，责令改正，处50万元以上100万元以下的罚款。</w:t>
            </w:r>
          </w:p>
        </w:tc>
        <w:tc>
          <w:tcPr>
            <w:tcW w:w="864" w:type="dxa"/>
            <w:gridSpan w:val="2"/>
            <w:tcBorders>
              <w:top w:val="nil"/>
              <w:left w:val="nil"/>
              <w:bottom w:val="single" w:color="auto" w:sz="4" w:space="0"/>
              <w:right w:val="single" w:color="auto" w:sz="4" w:space="0"/>
            </w:tcBorders>
            <w:noWrap w:val="0"/>
            <w:vAlign w:val="center"/>
          </w:tcPr>
          <w:p w14:paraId="4399C2F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500000 </w:t>
            </w:r>
          </w:p>
        </w:tc>
        <w:tc>
          <w:tcPr>
            <w:tcW w:w="840" w:type="dxa"/>
            <w:tcBorders>
              <w:top w:val="nil"/>
              <w:left w:val="nil"/>
              <w:bottom w:val="single" w:color="auto" w:sz="4" w:space="0"/>
              <w:right w:val="single" w:color="auto" w:sz="4" w:space="0"/>
            </w:tcBorders>
            <w:noWrap w:val="0"/>
            <w:vAlign w:val="center"/>
          </w:tcPr>
          <w:p w14:paraId="52ECE8A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481D5F2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系数为0.2；3.300万元≤勘察或设计费＜400万元，系数为0.4；4.400万元≤勘察或设计费＜500万元，系数为0.6；5.500万元≤勘察或设计费＜600万元，系数为0.8；6.600万元≤勘察或设计费，系数为1；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0B2729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14:paraId="2B0026A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5B1C359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1FEF9B4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14:paraId="52411CB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勘察、设计单位未按照要求编制建设工程勘察、设计文件</w:t>
            </w:r>
          </w:p>
        </w:tc>
        <w:tc>
          <w:tcPr>
            <w:tcW w:w="2793" w:type="dxa"/>
            <w:gridSpan w:val="2"/>
            <w:tcBorders>
              <w:top w:val="nil"/>
              <w:left w:val="nil"/>
              <w:bottom w:val="single" w:color="auto" w:sz="4" w:space="0"/>
              <w:right w:val="single" w:color="auto" w:sz="4" w:space="0"/>
            </w:tcBorders>
            <w:noWrap w:val="0"/>
            <w:vAlign w:val="center"/>
          </w:tcPr>
          <w:p w14:paraId="781ABD6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处罚条款：第四十条，责令限期改正，逾期不改正的，处10万元以上30万元以下的罚款，造成工程质量事故或者环境污染和生态破坏的，责令停业整顿，降低资质等级，情节严重的，吊销资质证书。</w:t>
            </w:r>
          </w:p>
        </w:tc>
        <w:tc>
          <w:tcPr>
            <w:tcW w:w="864" w:type="dxa"/>
            <w:gridSpan w:val="2"/>
            <w:tcBorders>
              <w:top w:val="nil"/>
              <w:left w:val="nil"/>
              <w:bottom w:val="single" w:color="auto" w:sz="4" w:space="0"/>
              <w:right w:val="single" w:color="auto" w:sz="4" w:space="0"/>
            </w:tcBorders>
            <w:noWrap w:val="0"/>
            <w:vAlign w:val="center"/>
          </w:tcPr>
          <w:p w14:paraId="3BAEEE5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14:paraId="504CFE5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412EF6A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系数为0.4；3.300万元≤勘察或设计费＜400万元，系数为0.8；4.400万元≤勘察或设计费＜500万元，系数为1.2；5.500万元≤勘察或设计费＜600万元，系数为1.6；6.600万元≤勘察或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D7E763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10EC82B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0E00C2B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ign w:val="center"/>
          </w:tcPr>
          <w:p w14:paraId="64AEEBDE">
            <w:pPr>
              <w:widowControl/>
              <w:jc w:val="center"/>
              <w:outlineLvl w:val="1"/>
              <w:rPr>
                <w:rFonts w:ascii="Times New Roman" w:hAnsi="Times New Roman" w:eastAsia="宋体" w:cs="Times New Roman"/>
                <w:color w:val="auto"/>
                <w:kern w:val="0"/>
                <w:szCs w:val="21"/>
                <w:highlight w:val="none"/>
              </w:rPr>
            </w:pPr>
            <w:bookmarkStart w:id="355" w:name="_Toc218468891"/>
            <w:bookmarkStart w:id="356" w:name="_Toc238842986"/>
            <w:bookmarkStart w:id="357" w:name="_Toc1671658466"/>
            <w:r>
              <w:rPr>
                <w:rFonts w:ascii="Times New Roman" w:hAnsi="Times New Roman" w:eastAsia="宋体" w:cs="Times New Roman"/>
                <w:b/>
                <w:bCs/>
                <w:color w:val="auto"/>
                <w:kern w:val="0"/>
                <w:szCs w:val="21"/>
                <w:highlight w:val="none"/>
              </w:rPr>
              <w:t>《建设工程质量管理条例》《水利工程质量管理规定》案由4项</w:t>
            </w:r>
            <w:bookmarkEnd w:id="355"/>
            <w:bookmarkEnd w:id="356"/>
            <w:bookmarkEnd w:id="357"/>
          </w:p>
        </w:tc>
      </w:tr>
      <w:tr w14:paraId="0CE15A0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14:paraId="284F941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7D5C825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建设工程勘察、设计单位将所承揽的水利建设工程勘察、设计转包或者违法分包</w:t>
            </w:r>
          </w:p>
        </w:tc>
        <w:tc>
          <w:tcPr>
            <w:tcW w:w="2793" w:type="dxa"/>
            <w:gridSpan w:val="2"/>
            <w:tcBorders>
              <w:top w:val="nil"/>
              <w:left w:val="nil"/>
              <w:bottom w:val="single" w:color="auto" w:sz="4" w:space="0"/>
              <w:right w:val="single" w:color="auto" w:sz="4" w:space="0"/>
            </w:tcBorders>
            <w:noWrap w:val="0"/>
            <w:vAlign w:val="center"/>
          </w:tcPr>
          <w:p w14:paraId="362380F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违反条款：《条例》第十八条第三款；《规定》第二十一条；</w:t>
            </w:r>
            <w:r>
              <w:rPr>
                <w:rFonts w:hint="eastAsia" w:ascii="宋体" w:hAnsi="宋体" w:eastAsia="宋体" w:cs="宋体"/>
                <w:strike/>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对勘察、设计单位处合同约定的勘察费、设计费25%以上50%以下的罚款，可以责令停业整顿，降低资质等级，情节严重的，吊销资质证书；《规定》第二十一条，责令改正，没收违法所得，对勘察、设计单位处合同约定的勘察费、设计费25%以上50%以下的罚款。</w:t>
            </w:r>
          </w:p>
        </w:tc>
        <w:tc>
          <w:tcPr>
            <w:tcW w:w="864" w:type="dxa"/>
            <w:gridSpan w:val="2"/>
            <w:tcBorders>
              <w:top w:val="nil"/>
              <w:left w:val="nil"/>
              <w:bottom w:val="single" w:color="auto" w:sz="4" w:space="0"/>
              <w:right w:val="single" w:color="auto" w:sz="4" w:space="0"/>
            </w:tcBorders>
            <w:noWrap w:val="0"/>
            <w:vAlign w:val="center"/>
          </w:tcPr>
          <w:p w14:paraId="7EEBCFF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勘察费或设计费×25%</w:t>
            </w:r>
          </w:p>
        </w:tc>
        <w:tc>
          <w:tcPr>
            <w:tcW w:w="840" w:type="dxa"/>
            <w:tcBorders>
              <w:top w:val="nil"/>
              <w:left w:val="nil"/>
              <w:bottom w:val="single" w:color="auto" w:sz="4" w:space="0"/>
              <w:right w:val="single" w:color="auto" w:sz="4" w:space="0"/>
            </w:tcBorders>
            <w:noWrap w:val="0"/>
            <w:vAlign w:val="center"/>
          </w:tcPr>
          <w:p w14:paraId="6519892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0B7FC4D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1.资质等级为乙级，系数为0；2.资质等级为甲级或造成其他恶劣影响或造成工程质量事故的</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系数为1。3.存在基准2.1.3规定情形的，系数按照相关规定确定（基准2.1.3.5不适用）。有违法所得的，没收违法所得。</w:t>
            </w:r>
          </w:p>
        </w:tc>
        <w:tc>
          <w:tcPr>
            <w:tcW w:w="1881" w:type="dxa"/>
            <w:gridSpan w:val="2"/>
            <w:tcBorders>
              <w:top w:val="nil"/>
              <w:left w:val="nil"/>
              <w:bottom w:val="single" w:color="auto" w:sz="4" w:space="0"/>
              <w:right w:val="single" w:color="auto" w:sz="4" w:space="0"/>
            </w:tcBorders>
            <w:noWrap w:val="0"/>
            <w:vAlign w:val="center"/>
          </w:tcPr>
          <w:p w14:paraId="18EFA3C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罚款金额=勘察费或设计费×25%×（1+情节系数）</w:t>
            </w:r>
          </w:p>
        </w:tc>
        <w:tc>
          <w:tcPr>
            <w:tcW w:w="1973" w:type="dxa"/>
            <w:gridSpan w:val="2"/>
            <w:tcBorders>
              <w:top w:val="nil"/>
              <w:left w:val="nil"/>
              <w:bottom w:val="single" w:color="auto" w:sz="4" w:space="0"/>
              <w:right w:val="single" w:color="auto" w:sz="4" w:space="0"/>
            </w:tcBorders>
            <w:noWrap w:val="0"/>
            <w:vAlign w:val="center"/>
          </w:tcPr>
          <w:p w14:paraId="2D7E01D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14:paraId="35C4A20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14:paraId="201C65C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1C9D835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设计单位未根据勘察成果文件进行水利工程设计</w:t>
            </w:r>
          </w:p>
        </w:tc>
        <w:tc>
          <w:tcPr>
            <w:tcW w:w="2793" w:type="dxa"/>
            <w:gridSpan w:val="2"/>
            <w:tcBorders>
              <w:top w:val="nil"/>
              <w:left w:val="nil"/>
              <w:bottom w:val="single" w:color="auto" w:sz="4" w:space="0"/>
              <w:right w:val="single" w:color="auto" w:sz="4" w:space="0"/>
            </w:tcBorders>
            <w:noWrap w:val="0"/>
            <w:vAlign w:val="center"/>
          </w:tcPr>
          <w:p w14:paraId="5A5C710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违反条款：《条例》第二十一条第一款；《规定》第二十五条第一款；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二）项，责令改正，处10万元以上30万元以下的罚款；《条例》第六十三条第二款，有前款所列行为，造成工程质量事故的，责令停业整顿，降低资质等级；情节严重的，吊销资质证书。《规定》第六十六条第一款第（二）项，责令改正，处10万元以上30万元以下的罚款。</w:t>
            </w:r>
          </w:p>
        </w:tc>
        <w:tc>
          <w:tcPr>
            <w:tcW w:w="864" w:type="dxa"/>
            <w:gridSpan w:val="2"/>
            <w:tcBorders>
              <w:top w:val="nil"/>
              <w:left w:val="nil"/>
              <w:bottom w:val="single" w:color="auto" w:sz="4" w:space="0"/>
              <w:right w:val="single" w:color="auto" w:sz="4" w:space="0"/>
            </w:tcBorders>
            <w:noWrap w:val="0"/>
            <w:vAlign w:val="center"/>
          </w:tcPr>
          <w:p w14:paraId="03C5C30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14:paraId="684BA95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67A4A3D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96FACB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3EAF214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较大及以上安全事故；2.经执法部门处罚后，一年度内再次发生同类型违法行为。拟作出停业整顿、降低资质等级、吊销资质证书的，在作出处罚决定前，要邀请行业主管部门共同会商。</w:t>
            </w:r>
          </w:p>
        </w:tc>
      </w:tr>
      <w:tr w14:paraId="1299065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14:paraId="590E6BF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14:paraId="7EEDC12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设计单位违反规定指定生产厂、供应商</w:t>
            </w:r>
          </w:p>
        </w:tc>
        <w:tc>
          <w:tcPr>
            <w:tcW w:w="2793" w:type="dxa"/>
            <w:gridSpan w:val="2"/>
            <w:tcBorders>
              <w:top w:val="nil"/>
              <w:left w:val="nil"/>
              <w:bottom w:val="single" w:color="auto" w:sz="4" w:space="0"/>
              <w:right w:val="single" w:color="auto" w:sz="4" w:space="0"/>
            </w:tcBorders>
            <w:noWrap w:val="0"/>
            <w:vAlign w:val="center"/>
          </w:tcPr>
          <w:p w14:paraId="7EA167C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违反条款：《条例》第二十二条第二款；《规定》第二十六条第二款；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处罚条款：《条例》第六十三条第一款第（三）项，责令改正，处10万元以上30万元以下的罚款；《规定》第六十六条第一款第（三）项，责令改正，处10万元以上30万元以下的罚款。</w:t>
            </w:r>
          </w:p>
        </w:tc>
        <w:tc>
          <w:tcPr>
            <w:tcW w:w="864" w:type="dxa"/>
            <w:gridSpan w:val="2"/>
            <w:tcBorders>
              <w:top w:val="nil"/>
              <w:left w:val="nil"/>
              <w:bottom w:val="single" w:color="auto" w:sz="4" w:space="0"/>
              <w:right w:val="single" w:color="auto" w:sz="4" w:space="0"/>
            </w:tcBorders>
            <w:noWrap w:val="0"/>
            <w:vAlign w:val="center"/>
          </w:tcPr>
          <w:p w14:paraId="1A32209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14:paraId="7175DAD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651AD16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94BD12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779037A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741219A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14:paraId="65F07FB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14:paraId="6DDAE47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设计单位未按照工程建设强制性标准进行水利工程设计</w:t>
            </w:r>
          </w:p>
        </w:tc>
        <w:tc>
          <w:tcPr>
            <w:tcW w:w="2793" w:type="dxa"/>
            <w:gridSpan w:val="2"/>
            <w:tcBorders>
              <w:top w:val="nil"/>
              <w:left w:val="nil"/>
              <w:bottom w:val="single" w:color="auto" w:sz="4" w:space="0"/>
              <w:right w:val="single" w:color="auto" w:sz="4" w:space="0"/>
            </w:tcBorders>
            <w:noWrap w:val="0"/>
            <w:vAlign w:val="center"/>
          </w:tcPr>
          <w:p w14:paraId="170B3F0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违反条款：《条例》第十九条第一款；《规定》第二十二条；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处罚条款：《条例》第六十三条第一款第（四）项，责令改正，处10万元以上30万元以下的罚款；《规定》第六十六条第一款第（四）项，责令改正，处10万元以上30万元以下的罚款。</w:t>
            </w:r>
          </w:p>
        </w:tc>
        <w:tc>
          <w:tcPr>
            <w:tcW w:w="864" w:type="dxa"/>
            <w:gridSpan w:val="2"/>
            <w:tcBorders>
              <w:top w:val="nil"/>
              <w:left w:val="nil"/>
              <w:bottom w:val="single" w:color="auto" w:sz="4" w:space="0"/>
              <w:right w:val="single" w:color="auto" w:sz="4" w:space="0"/>
            </w:tcBorders>
            <w:noWrap w:val="0"/>
            <w:vAlign w:val="center"/>
          </w:tcPr>
          <w:p w14:paraId="62DAD30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14:paraId="59C7F15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7CDD9C5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其他恶劣影响或造成工程质量事故的，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20C501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0E34FDD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14:paraId="338D9C8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ign w:val="center"/>
          </w:tcPr>
          <w:p w14:paraId="0E13B3C3">
            <w:pPr>
              <w:widowControl/>
              <w:jc w:val="center"/>
              <w:outlineLvl w:val="1"/>
              <w:rPr>
                <w:rFonts w:ascii="Times New Roman" w:hAnsi="Times New Roman" w:eastAsia="宋体" w:cs="Times New Roman"/>
                <w:color w:val="auto"/>
                <w:kern w:val="0"/>
                <w:szCs w:val="21"/>
                <w:highlight w:val="none"/>
              </w:rPr>
            </w:pPr>
            <w:bookmarkStart w:id="358" w:name="_Toc218468892"/>
            <w:bookmarkStart w:id="359" w:name="_Toc1549955253"/>
            <w:bookmarkStart w:id="360" w:name="_Toc1869631069"/>
            <w:r>
              <w:rPr>
                <w:rFonts w:ascii="Times New Roman" w:hAnsi="Times New Roman" w:eastAsia="宋体" w:cs="Times New Roman"/>
                <w:b/>
                <w:bCs/>
                <w:color w:val="auto"/>
                <w:kern w:val="0"/>
                <w:szCs w:val="21"/>
                <w:highlight w:val="none"/>
              </w:rPr>
              <w:t>《建设工程勘察质量管理办法》案由17项</w:t>
            </w:r>
            <w:bookmarkEnd w:id="358"/>
            <w:bookmarkEnd w:id="359"/>
            <w:bookmarkEnd w:id="360"/>
          </w:p>
        </w:tc>
      </w:tr>
      <w:tr w14:paraId="18979D3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336DE48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619FB81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工程勘察企业法定代表人未建立或者落实本单位勘察质量管理制度</w:t>
            </w:r>
          </w:p>
        </w:tc>
        <w:tc>
          <w:tcPr>
            <w:tcW w:w="2793" w:type="dxa"/>
            <w:gridSpan w:val="2"/>
            <w:tcBorders>
              <w:top w:val="nil"/>
              <w:left w:val="nil"/>
              <w:bottom w:val="single" w:color="auto" w:sz="4" w:space="0"/>
              <w:right w:val="single" w:color="auto" w:sz="4" w:space="0"/>
            </w:tcBorders>
            <w:noWrap w:val="0"/>
            <w:vAlign w:val="center"/>
          </w:tcPr>
          <w:p w14:paraId="4DC337A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处罚条款：第二十五条第（一）项，责令改正，处1万元以上3万元以下的罚款。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0CFE760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6BE5A7B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50FE55F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建立勘察质量管理制度但落实管理要求，系数为0；2.建立勘察质量管理制度但未落实管理要求，系数为1；3.未建立勘察质量管理制度且未落实管理要求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D9CB47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23E869E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66C8A09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27B3B9E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2D27F1C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工程勘察企业法定代表人授权不具备相应资格的项目负责人开展勘察工作</w:t>
            </w:r>
          </w:p>
        </w:tc>
        <w:tc>
          <w:tcPr>
            <w:tcW w:w="2793" w:type="dxa"/>
            <w:gridSpan w:val="2"/>
            <w:tcBorders>
              <w:top w:val="nil"/>
              <w:left w:val="nil"/>
              <w:bottom w:val="single" w:color="auto" w:sz="4" w:space="0"/>
              <w:right w:val="single" w:color="auto" w:sz="4" w:space="0"/>
            </w:tcBorders>
            <w:noWrap w:val="0"/>
            <w:vAlign w:val="center"/>
          </w:tcPr>
          <w:p w14:paraId="77A5453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处罚条款：第二十五条第（二）项，责令改正，处1万元以上3万元以下的罚款。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049AF82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6BAA5F0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10BD0F7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720270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264A1BF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E977B5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0D46CDD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14:paraId="1252B24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工程勘察企业项目负责人未执行勘察纲要和工程建设强制性标准</w:t>
            </w:r>
          </w:p>
        </w:tc>
        <w:tc>
          <w:tcPr>
            <w:tcW w:w="2793" w:type="dxa"/>
            <w:gridSpan w:val="2"/>
            <w:tcBorders>
              <w:top w:val="nil"/>
              <w:left w:val="nil"/>
              <w:bottom w:val="single" w:color="auto" w:sz="4" w:space="0"/>
              <w:right w:val="single" w:color="auto" w:sz="4" w:space="0"/>
            </w:tcBorders>
            <w:noWrap w:val="0"/>
            <w:vAlign w:val="center"/>
          </w:tcPr>
          <w:p w14:paraId="63C2F16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处罚条款：第二十六条第（一）项，责令改正，处1万元以上3万元以下的罚款。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38749B2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0566684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08BC73E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AA1A38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3C83138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5AAC735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12F1BD3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14:paraId="1DBF94C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工程勘察企业项目负责人未落实本单位勘察质量管理制度或者未制定项目质量保证措施</w:t>
            </w:r>
          </w:p>
        </w:tc>
        <w:tc>
          <w:tcPr>
            <w:tcW w:w="2793" w:type="dxa"/>
            <w:gridSpan w:val="2"/>
            <w:tcBorders>
              <w:top w:val="nil"/>
              <w:left w:val="nil"/>
              <w:bottom w:val="single" w:color="auto" w:sz="4" w:space="0"/>
              <w:right w:val="single" w:color="auto" w:sz="4" w:space="0"/>
            </w:tcBorders>
            <w:noWrap w:val="0"/>
            <w:vAlign w:val="center"/>
          </w:tcPr>
          <w:p w14:paraId="3A97B7C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处罚条款：第二十六条第（二）项，责令改正，处1万元以上3万元以下的罚款。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76384C9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7590920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4F1940E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2931EA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09B1150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76E360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308B0CD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14:paraId="0A5B7C2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工程勘察企业项目负责人未对原始记录进行验收并签字</w:t>
            </w:r>
          </w:p>
        </w:tc>
        <w:tc>
          <w:tcPr>
            <w:tcW w:w="2793" w:type="dxa"/>
            <w:gridSpan w:val="2"/>
            <w:tcBorders>
              <w:top w:val="nil"/>
              <w:left w:val="nil"/>
              <w:bottom w:val="single" w:color="auto" w:sz="4" w:space="0"/>
              <w:right w:val="single" w:color="auto" w:sz="4" w:space="0"/>
            </w:tcBorders>
            <w:noWrap w:val="0"/>
            <w:vAlign w:val="center"/>
          </w:tcPr>
          <w:p w14:paraId="655DC64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处罚条款：第二十六条第（四）项，责令改正，处1万元以上3万元以下的罚款。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10104E4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2881C0B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0D03A04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进行验收并签字1处，系数为0；2.未进行验收并签字2处，系数为1；3.未进行验收并签字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86719C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7E26CB0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5DDB465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4D3BBD9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14:paraId="6B3A7C2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工程勘察企业项目负责人未对归档资料签字确认</w:t>
            </w:r>
          </w:p>
        </w:tc>
        <w:tc>
          <w:tcPr>
            <w:tcW w:w="2793" w:type="dxa"/>
            <w:gridSpan w:val="2"/>
            <w:tcBorders>
              <w:top w:val="nil"/>
              <w:left w:val="nil"/>
              <w:bottom w:val="single" w:color="auto" w:sz="4" w:space="0"/>
              <w:right w:val="single" w:color="auto" w:sz="4" w:space="0"/>
            </w:tcBorders>
            <w:noWrap w:val="0"/>
            <w:vAlign w:val="center"/>
          </w:tcPr>
          <w:p w14:paraId="76C9E19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处罚条款：第二十六条第（五）项，责令改正，处1万元以上3万元以下的罚款。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397CE5D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6E11CB5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14A97FA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对归档资料签字确认1处，系数为0；2.未对归档资料签字确认2处，系数为1；3.未对归档资料签字确认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0B16FC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0C227EC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76807DD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232EF86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14:paraId="33A8D31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工程勘察企业原始记录弄虚作假</w:t>
            </w:r>
          </w:p>
        </w:tc>
        <w:tc>
          <w:tcPr>
            <w:tcW w:w="2793" w:type="dxa"/>
            <w:gridSpan w:val="2"/>
            <w:tcBorders>
              <w:top w:val="nil"/>
              <w:left w:val="nil"/>
              <w:bottom w:val="single" w:color="auto" w:sz="4" w:space="0"/>
              <w:right w:val="single" w:color="auto" w:sz="4" w:space="0"/>
            </w:tcBorders>
            <w:noWrap w:val="0"/>
            <w:vAlign w:val="center"/>
          </w:tcPr>
          <w:p w14:paraId="05873C1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处罚条款：第二十四条第（四）项，责令改正，处1万元以上3万元以下的罚款。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1488186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74B671B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351E281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1.弄虚作假1处，系数为0；2.弄虚作假2处，系数为1；3.弄虚作假3处及以上或造成其他恶劣影响或造成工程质量事故的，系数为2。4.存在基准2.1.3规定情形的，系数按照相关规定确定（基准2.1.3.5不适用）。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CF2400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73061AB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37700B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05F90F1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14:paraId="31D40FC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工程勘察企业未将钻探、取样、原位测试、室内试验等主要过程的影像资料留存备查</w:t>
            </w:r>
          </w:p>
        </w:tc>
        <w:tc>
          <w:tcPr>
            <w:tcW w:w="2793" w:type="dxa"/>
            <w:gridSpan w:val="2"/>
            <w:tcBorders>
              <w:top w:val="nil"/>
              <w:left w:val="nil"/>
              <w:bottom w:val="single" w:color="auto" w:sz="4" w:space="0"/>
              <w:right w:val="single" w:color="auto" w:sz="4" w:space="0"/>
            </w:tcBorders>
            <w:noWrap w:val="0"/>
            <w:vAlign w:val="center"/>
          </w:tcPr>
          <w:p w14:paraId="7217634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处罚条款：第二十四条第（五）项，责令改正，处1万元以上3万元以下的罚款。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167B4F6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307EF33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62DEB41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留存影像资料1份，系数为0；2.未留存影像资料2份，系数为1；3.未留存影像资料3份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A34FBA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1B787B6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FDD05C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723299D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14:paraId="21655B4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工程勘察企业未按规定参加工程勘察技术交底和施工验槽</w:t>
            </w:r>
          </w:p>
        </w:tc>
        <w:tc>
          <w:tcPr>
            <w:tcW w:w="2793" w:type="dxa"/>
            <w:gridSpan w:val="2"/>
            <w:tcBorders>
              <w:top w:val="nil"/>
              <w:left w:val="nil"/>
              <w:bottom w:val="single" w:color="auto" w:sz="4" w:space="0"/>
              <w:right w:val="single" w:color="auto" w:sz="4" w:space="0"/>
            </w:tcBorders>
            <w:noWrap w:val="0"/>
            <w:vAlign w:val="center"/>
          </w:tcPr>
          <w:p w14:paraId="5B66B10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处罚条款：第二十四条第（三）项，责令改正，处1万元以上3万元以下的罚款。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6D577B4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4766DA3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100E617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317F70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2391AA1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1A68011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70" w:hRule="atLeast"/>
        </w:trPr>
        <w:tc>
          <w:tcPr>
            <w:tcW w:w="612" w:type="dxa"/>
            <w:gridSpan w:val="2"/>
            <w:tcBorders>
              <w:top w:val="nil"/>
              <w:left w:val="single" w:color="auto" w:sz="4" w:space="0"/>
              <w:bottom w:val="single" w:color="auto" w:sz="4" w:space="0"/>
              <w:right w:val="single" w:color="auto" w:sz="4" w:space="0"/>
            </w:tcBorders>
            <w:noWrap/>
            <w:vAlign w:val="center"/>
          </w:tcPr>
          <w:p w14:paraId="51039E8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14:paraId="33ADA1A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工程勘察企业未按规定及时将勘察文件和勘探、试验、测试原始记录及成果、质量安全管理记录归档保存</w:t>
            </w:r>
          </w:p>
        </w:tc>
        <w:tc>
          <w:tcPr>
            <w:tcW w:w="2793" w:type="dxa"/>
            <w:gridSpan w:val="2"/>
            <w:tcBorders>
              <w:top w:val="nil"/>
              <w:left w:val="nil"/>
              <w:bottom w:val="single" w:color="auto" w:sz="4" w:space="0"/>
              <w:right w:val="single" w:color="auto" w:sz="4" w:space="0"/>
            </w:tcBorders>
            <w:noWrap w:val="0"/>
            <w:vAlign w:val="center"/>
          </w:tcPr>
          <w:p w14:paraId="044FD69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处罚条款：第二十四条第（六）项，责令改正，处1万元以上3万元以下的罚款。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75A351C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4F825F3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3E8D14D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E02E01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046D330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43CA8D2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37AC6C8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14:paraId="71496B2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工程建设单位、勘察企业的法定代表人和其他直接责任人员因企业受到罚款处罚的</w:t>
            </w:r>
          </w:p>
        </w:tc>
        <w:tc>
          <w:tcPr>
            <w:tcW w:w="2793" w:type="dxa"/>
            <w:gridSpan w:val="2"/>
            <w:tcBorders>
              <w:top w:val="nil"/>
              <w:left w:val="nil"/>
              <w:bottom w:val="single" w:color="auto" w:sz="4" w:space="0"/>
              <w:right w:val="single" w:color="auto" w:sz="4" w:space="0"/>
            </w:tcBorders>
            <w:noWrap w:val="0"/>
            <w:vAlign w:val="center"/>
          </w:tcPr>
          <w:p w14:paraId="458718C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处罚条款：第二十七条，处以企业罚款数额的5%以上10%以下的罚款。</w:t>
            </w:r>
          </w:p>
        </w:tc>
        <w:tc>
          <w:tcPr>
            <w:tcW w:w="864" w:type="dxa"/>
            <w:gridSpan w:val="2"/>
            <w:tcBorders>
              <w:top w:val="nil"/>
              <w:left w:val="nil"/>
              <w:bottom w:val="single" w:color="auto" w:sz="4" w:space="0"/>
              <w:right w:val="single" w:color="auto" w:sz="4" w:space="0"/>
            </w:tcBorders>
            <w:noWrap w:val="0"/>
            <w:vAlign w:val="center"/>
          </w:tcPr>
          <w:p w14:paraId="426B4D4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企业罚款数额的5%</w:t>
            </w:r>
          </w:p>
        </w:tc>
        <w:tc>
          <w:tcPr>
            <w:tcW w:w="840" w:type="dxa"/>
            <w:tcBorders>
              <w:top w:val="nil"/>
              <w:left w:val="nil"/>
              <w:bottom w:val="single" w:color="auto" w:sz="4" w:space="0"/>
              <w:right w:val="single" w:color="auto" w:sz="4" w:space="0"/>
            </w:tcBorders>
            <w:noWrap w:val="0"/>
            <w:vAlign w:val="center"/>
          </w:tcPr>
          <w:p w14:paraId="040C266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45EF97A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0.5；3.500万≤项目勘察费或造成其他恶劣影响或造成工程质量事故的，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4139D8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罚款金额=企业罚款数额的5%×（1+情节系数）</w:t>
            </w:r>
          </w:p>
        </w:tc>
        <w:tc>
          <w:tcPr>
            <w:tcW w:w="1973" w:type="dxa"/>
            <w:gridSpan w:val="2"/>
            <w:tcBorders>
              <w:top w:val="nil"/>
              <w:left w:val="nil"/>
              <w:bottom w:val="single" w:color="auto" w:sz="4" w:space="0"/>
              <w:right w:val="single" w:color="auto" w:sz="4" w:space="0"/>
            </w:tcBorders>
            <w:noWrap w:val="0"/>
            <w:vAlign w:val="center"/>
          </w:tcPr>
          <w:p w14:paraId="3993206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A0A7AC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1980D21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14:paraId="4CE3476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建设单位未提供必要的现场工作条件或者提供与工程勘察有关的原始资料不真实、不可靠</w:t>
            </w:r>
          </w:p>
        </w:tc>
        <w:tc>
          <w:tcPr>
            <w:tcW w:w="2793" w:type="dxa"/>
            <w:gridSpan w:val="2"/>
            <w:tcBorders>
              <w:top w:val="nil"/>
              <w:left w:val="nil"/>
              <w:bottom w:val="single" w:color="auto" w:sz="4" w:space="0"/>
              <w:right w:val="single" w:color="auto" w:sz="4" w:space="0"/>
            </w:tcBorders>
            <w:noWrap w:val="0"/>
            <w:vAlign w:val="center"/>
          </w:tcPr>
          <w:p w14:paraId="5DE7EC8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处罚条款：第二十二条第（一）项</w:t>
            </w:r>
            <w:r>
              <w:rPr>
                <w:rFonts w:hint="eastAsia" w:ascii="宋体" w:hAnsi="宋体" w:eastAsia="宋体" w:cs="宋体"/>
                <w:color w:val="auto"/>
                <w:kern w:val="0"/>
                <w:sz w:val="15"/>
                <w:szCs w:val="15"/>
                <w:highlight w:val="none"/>
                <w:lang w:eastAsia="zh-CN"/>
              </w:rPr>
              <w:t>、第（二）项</w:t>
            </w:r>
            <w:r>
              <w:rPr>
                <w:rFonts w:hint="eastAsia" w:ascii="宋体" w:hAnsi="宋体" w:eastAsia="宋体" w:cs="宋体"/>
                <w:color w:val="auto"/>
                <w:kern w:val="0"/>
                <w:sz w:val="15"/>
                <w:szCs w:val="15"/>
                <w:highlight w:val="none"/>
              </w:rPr>
              <w:t>，责令改正，处1万元以上3万元以下的罚款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216F0B5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733D6C1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3CD98E9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38DF45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05C8F55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A16C47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1CCB8AE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14:paraId="4109BAF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工程勘察企业关键岗位工作人员未接受专业培训</w:t>
            </w:r>
          </w:p>
        </w:tc>
        <w:tc>
          <w:tcPr>
            <w:tcW w:w="2793" w:type="dxa"/>
            <w:gridSpan w:val="2"/>
            <w:tcBorders>
              <w:top w:val="nil"/>
              <w:left w:val="nil"/>
              <w:bottom w:val="single" w:color="auto" w:sz="4" w:space="0"/>
              <w:right w:val="single" w:color="auto" w:sz="4" w:space="0"/>
            </w:tcBorders>
            <w:noWrap w:val="0"/>
            <w:vAlign w:val="center"/>
          </w:tcPr>
          <w:p w14:paraId="3175B8E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处罚条款：第二十四条第（二）项，责令改正，处1万元以上3万元以下的罚款。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7CF13B2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486F268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30C7329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接受专业培训的关键岗位作业人员1人，系数为0；2.未接受专业培训的关键岗位作业人员2人，系数为1；3.未接受专业培训的关键岗位作业人员3人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713ABF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3226ABA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701FAAA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51F286C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14:paraId="11758F6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建设单位未组织工程勘察技术交底或者未组织验槽</w:t>
            </w:r>
          </w:p>
        </w:tc>
        <w:tc>
          <w:tcPr>
            <w:tcW w:w="2793" w:type="dxa"/>
            <w:gridSpan w:val="2"/>
            <w:tcBorders>
              <w:top w:val="nil"/>
              <w:left w:val="nil"/>
              <w:bottom w:val="single" w:color="auto" w:sz="4" w:space="0"/>
              <w:right w:val="single" w:color="auto" w:sz="4" w:space="0"/>
            </w:tcBorders>
            <w:noWrap w:val="0"/>
            <w:vAlign w:val="center"/>
          </w:tcPr>
          <w:p w14:paraId="6998ACF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处罚条款：第二十二条第</w:t>
            </w:r>
            <w:r>
              <w:rPr>
                <w:rFonts w:hint="eastAsia" w:ascii="宋体" w:hAnsi="宋体" w:eastAsia="宋体" w:cs="宋体"/>
                <w:color w:val="auto"/>
                <w:kern w:val="0"/>
                <w:sz w:val="15"/>
                <w:szCs w:val="15"/>
                <w:highlight w:val="none"/>
                <w:lang w:eastAsia="zh-CN"/>
              </w:rPr>
              <w:t>（三）项、第（四）项</w:t>
            </w:r>
            <w:r>
              <w:rPr>
                <w:rFonts w:hint="eastAsia" w:ascii="宋体" w:hAnsi="宋体" w:eastAsia="宋体" w:cs="宋体"/>
                <w:color w:val="auto"/>
                <w:kern w:val="0"/>
                <w:sz w:val="15"/>
                <w:szCs w:val="15"/>
                <w:highlight w:val="none"/>
              </w:rPr>
              <w:t>，责令改正，处1万元以上3万元以下的罚款。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507D360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7B2E478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0127370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项目勘察费＜200万，系数为0；2.200万≤项目勘察费＜500万，系数为1；3.500万≤项目勘察费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A9B071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0FE04DB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1BBA359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2D4A457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14:paraId="3B98A88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工程勘察企业使用的勘察仪器、设备不满足相关规定</w:t>
            </w:r>
          </w:p>
        </w:tc>
        <w:tc>
          <w:tcPr>
            <w:tcW w:w="2793" w:type="dxa"/>
            <w:gridSpan w:val="2"/>
            <w:tcBorders>
              <w:top w:val="nil"/>
              <w:left w:val="nil"/>
              <w:bottom w:val="single" w:color="auto" w:sz="4" w:space="0"/>
              <w:right w:val="single" w:color="auto" w:sz="4" w:space="0"/>
            </w:tcBorders>
            <w:noWrap w:val="0"/>
            <w:vAlign w:val="center"/>
          </w:tcPr>
          <w:p w14:paraId="267C37F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处罚条款：第二十四条第（一）项，责令改正，处1万元以上3万元以下的罚款。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1BCD76F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525DB5F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4250EE1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不满足相关规定的勘察仪器、设备1个，系数为0；2.使用不满足相关规定的勘察仪器、设备2个，系数为1；3.使用不满足相关规定的勘察仪器、设备3个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214C00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475539F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1E6049D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43D8323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14:paraId="3370A55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工程勘察企业法定代表人未按规定在工程勘察文件上签字或者盖章</w:t>
            </w:r>
          </w:p>
        </w:tc>
        <w:tc>
          <w:tcPr>
            <w:tcW w:w="2793" w:type="dxa"/>
            <w:gridSpan w:val="2"/>
            <w:tcBorders>
              <w:top w:val="nil"/>
              <w:left w:val="nil"/>
              <w:bottom w:val="single" w:color="auto" w:sz="4" w:space="0"/>
              <w:right w:val="single" w:color="auto" w:sz="4" w:space="0"/>
            </w:tcBorders>
            <w:noWrap w:val="0"/>
            <w:vAlign w:val="center"/>
          </w:tcPr>
          <w:p w14:paraId="570E9FB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w:t>
            </w:r>
            <w:r>
              <w:rPr>
                <w:rFonts w:hint="eastAsia" w:ascii="宋体" w:hAnsi="宋体" w:eastAsia="宋体" w:cs="宋体"/>
                <w:color w:val="auto"/>
                <w:kern w:val="0"/>
                <w:sz w:val="15"/>
                <w:szCs w:val="15"/>
                <w:highlight w:val="none"/>
                <w:lang w:eastAsia="zh-CN"/>
              </w:rPr>
              <w:t>五</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7C8EDBE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739E770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75978CC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签字或者盖章1处，系数为0；2.未签字或者盖章2处，系数为1；3.未签字或者盖章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EDB5B3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63948F2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2CA8B6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1AF8199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14:paraId="12E3809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工程勘察企业项目负责人未按规定在工程勘察文件上签字</w:t>
            </w:r>
          </w:p>
        </w:tc>
        <w:tc>
          <w:tcPr>
            <w:tcW w:w="2793" w:type="dxa"/>
            <w:gridSpan w:val="2"/>
            <w:tcBorders>
              <w:top w:val="nil"/>
              <w:left w:val="nil"/>
              <w:bottom w:val="single" w:color="auto" w:sz="4" w:space="0"/>
              <w:right w:val="single" w:color="auto" w:sz="4" w:space="0"/>
            </w:tcBorders>
            <w:noWrap w:val="0"/>
            <w:vAlign w:val="center"/>
          </w:tcPr>
          <w:p w14:paraId="250152F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条</w:t>
            </w:r>
            <w:r>
              <w:rPr>
                <w:rFonts w:hint="eastAsia" w:ascii="宋体" w:hAnsi="宋体" w:eastAsia="宋体" w:cs="宋体"/>
                <w:color w:val="auto"/>
                <w:kern w:val="0"/>
                <w:sz w:val="15"/>
                <w:szCs w:val="15"/>
                <w:highlight w:val="none"/>
                <w:lang w:eastAsia="zh-CN"/>
              </w:rPr>
              <w:t>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w:t>
            </w:r>
            <w:r>
              <w:rPr>
                <w:rFonts w:hint="eastAsia" w:ascii="宋体" w:hAnsi="宋体" w:eastAsia="宋体" w:cs="宋体"/>
                <w:color w:val="auto"/>
                <w:kern w:val="0"/>
                <w:sz w:val="15"/>
                <w:szCs w:val="15"/>
                <w:highlight w:val="none"/>
                <w:lang w:eastAsia="zh-CN"/>
              </w:rPr>
              <w:t>六</w:t>
            </w:r>
            <w:r>
              <w:rPr>
                <w:rFonts w:hint="eastAsia" w:ascii="宋体" w:hAnsi="宋体" w:eastAsia="宋体" w:cs="宋体"/>
                <w:color w:val="auto"/>
                <w:kern w:val="0"/>
                <w:sz w:val="15"/>
                <w:szCs w:val="15"/>
                <w:highlight w:val="none"/>
              </w:rPr>
              <w:t>条第（</w:t>
            </w:r>
            <w:r>
              <w:rPr>
                <w:rFonts w:hint="eastAsia" w:ascii="宋体" w:hAnsi="宋体" w:eastAsia="宋体" w:cs="宋体"/>
                <w:color w:val="auto"/>
                <w:kern w:val="0"/>
                <w:sz w:val="15"/>
                <w:szCs w:val="15"/>
                <w:highlight w:val="none"/>
                <w:lang w:eastAsia="zh-CN"/>
              </w:rPr>
              <w:t>三</w:t>
            </w:r>
            <w:r>
              <w:rPr>
                <w:rFonts w:hint="eastAsia" w:ascii="宋体" w:hAnsi="宋体" w:eastAsia="宋体" w:cs="宋体"/>
                <w:color w:val="auto"/>
                <w:kern w:val="0"/>
                <w:sz w:val="15"/>
                <w:szCs w:val="15"/>
                <w:highlight w:val="none"/>
              </w:rPr>
              <w:t>）项，责令改正，处1万元以上3万元以下的罚款。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6A36D4D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00DB078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5A41E65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1.未签字1处，系数为0；2.未签字2处，系数为1；3.未签字3处及以上或造成其他恶劣影响或造成工程质量事故的，系数为2。4.存在基准2.1.3规定情形的，系数按照相关规定确定（基准2.1.3.5不适用）。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A9F45D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344F6DC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6851EBC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ign w:val="center"/>
          </w:tcPr>
          <w:p w14:paraId="66A22F7F">
            <w:pPr>
              <w:widowControl/>
              <w:jc w:val="center"/>
              <w:outlineLvl w:val="1"/>
              <w:rPr>
                <w:rFonts w:hint="eastAsia" w:ascii="宋体" w:hAnsi="宋体" w:eastAsia="宋体" w:cs="宋体"/>
                <w:color w:val="auto"/>
                <w:kern w:val="0"/>
                <w:szCs w:val="21"/>
                <w:highlight w:val="none"/>
              </w:rPr>
            </w:pPr>
            <w:bookmarkStart w:id="361" w:name="_Toc1287850182"/>
            <w:bookmarkStart w:id="362" w:name="_Toc407021299"/>
            <w:bookmarkStart w:id="363" w:name="_Toc218468893"/>
            <w:r>
              <w:rPr>
                <w:rFonts w:hint="eastAsia" w:ascii="宋体" w:hAnsi="宋体" w:eastAsia="宋体" w:cs="宋体"/>
                <w:b/>
                <w:bCs/>
                <w:color w:val="auto"/>
                <w:kern w:val="0"/>
                <w:szCs w:val="21"/>
                <w:highlight w:val="none"/>
              </w:rPr>
              <w:t>《建设工程勘察设计资质管理规定》案由4项</w:t>
            </w:r>
            <w:bookmarkEnd w:id="361"/>
            <w:bookmarkEnd w:id="362"/>
            <w:bookmarkEnd w:id="363"/>
          </w:p>
        </w:tc>
      </w:tr>
      <w:tr w14:paraId="12ED6F2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2B98620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51D92DA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水利建设工程勘察、工程设计企业隐瞒有关情况或者提供虚假材料申请资质</w:t>
            </w:r>
          </w:p>
        </w:tc>
        <w:tc>
          <w:tcPr>
            <w:tcW w:w="2793" w:type="dxa"/>
            <w:gridSpan w:val="2"/>
            <w:tcBorders>
              <w:top w:val="nil"/>
              <w:left w:val="nil"/>
              <w:bottom w:val="single" w:color="auto" w:sz="4" w:space="0"/>
              <w:right w:val="single" w:color="auto" w:sz="4" w:space="0"/>
            </w:tcBorders>
            <w:noWrap w:val="0"/>
            <w:vAlign w:val="center"/>
          </w:tcPr>
          <w:p w14:paraId="2DFBDA2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处罚条款：第二十八条，并给予警告，该企业在1年内不得再次申请该资质。</w:t>
            </w:r>
          </w:p>
        </w:tc>
        <w:tc>
          <w:tcPr>
            <w:tcW w:w="864" w:type="dxa"/>
            <w:gridSpan w:val="2"/>
            <w:tcBorders>
              <w:top w:val="nil"/>
              <w:left w:val="nil"/>
              <w:bottom w:val="single" w:color="auto" w:sz="4" w:space="0"/>
              <w:right w:val="single" w:color="auto" w:sz="4" w:space="0"/>
            </w:tcBorders>
            <w:noWrap w:val="0"/>
            <w:vAlign w:val="center"/>
          </w:tcPr>
          <w:p w14:paraId="1CAE436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40EF087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4D585F6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65D7DA0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78995A1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拟作出1年内不得再次申请该资质的(限制生产经营)，在作出处罚决定前，要邀请行业主管部门共同会商。</w:t>
            </w:r>
          </w:p>
        </w:tc>
      </w:tr>
      <w:tr w14:paraId="13D3413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6CB4727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7ADEE3F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建设工程勘察、工程设计企业以欺骗、贿赂等不正当手段取得资质证书</w:t>
            </w:r>
          </w:p>
        </w:tc>
        <w:tc>
          <w:tcPr>
            <w:tcW w:w="2793" w:type="dxa"/>
            <w:gridSpan w:val="2"/>
            <w:tcBorders>
              <w:top w:val="nil"/>
              <w:left w:val="nil"/>
              <w:bottom w:val="single" w:color="auto" w:sz="4" w:space="0"/>
              <w:right w:val="single" w:color="auto" w:sz="4" w:space="0"/>
            </w:tcBorders>
            <w:noWrap w:val="0"/>
            <w:vAlign w:val="center"/>
          </w:tcPr>
          <w:p w14:paraId="3045121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处罚条款：第二十九条，给予警告，并依法处以罚款；该企业在3年内不得再次申请该资质。</w:t>
            </w:r>
          </w:p>
        </w:tc>
        <w:tc>
          <w:tcPr>
            <w:tcW w:w="864" w:type="dxa"/>
            <w:gridSpan w:val="2"/>
            <w:tcBorders>
              <w:top w:val="nil"/>
              <w:left w:val="nil"/>
              <w:bottom w:val="single" w:color="auto" w:sz="4" w:space="0"/>
              <w:right w:val="single" w:color="auto" w:sz="4" w:space="0"/>
            </w:tcBorders>
            <w:noWrap w:val="0"/>
            <w:vAlign w:val="center"/>
          </w:tcPr>
          <w:p w14:paraId="54C8021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2D4D5CE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04F110A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74022F3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25DCFB3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拟作出吊销资质证书、3年内不得再次申请该资质的(限制生产经营)，在作出处罚决定前，要邀请行业主管部门共同会商。</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以欺骗手段取得资质证书承揽工程的适用《建设工程质量管理条例》。</w:t>
            </w:r>
          </w:p>
        </w:tc>
      </w:tr>
      <w:tr w14:paraId="6A3E182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04D7AC5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14:paraId="73913B8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建设工程勘察、工程设计企业未按照规定提供信用档案信息</w:t>
            </w:r>
          </w:p>
        </w:tc>
        <w:tc>
          <w:tcPr>
            <w:tcW w:w="2793" w:type="dxa"/>
            <w:gridSpan w:val="2"/>
            <w:tcBorders>
              <w:top w:val="nil"/>
              <w:left w:val="nil"/>
              <w:bottom w:val="single" w:color="auto" w:sz="4" w:space="0"/>
              <w:right w:val="single" w:color="auto" w:sz="4" w:space="0"/>
            </w:tcBorders>
            <w:noWrap w:val="0"/>
            <w:vAlign w:val="center"/>
          </w:tcPr>
          <w:p w14:paraId="15882CD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处罚条款：第三十一条，给予警告，责令限期改正；逾期未改正的，可处以1000元以上1万元以下的罚款。</w:t>
            </w:r>
          </w:p>
        </w:tc>
        <w:tc>
          <w:tcPr>
            <w:tcW w:w="864" w:type="dxa"/>
            <w:gridSpan w:val="2"/>
            <w:tcBorders>
              <w:top w:val="nil"/>
              <w:left w:val="nil"/>
              <w:bottom w:val="single" w:color="auto" w:sz="4" w:space="0"/>
              <w:right w:val="single" w:color="auto" w:sz="4" w:space="0"/>
            </w:tcBorders>
            <w:noWrap w:val="0"/>
            <w:vAlign w:val="center"/>
          </w:tcPr>
          <w:p w14:paraId="7FFA163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 </w:t>
            </w:r>
          </w:p>
        </w:tc>
        <w:tc>
          <w:tcPr>
            <w:tcW w:w="840" w:type="dxa"/>
            <w:tcBorders>
              <w:top w:val="nil"/>
              <w:left w:val="nil"/>
              <w:bottom w:val="single" w:color="auto" w:sz="4" w:space="0"/>
              <w:right w:val="single" w:color="auto" w:sz="4" w:space="0"/>
            </w:tcBorders>
            <w:noWrap w:val="0"/>
            <w:vAlign w:val="center"/>
          </w:tcPr>
          <w:p w14:paraId="0FC0E31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01C48327">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限期改正，给予警告。</w:t>
            </w:r>
          </w:p>
          <w:p w14:paraId="6EB1431A">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逾期未改正的，处以下罚款：1.企业逾期提供信用档案信息＜3天，系数为0；2.3天≤企业逾期提供信用档案信息＜5天，系数为2；3.5天≤企业逾期提供信用档案信息＜7天，系数为4；4.7天≤企业逾期提供信用档案信息，系数为6；5.企业无法提供信用档案信息的，系数为9。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82F40D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罚款金额=1000×（1+情节系数）</w:t>
            </w:r>
          </w:p>
        </w:tc>
        <w:tc>
          <w:tcPr>
            <w:tcW w:w="1973" w:type="dxa"/>
            <w:gridSpan w:val="2"/>
            <w:tcBorders>
              <w:top w:val="nil"/>
              <w:left w:val="nil"/>
              <w:bottom w:val="single" w:color="auto" w:sz="4" w:space="0"/>
              <w:right w:val="single" w:color="auto" w:sz="4" w:space="0"/>
            </w:tcBorders>
            <w:noWrap w:val="0"/>
            <w:vAlign w:val="center"/>
          </w:tcPr>
          <w:p w14:paraId="3EAFFD0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02EE34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469D74F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14:paraId="52595F9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建设工程勘察、工程设计企业涂改、倒卖、出租、出借或者以其他形式非法转让资质证书</w:t>
            </w:r>
          </w:p>
        </w:tc>
        <w:tc>
          <w:tcPr>
            <w:tcW w:w="2793" w:type="dxa"/>
            <w:gridSpan w:val="2"/>
            <w:tcBorders>
              <w:top w:val="nil"/>
              <w:left w:val="nil"/>
              <w:bottom w:val="single" w:color="auto" w:sz="4" w:space="0"/>
              <w:right w:val="single" w:color="auto" w:sz="4" w:space="0"/>
            </w:tcBorders>
            <w:noWrap w:val="0"/>
            <w:vAlign w:val="center"/>
          </w:tcPr>
          <w:p w14:paraId="0831639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处罚条款：第三十二条，给予警告，责令改正，并处以1万元以上3万元以下的罚款。</w:t>
            </w:r>
          </w:p>
        </w:tc>
        <w:tc>
          <w:tcPr>
            <w:tcW w:w="864" w:type="dxa"/>
            <w:gridSpan w:val="2"/>
            <w:tcBorders>
              <w:top w:val="nil"/>
              <w:left w:val="nil"/>
              <w:bottom w:val="single" w:color="auto" w:sz="4" w:space="0"/>
              <w:right w:val="single" w:color="auto" w:sz="4" w:space="0"/>
            </w:tcBorders>
            <w:noWrap w:val="0"/>
            <w:vAlign w:val="center"/>
          </w:tcPr>
          <w:p w14:paraId="28436D5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 </w:t>
            </w:r>
          </w:p>
        </w:tc>
        <w:tc>
          <w:tcPr>
            <w:tcW w:w="840" w:type="dxa"/>
            <w:tcBorders>
              <w:top w:val="nil"/>
              <w:left w:val="nil"/>
              <w:bottom w:val="single" w:color="auto" w:sz="4" w:space="0"/>
              <w:right w:val="single" w:color="auto" w:sz="4" w:space="0"/>
            </w:tcBorders>
            <w:noWrap w:val="0"/>
            <w:vAlign w:val="center"/>
          </w:tcPr>
          <w:p w14:paraId="6F8BC55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5C01BA3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涉及乙级资质，系数为0；2.涉及甲级资质，系数为1；3.涉及多个资质或造成其他恶劣影响或造成工程质量事故的，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292DC5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5D68EBD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49B39F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14:paraId="4700218B">
            <w:pPr>
              <w:widowControl/>
              <w:jc w:val="center"/>
              <w:outlineLvl w:val="0"/>
              <w:rPr>
                <w:rFonts w:ascii="Times New Roman" w:hAnsi="Times New Roman" w:eastAsia="宋体" w:cs="Times New Roman"/>
                <w:color w:val="auto"/>
                <w:kern w:val="0"/>
                <w:sz w:val="28"/>
                <w:szCs w:val="28"/>
                <w:highlight w:val="none"/>
              </w:rPr>
            </w:pPr>
            <w:bookmarkStart w:id="364" w:name="_Toc218468894"/>
            <w:bookmarkStart w:id="365" w:name="_Toc136816891"/>
            <w:bookmarkStart w:id="366" w:name="_Toc929467986"/>
            <w:r>
              <w:rPr>
                <w:rFonts w:hint="eastAsia" w:ascii="黑体" w:hAnsi="黑体" w:eastAsia="黑体" w:cs="黑体"/>
                <w:color w:val="auto"/>
                <w:kern w:val="0"/>
                <w:sz w:val="28"/>
                <w:szCs w:val="28"/>
                <w:highlight w:val="none"/>
              </w:rPr>
              <w:t>水利工程建设质量管理方面</w:t>
            </w:r>
            <w:bookmarkEnd w:id="364"/>
            <w:bookmarkEnd w:id="365"/>
            <w:bookmarkEnd w:id="366"/>
          </w:p>
        </w:tc>
      </w:tr>
      <w:tr w14:paraId="2DA79CC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14:paraId="7899EDA8">
            <w:pPr>
              <w:widowControl/>
              <w:jc w:val="center"/>
              <w:outlineLvl w:val="1"/>
              <w:rPr>
                <w:rFonts w:ascii="Times New Roman" w:hAnsi="Times New Roman" w:eastAsia="宋体" w:cs="Times New Roman"/>
                <w:color w:val="auto"/>
                <w:kern w:val="0"/>
                <w:szCs w:val="21"/>
                <w:highlight w:val="none"/>
              </w:rPr>
            </w:pPr>
            <w:bookmarkStart w:id="367" w:name="_Toc681008941"/>
            <w:bookmarkStart w:id="368" w:name="_Toc362959551"/>
            <w:bookmarkStart w:id="369" w:name="_Toc218468895"/>
            <w:r>
              <w:rPr>
                <w:rFonts w:ascii="Times New Roman" w:hAnsi="Times New Roman" w:eastAsia="宋体" w:cs="Times New Roman"/>
                <w:b/>
                <w:bCs/>
                <w:color w:val="auto"/>
                <w:kern w:val="0"/>
                <w:szCs w:val="21"/>
                <w:highlight w:val="none"/>
              </w:rPr>
              <w:t>《中华人民共和国建筑法》案由1项</w:t>
            </w:r>
            <w:bookmarkEnd w:id="367"/>
            <w:bookmarkEnd w:id="368"/>
            <w:bookmarkEnd w:id="369"/>
          </w:p>
        </w:tc>
      </w:tr>
      <w:tr w14:paraId="49119EF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3C9B79D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407AE90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建筑设计单位不按照建筑工程质量、安全标准进行水利工程设计</w:t>
            </w:r>
          </w:p>
        </w:tc>
        <w:tc>
          <w:tcPr>
            <w:tcW w:w="2793" w:type="dxa"/>
            <w:gridSpan w:val="2"/>
            <w:tcBorders>
              <w:top w:val="nil"/>
              <w:left w:val="nil"/>
              <w:bottom w:val="single" w:color="auto" w:sz="4" w:space="0"/>
              <w:right w:val="single" w:color="auto" w:sz="4" w:space="0"/>
            </w:tcBorders>
            <w:noWrap w:val="0"/>
            <w:vAlign w:val="center"/>
          </w:tcPr>
          <w:p w14:paraId="4E94985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违反条款：第七十三条；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处罚条款：第七十三条，责令改正，处以罚款；造成工程质量事故的，责令停业整顿，降低资质等级或者吊销资质证书，没收违法所得，并处罚款。</w:t>
            </w:r>
          </w:p>
        </w:tc>
        <w:tc>
          <w:tcPr>
            <w:tcW w:w="864" w:type="dxa"/>
            <w:gridSpan w:val="2"/>
            <w:tcBorders>
              <w:top w:val="nil"/>
              <w:left w:val="nil"/>
              <w:bottom w:val="single" w:color="auto" w:sz="4" w:space="0"/>
              <w:right w:val="single" w:color="auto" w:sz="4" w:space="0"/>
            </w:tcBorders>
            <w:noWrap w:val="0"/>
            <w:vAlign w:val="center"/>
          </w:tcPr>
          <w:p w14:paraId="2C53AFC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2661CAD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62A5007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67964BA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2AE515B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468CA09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13" w:hRule="atLeast"/>
        </w:trPr>
        <w:tc>
          <w:tcPr>
            <w:tcW w:w="14203" w:type="dxa"/>
            <w:gridSpan w:val="13"/>
            <w:tcBorders>
              <w:top w:val="nil"/>
              <w:left w:val="single" w:color="auto" w:sz="4" w:space="0"/>
              <w:bottom w:val="single" w:color="auto" w:sz="4" w:space="0"/>
              <w:right w:val="single" w:color="auto" w:sz="4" w:space="0"/>
            </w:tcBorders>
            <w:noWrap/>
            <w:vAlign w:val="center"/>
          </w:tcPr>
          <w:p w14:paraId="193770EA">
            <w:pPr>
              <w:widowControl/>
              <w:jc w:val="center"/>
              <w:outlineLvl w:val="1"/>
              <w:rPr>
                <w:rFonts w:hint="eastAsia" w:ascii="宋体" w:hAnsi="宋体" w:eastAsia="宋体" w:cs="宋体"/>
                <w:color w:val="auto"/>
                <w:kern w:val="0"/>
                <w:szCs w:val="21"/>
                <w:highlight w:val="none"/>
              </w:rPr>
            </w:pPr>
            <w:bookmarkStart w:id="370" w:name="_Toc1878259953"/>
            <w:bookmarkStart w:id="371" w:name="_Toc218468896"/>
            <w:bookmarkStart w:id="372" w:name="_Toc1954702544"/>
            <w:r>
              <w:rPr>
                <w:rFonts w:hint="eastAsia" w:ascii="宋体" w:hAnsi="宋体" w:eastAsia="宋体" w:cs="宋体"/>
                <w:b/>
                <w:bCs/>
                <w:color w:val="auto"/>
                <w:kern w:val="0"/>
                <w:szCs w:val="21"/>
                <w:highlight w:val="none"/>
              </w:rPr>
              <w:t>《建设工程质量管理条例》《水利工程质量管理规定》案由28项</w:t>
            </w:r>
            <w:bookmarkEnd w:id="370"/>
            <w:bookmarkEnd w:id="371"/>
            <w:bookmarkEnd w:id="372"/>
          </w:p>
        </w:tc>
      </w:tr>
      <w:tr w14:paraId="5D45F0C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14:paraId="01413FD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2B69996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水利工程建设单位将建设工程发包给不具有相应资质等级的勘察、设计、施工单位</w:t>
            </w:r>
          </w:p>
        </w:tc>
        <w:tc>
          <w:tcPr>
            <w:tcW w:w="2793" w:type="dxa"/>
            <w:gridSpan w:val="2"/>
            <w:tcBorders>
              <w:top w:val="nil"/>
              <w:left w:val="nil"/>
              <w:bottom w:val="single" w:color="auto" w:sz="4" w:space="0"/>
              <w:right w:val="single" w:color="auto" w:sz="4" w:space="0"/>
            </w:tcBorders>
            <w:noWrap w:val="0"/>
            <w:vAlign w:val="center"/>
          </w:tcPr>
          <w:p w14:paraId="63CE2F8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违反条款：《条例》第七条第一款；《规定》第十一条；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处罚条款：《条例》第五十四条，责令改正，处50万元以上100万元以下的罚款；《规定》第五十九条，责令改正，处50万元以上100万元以下的罚款。</w:t>
            </w:r>
          </w:p>
        </w:tc>
        <w:tc>
          <w:tcPr>
            <w:tcW w:w="864" w:type="dxa"/>
            <w:gridSpan w:val="2"/>
            <w:tcBorders>
              <w:top w:val="nil"/>
              <w:left w:val="nil"/>
              <w:bottom w:val="single" w:color="auto" w:sz="4" w:space="0"/>
              <w:right w:val="single" w:color="auto" w:sz="4" w:space="0"/>
            </w:tcBorders>
            <w:noWrap w:val="0"/>
            <w:vAlign w:val="center"/>
          </w:tcPr>
          <w:p w14:paraId="41C6F7D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14:paraId="7B3209A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46A4EDB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1.勘察或设计费＜200万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或工程合同价款＜1000万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2.200万元≤勘察或设计费＜300万元或1000万元≤工程合同价款＜2000万元，系数为0.2；3.300万元≤勘察或设计费＜400万元或2000万元≤工程合同价款＜3000万元，系数为0.4；4.400万元≤勘察或设计费＜500万元或3000万元≤工程合同价款＜4000万元，系数为0.6；5.500万元≤勘察或设计费＜600万元或4000万元≤工程合同价款＜5000万元，系数为0.8；6.600万元≤勘察或设计费或5000万元≤工程合同价款，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98437F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14:paraId="2D43E50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51258A4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0CD48F8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2E50E4B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水利工程建设单位将建设工程肢解发包</w:t>
            </w:r>
          </w:p>
        </w:tc>
        <w:tc>
          <w:tcPr>
            <w:tcW w:w="2793" w:type="dxa"/>
            <w:gridSpan w:val="2"/>
            <w:tcBorders>
              <w:top w:val="nil"/>
              <w:left w:val="nil"/>
              <w:bottom w:val="single" w:color="auto" w:sz="4" w:space="0"/>
              <w:right w:val="single" w:color="auto" w:sz="4" w:space="0"/>
            </w:tcBorders>
            <w:noWrap w:val="0"/>
            <w:vAlign w:val="center"/>
          </w:tcPr>
          <w:p w14:paraId="772518E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处罚条款：《条例》第五十五条，责令改正，处工程合同价款0.5%以上1%以下的罚款。</w:t>
            </w:r>
          </w:p>
        </w:tc>
        <w:tc>
          <w:tcPr>
            <w:tcW w:w="864" w:type="dxa"/>
            <w:gridSpan w:val="2"/>
            <w:tcBorders>
              <w:top w:val="nil"/>
              <w:left w:val="nil"/>
              <w:bottom w:val="single" w:color="auto" w:sz="4" w:space="0"/>
              <w:right w:val="single" w:color="auto" w:sz="4" w:space="0"/>
            </w:tcBorders>
            <w:noWrap w:val="0"/>
            <w:vAlign w:val="center"/>
          </w:tcPr>
          <w:p w14:paraId="2AC156B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noWrap/>
            <w:vAlign w:val="center"/>
          </w:tcPr>
          <w:p w14:paraId="3FD68A2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31C4435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肢解发包为2个建设工程，系数为0；2.肢解发包为3个建设工程，系数为0.5；3.肢解发包为4个建设工程及以上或肢解发包后降低原有所需资质等级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F17143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1973" w:type="dxa"/>
            <w:gridSpan w:val="2"/>
            <w:tcBorders>
              <w:top w:val="nil"/>
              <w:left w:val="nil"/>
              <w:bottom w:val="single" w:color="auto" w:sz="4" w:space="0"/>
              <w:right w:val="single" w:color="auto" w:sz="4" w:space="0"/>
            </w:tcBorders>
            <w:noWrap w:val="0"/>
            <w:vAlign w:val="center"/>
          </w:tcPr>
          <w:p w14:paraId="1B4F6EF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1CD0854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21BCF59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14:paraId="56AA881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水利工程建设单位迫使承包方以低于成本的价格竞标</w:t>
            </w:r>
          </w:p>
        </w:tc>
        <w:tc>
          <w:tcPr>
            <w:tcW w:w="2793" w:type="dxa"/>
            <w:gridSpan w:val="2"/>
            <w:tcBorders>
              <w:top w:val="nil"/>
              <w:left w:val="nil"/>
              <w:bottom w:val="single" w:color="auto" w:sz="4" w:space="0"/>
              <w:right w:val="single" w:color="auto" w:sz="4" w:space="0"/>
            </w:tcBorders>
            <w:noWrap w:val="0"/>
            <w:vAlign w:val="center"/>
          </w:tcPr>
          <w:p w14:paraId="24E82DA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违反条款：《条例》第十条第一款；《规定》第十二条第一款；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处罚条款：《条例》第五十六条第一款第（一）项，责令改正，处20万元以上50万元以下的罚款；《规定》第六十条第一款第（一）项，责令改正，处20万元以上50万元以下的罚款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14:paraId="7233A4B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14:paraId="720EF58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46E89DB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竞标价低于成本价＜10%，系数为0；2.10%≤竞标价低于成本价偏差＜15%，系数为0.3；3.15%≤竞标价低于成本价偏差＜20%，系数为0.6；4.20%≤竞标价低于成本价偏差＜25%，系数为0.9；5.25%≤竞标价低于成本价偏差＜30%，系数为1.2；6.30%≤竞标价低于成本价偏差，系数为 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D7A7A6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14:paraId="14D0530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7C40551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4" w:hRule="atLeast"/>
        </w:trPr>
        <w:tc>
          <w:tcPr>
            <w:tcW w:w="612" w:type="dxa"/>
            <w:gridSpan w:val="2"/>
            <w:tcBorders>
              <w:top w:val="nil"/>
              <w:left w:val="single" w:color="auto" w:sz="4" w:space="0"/>
              <w:bottom w:val="single" w:color="auto" w:sz="4" w:space="0"/>
              <w:right w:val="single" w:color="auto" w:sz="4" w:space="0"/>
            </w:tcBorders>
            <w:noWrap/>
            <w:vAlign w:val="center"/>
          </w:tcPr>
          <w:p w14:paraId="1F2EB7E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14:paraId="59CB23A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水利工程建设单位任意压缩合理工期</w:t>
            </w:r>
          </w:p>
        </w:tc>
        <w:tc>
          <w:tcPr>
            <w:tcW w:w="2793" w:type="dxa"/>
            <w:gridSpan w:val="2"/>
            <w:tcBorders>
              <w:top w:val="nil"/>
              <w:left w:val="nil"/>
              <w:bottom w:val="single" w:color="auto" w:sz="4" w:space="0"/>
              <w:right w:val="single" w:color="auto" w:sz="4" w:space="0"/>
            </w:tcBorders>
            <w:noWrap w:val="0"/>
            <w:vAlign w:val="center"/>
          </w:tcPr>
          <w:p w14:paraId="46C7C97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违反条款：《条例》第十条第一款；《规定》第十二条第一款；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处罚条款：《条例》第五十六条第一款第（二）项，责令改正，处20万元以上50万元以下的罚款；《规定》第六十条第一款第（二）项，责令改正，处20万元以上50万元以下的罚款。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14:paraId="5B5E719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14:paraId="5A13C55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6A80DB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压缩合理工期＜10%，系数为0；2.10%≤压缩合理工期＜15%，系数为0.3；3.15%≤压缩合理工期＜20%，系数为0.6；4.20%≤压缩合理工期＜25%，系数为0.9；5.25%≤压缩合理工期＜30%，系数为1.2；6.30%≤压缩合理工期，系数为 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8B8673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14:paraId="786EFE6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4738668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14:paraId="10A015A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14:paraId="6F222C8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水利工程建设单位明示或者暗示有关单位违反工程建设强制性标准，降低工程质量</w:t>
            </w:r>
          </w:p>
        </w:tc>
        <w:tc>
          <w:tcPr>
            <w:tcW w:w="2793" w:type="dxa"/>
            <w:gridSpan w:val="2"/>
            <w:tcBorders>
              <w:top w:val="nil"/>
              <w:left w:val="nil"/>
              <w:bottom w:val="single" w:color="auto" w:sz="4" w:space="0"/>
              <w:right w:val="single" w:color="auto" w:sz="4" w:space="0"/>
            </w:tcBorders>
            <w:noWrap w:val="0"/>
            <w:vAlign w:val="center"/>
          </w:tcPr>
          <w:p w14:paraId="619B7A3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违反条款：《条例》第十条第二款；《规定》第十二条第二款；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处罚条款：《条例》第五十六条第一款第（三）项，责令改正，处20万元以上50万元以下的罚款；《规定》第六十条第一款第（三）项，责令改正，处20万元以上50万元以下的罚款。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14:paraId="35C3454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14:paraId="30F97CB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0CF2AE7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或施工标准与强制性标准存在偏差1处，系数为0；每增加1处，系数加0.3；偏差≥6处，系数为1.5；2.存在重大质量问题或造成生产安全事故，系数为1.5。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8BAD66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14:paraId="279629D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63BCEE5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5546C49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14:paraId="7B0B484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将建设工程委托给不具有相应资质等级的工程监理单位进行监理</w:t>
            </w:r>
          </w:p>
        </w:tc>
        <w:tc>
          <w:tcPr>
            <w:tcW w:w="2793" w:type="dxa"/>
            <w:gridSpan w:val="2"/>
            <w:tcBorders>
              <w:top w:val="nil"/>
              <w:left w:val="nil"/>
              <w:bottom w:val="single" w:color="auto" w:sz="4" w:space="0"/>
              <w:right w:val="single" w:color="auto" w:sz="4" w:space="0"/>
            </w:tcBorders>
            <w:noWrap w:val="0"/>
            <w:vAlign w:val="center"/>
          </w:tcPr>
          <w:p w14:paraId="06C8BF0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违反条款：《条例》第十二条第一款；《规定》第十一条第一款；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处罚条款：《条例》第五十四条，责令改正，处50万元以上100万元以下的罚款；《规定》第五十九条，责令改正，处50万元以上100万元以下的罚款。</w:t>
            </w:r>
          </w:p>
        </w:tc>
        <w:tc>
          <w:tcPr>
            <w:tcW w:w="864" w:type="dxa"/>
            <w:gridSpan w:val="2"/>
            <w:tcBorders>
              <w:top w:val="nil"/>
              <w:left w:val="nil"/>
              <w:bottom w:val="single" w:color="auto" w:sz="4" w:space="0"/>
              <w:right w:val="single" w:color="auto" w:sz="4" w:space="0"/>
            </w:tcBorders>
            <w:noWrap w:val="0"/>
            <w:vAlign w:val="center"/>
          </w:tcPr>
          <w:p w14:paraId="328819C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14:paraId="6004EC1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3537A5F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300万元，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EA3C7A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14:paraId="7E3B0A2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400C8A1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14:paraId="725FE15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14:paraId="7865DB6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水利工程未按照国家规定办理工程质量监督手续</w:t>
            </w:r>
          </w:p>
        </w:tc>
        <w:tc>
          <w:tcPr>
            <w:tcW w:w="2793" w:type="dxa"/>
            <w:gridSpan w:val="2"/>
            <w:tcBorders>
              <w:top w:val="nil"/>
              <w:left w:val="nil"/>
              <w:bottom w:val="single" w:color="auto" w:sz="4" w:space="0"/>
              <w:right w:val="single" w:color="auto" w:sz="4" w:space="0"/>
            </w:tcBorders>
            <w:noWrap w:val="0"/>
            <w:vAlign w:val="center"/>
          </w:tcPr>
          <w:p w14:paraId="4D1851A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违反条款：《条例》第十三条；《规定》第十三条；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处罚条款：《条例》第五十六条第一款第（六）项，责令改正，处20万元以上50万元以下的罚款；《规定》第六十条第一款第（五）项，责令改正，处20万元以上50万元以下的罚款。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14:paraId="04AA1B5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14:paraId="57C11A4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1D25BF7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152103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14:paraId="5DD5939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0D91558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14:paraId="2CE7AE3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14:paraId="005967B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明示或者暗示施工单位使用不合格的建筑材料、建筑构配件和设备</w:t>
            </w:r>
          </w:p>
        </w:tc>
        <w:tc>
          <w:tcPr>
            <w:tcW w:w="2793" w:type="dxa"/>
            <w:gridSpan w:val="2"/>
            <w:tcBorders>
              <w:top w:val="nil"/>
              <w:left w:val="nil"/>
              <w:bottom w:val="single" w:color="auto" w:sz="4" w:space="0"/>
              <w:right w:val="single" w:color="auto" w:sz="4" w:space="0"/>
            </w:tcBorders>
            <w:noWrap w:val="0"/>
            <w:vAlign w:val="center"/>
          </w:tcPr>
          <w:p w14:paraId="28135DF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违反条款：《条例》第十四条第二款；《规定》第十二条第二款；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处罚条款：《条例》第五十六条第一款第（七）项，责令改正，处20万元以上50万元以下的罚款；《规定》第六十条第一款第（六）项，责令改正，处20万元以上50万元以下的罚款。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14:paraId="23CDF29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14:paraId="0C8A258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01AE5DD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6230C2D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14:paraId="6D36AFD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1FBF724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10" w:hRule="atLeast"/>
        </w:trPr>
        <w:tc>
          <w:tcPr>
            <w:tcW w:w="612" w:type="dxa"/>
            <w:gridSpan w:val="2"/>
            <w:tcBorders>
              <w:top w:val="nil"/>
              <w:left w:val="single" w:color="auto" w:sz="4" w:space="0"/>
              <w:bottom w:val="single" w:color="auto" w:sz="4" w:space="0"/>
              <w:right w:val="single" w:color="auto" w:sz="4" w:space="0"/>
            </w:tcBorders>
            <w:noWrap/>
            <w:vAlign w:val="center"/>
          </w:tcPr>
          <w:p w14:paraId="4872360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14:paraId="166D5E3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水利工程建设单位未按照国家规定将竣工验收报告、有关认可文件或者准许使用文件报送备案</w:t>
            </w:r>
          </w:p>
        </w:tc>
        <w:tc>
          <w:tcPr>
            <w:tcW w:w="2793" w:type="dxa"/>
            <w:gridSpan w:val="2"/>
            <w:tcBorders>
              <w:top w:val="nil"/>
              <w:left w:val="nil"/>
              <w:bottom w:val="single" w:color="auto" w:sz="4" w:space="0"/>
              <w:right w:val="single" w:color="auto" w:sz="4" w:space="0"/>
            </w:tcBorders>
            <w:noWrap w:val="0"/>
            <w:vAlign w:val="center"/>
          </w:tcPr>
          <w:p w14:paraId="77D7759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处罚条款：《条例》第五十六条第一款第（八）项，责令改正，处20万元以上50万元以下的罚款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14:paraId="271F44B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14:paraId="4288E86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15C16A5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逾期备案时间＜5天，系数为0；2.5天≤逾期备案时间＜10天，系数为0.3；3.10天≤逾期备案时间＜15天，系数为0.6；4.15天≤逾期备案时间＜20天，系数为0.9；5.20天≤逾期备案时间＜25天，系数为1.2；6.25天≤逾期备案时间，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971252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14:paraId="06CC4F9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0EDEF9D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7DF5417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14:paraId="2B0A636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水利工程建设单位未组织竣工验收擅自将水利工程交付使用（不含防洪工程）</w:t>
            </w:r>
          </w:p>
        </w:tc>
        <w:tc>
          <w:tcPr>
            <w:tcW w:w="2793" w:type="dxa"/>
            <w:gridSpan w:val="2"/>
            <w:tcBorders>
              <w:top w:val="nil"/>
              <w:left w:val="nil"/>
              <w:bottom w:val="single" w:color="auto" w:sz="4" w:space="0"/>
              <w:right w:val="single" w:color="auto" w:sz="4" w:space="0"/>
            </w:tcBorders>
            <w:noWrap w:val="0"/>
            <w:vAlign w:val="center"/>
          </w:tcPr>
          <w:p w14:paraId="29A6D3B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处罚条款：《条例》第五十八条第一款第（一）项，责令改正，处工程合同价款2%以上4%以下的罚款。</w:t>
            </w:r>
          </w:p>
        </w:tc>
        <w:tc>
          <w:tcPr>
            <w:tcW w:w="864" w:type="dxa"/>
            <w:gridSpan w:val="2"/>
            <w:tcBorders>
              <w:top w:val="nil"/>
              <w:left w:val="nil"/>
              <w:bottom w:val="single" w:color="auto" w:sz="4" w:space="0"/>
              <w:right w:val="single" w:color="auto" w:sz="4" w:space="0"/>
            </w:tcBorders>
            <w:noWrap w:val="0"/>
            <w:vAlign w:val="center"/>
          </w:tcPr>
          <w:p w14:paraId="52D542D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14:paraId="0F3B6BF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74638C4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交付使用时间＜5天，系数为0；2.5天≤擅自交付使用时间＜10天，系数为0.5；3.10天≤擅自交付使用时间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B03994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14:paraId="3840AF9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1368269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5A886D7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14:paraId="6939274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水利工程建设单位将验收不合格的水利工程擅自交付使用</w:t>
            </w:r>
          </w:p>
        </w:tc>
        <w:tc>
          <w:tcPr>
            <w:tcW w:w="2793" w:type="dxa"/>
            <w:gridSpan w:val="2"/>
            <w:tcBorders>
              <w:top w:val="nil"/>
              <w:left w:val="nil"/>
              <w:bottom w:val="single" w:color="auto" w:sz="4" w:space="0"/>
              <w:right w:val="single" w:color="auto" w:sz="4" w:space="0"/>
            </w:tcBorders>
            <w:noWrap w:val="0"/>
            <w:vAlign w:val="center"/>
          </w:tcPr>
          <w:p w14:paraId="7B329E1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处罚条款：《条例》第五十八条第一款第（二）项，责令改正，处工程合同价款2%以上4%以下的罚款。</w:t>
            </w:r>
          </w:p>
        </w:tc>
        <w:tc>
          <w:tcPr>
            <w:tcW w:w="864" w:type="dxa"/>
            <w:gridSpan w:val="2"/>
            <w:tcBorders>
              <w:top w:val="nil"/>
              <w:left w:val="nil"/>
              <w:bottom w:val="single" w:color="auto" w:sz="4" w:space="0"/>
              <w:right w:val="single" w:color="auto" w:sz="4" w:space="0"/>
            </w:tcBorders>
            <w:noWrap w:val="0"/>
            <w:vAlign w:val="center"/>
          </w:tcPr>
          <w:p w14:paraId="0EE5D9C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14:paraId="566C179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454A285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擅自交付使用时间＜5天，系数为0；2.5天≤擅自交付使用时间＜10天，系数为0.5；3.10天≤擅自交付使用时间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2A0C40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14:paraId="12B433A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B1EC5F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42D44D6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14:paraId="33A9393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水利工程建设单位将不合格的建设工程按照合格工程验收</w:t>
            </w:r>
          </w:p>
        </w:tc>
        <w:tc>
          <w:tcPr>
            <w:tcW w:w="2793" w:type="dxa"/>
            <w:gridSpan w:val="2"/>
            <w:tcBorders>
              <w:top w:val="nil"/>
              <w:left w:val="nil"/>
              <w:bottom w:val="single" w:color="auto" w:sz="4" w:space="0"/>
              <w:right w:val="single" w:color="auto" w:sz="4" w:space="0"/>
            </w:tcBorders>
            <w:noWrap w:val="0"/>
            <w:vAlign w:val="center"/>
          </w:tcPr>
          <w:p w14:paraId="1696F57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处罚条款：《条例》第五十八条第一款第（三）项，责令改正，处工程合同价款2%以上4%以下的罚款。</w:t>
            </w:r>
          </w:p>
        </w:tc>
        <w:tc>
          <w:tcPr>
            <w:tcW w:w="864" w:type="dxa"/>
            <w:gridSpan w:val="2"/>
            <w:tcBorders>
              <w:top w:val="nil"/>
              <w:left w:val="nil"/>
              <w:bottom w:val="single" w:color="auto" w:sz="4" w:space="0"/>
              <w:right w:val="single" w:color="auto" w:sz="4" w:space="0"/>
            </w:tcBorders>
            <w:noWrap w:val="0"/>
            <w:vAlign w:val="center"/>
          </w:tcPr>
          <w:p w14:paraId="6E4B32F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14:paraId="7F16B0E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3430" w:type="dxa"/>
            <w:gridSpan w:val="2"/>
            <w:tcBorders>
              <w:top w:val="nil"/>
              <w:left w:val="nil"/>
              <w:bottom w:val="single" w:color="auto" w:sz="4" w:space="0"/>
              <w:right w:val="single" w:color="auto" w:sz="4" w:space="0"/>
            </w:tcBorders>
            <w:noWrap w:val="0"/>
            <w:vAlign w:val="center"/>
          </w:tcPr>
          <w:p w14:paraId="7B7BDAF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2.5天≤违法行为持续时间＜10天，系数为0.5；3.10天≤违法行为持续时间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4EAF4E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14:paraId="0028F7D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757750B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013A331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14:paraId="70C473AE">
            <w:pPr>
              <w:widowControl/>
              <w:spacing w:after="240"/>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水利工程竣工验收后未移交建设项目档案</w:t>
            </w:r>
          </w:p>
        </w:tc>
        <w:tc>
          <w:tcPr>
            <w:tcW w:w="2793" w:type="dxa"/>
            <w:gridSpan w:val="2"/>
            <w:tcBorders>
              <w:top w:val="nil"/>
              <w:left w:val="nil"/>
              <w:bottom w:val="single" w:color="auto" w:sz="4" w:space="0"/>
              <w:right w:val="single" w:color="auto" w:sz="4" w:space="0"/>
            </w:tcBorders>
            <w:noWrap w:val="0"/>
            <w:vAlign w:val="center"/>
          </w:tcPr>
          <w:p w14:paraId="706F3A4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违反条款：《条例》第十七条；《规定》第十九条；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处罚条款：《条例》第五十九条，责令改正，处1万元以上10万元以下的罚款；《规定》第六十一条，责令改正，处1万元以上10万元以下的罚款。</w:t>
            </w:r>
          </w:p>
        </w:tc>
        <w:tc>
          <w:tcPr>
            <w:tcW w:w="864" w:type="dxa"/>
            <w:gridSpan w:val="2"/>
            <w:tcBorders>
              <w:top w:val="nil"/>
              <w:left w:val="nil"/>
              <w:bottom w:val="single" w:color="auto" w:sz="4" w:space="0"/>
              <w:right w:val="single" w:color="auto" w:sz="4" w:space="0"/>
            </w:tcBorders>
            <w:noWrap w:val="0"/>
            <w:vAlign w:val="center"/>
          </w:tcPr>
          <w:p w14:paraId="29825C6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072B087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6873A5F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违法行为持续时间＜5天，系数为0；2.5天≤违法行为持续时间＜10天，系数为4；3.10天≤违法行为持续时间或存在重大质量问题或造成生产安全事故，系数为9。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F96298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5C70E87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0B8B393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710" w:hRule="atLeast"/>
        </w:trPr>
        <w:tc>
          <w:tcPr>
            <w:tcW w:w="612" w:type="dxa"/>
            <w:gridSpan w:val="2"/>
            <w:tcBorders>
              <w:top w:val="nil"/>
              <w:left w:val="single" w:color="auto" w:sz="4" w:space="0"/>
              <w:bottom w:val="single" w:color="auto" w:sz="4" w:space="0"/>
              <w:right w:val="single" w:color="auto" w:sz="4" w:space="0"/>
            </w:tcBorders>
            <w:noWrap/>
            <w:vAlign w:val="center"/>
          </w:tcPr>
          <w:p w14:paraId="00028C8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14:paraId="41F1AD3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施工单位在水利工程施工中偷工减料的，使用不合格的建筑材料、建筑构配件和设备，或者有不按照工程设计图纸或者施工技术标准施工的其他行为</w:t>
            </w:r>
          </w:p>
        </w:tc>
        <w:tc>
          <w:tcPr>
            <w:tcW w:w="2793" w:type="dxa"/>
            <w:gridSpan w:val="2"/>
            <w:tcBorders>
              <w:top w:val="nil"/>
              <w:left w:val="nil"/>
              <w:bottom w:val="single" w:color="auto" w:sz="4" w:space="0"/>
              <w:right w:val="single" w:color="auto" w:sz="4" w:space="0"/>
            </w:tcBorders>
            <w:noWrap w:val="0"/>
            <w:vAlign w:val="center"/>
          </w:tcPr>
          <w:p w14:paraId="38A276A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违反条款：《条例》第六十四条；《规定》第六十七条；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责令改正，处工程合同价款2%以上4%以下的罚款，情节严重的，责令停业整顿，降低资质等级或者吊销资质证书；《规定》第六十七条，责令改正，处工程合同价款2%以上4%以下的罚款。</w:t>
            </w:r>
          </w:p>
        </w:tc>
        <w:tc>
          <w:tcPr>
            <w:tcW w:w="864" w:type="dxa"/>
            <w:gridSpan w:val="2"/>
            <w:tcBorders>
              <w:top w:val="nil"/>
              <w:left w:val="nil"/>
              <w:bottom w:val="single" w:color="auto" w:sz="4" w:space="0"/>
              <w:right w:val="single" w:color="auto" w:sz="4" w:space="0"/>
            </w:tcBorders>
            <w:noWrap w:val="0"/>
            <w:vAlign w:val="center"/>
          </w:tcPr>
          <w:p w14:paraId="014883A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14:paraId="1C56CB7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670AE7C6">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无严重情节，处以下罚款：1.施工单位以乙级资质承包水利工程的，系数为0；2.施工单位以甲级资质承包水利工程的，系数为0.5。3.存在基准2.1.3规定情形的，系数按照相关规定确定（基准2.1.3.5不适用）。</w:t>
            </w:r>
          </w:p>
          <w:p w14:paraId="0B9B59E9">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（二）情节严重的，系数为1。存在基准2.1.3规定情形的，系数按照相关规定确定（基准2.1.3.5不适用）。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BC6EA1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14:paraId="5808EC6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14:paraId="7C35EEE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14:paraId="7E227A6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14:paraId="6AD9EFB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水利工程施工单位未对建筑材料、建筑构配件、设备和商品混凝土进行检验，或者未对涉及结构安全的试块、试件以及有关材料取样检测</w:t>
            </w:r>
          </w:p>
        </w:tc>
        <w:tc>
          <w:tcPr>
            <w:tcW w:w="2793" w:type="dxa"/>
            <w:gridSpan w:val="2"/>
            <w:tcBorders>
              <w:top w:val="nil"/>
              <w:left w:val="nil"/>
              <w:bottom w:val="single" w:color="auto" w:sz="4" w:space="0"/>
              <w:right w:val="single" w:color="auto" w:sz="4" w:space="0"/>
            </w:tcBorders>
            <w:noWrap w:val="0"/>
            <w:vAlign w:val="center"/>
          </w:tcPr>
          <w:p w14:paraId="3DE94D5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违反条款：《条例》第二十九条、第三十一条；《规定》第三十五条；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处罚条款：《条例》第六十五条，责令改正，处10万元以上20万元以下的罚款；情节严重的，责令停业整顿，降低资质等级或者吊销资质证书；《规定》第六十八条，责令改正，处10万元以上20万元以下的罚款。</w:t>
            </w:r>
          </w:p>
        </w:tc>
        <w:tc>
          <w:tcPr>
            <w:tcW w:w="864" w:type="dxa"/>
            <w:gridSpan w:val="2"/>
            <w:tcBorders>
              <w:top w:val="nil"/>
              <w:left w:val="nil"/>
              <w:bottom w:val="single" w:color="auto" w:sz="4" w:space="0"/>
              <w:right w:val="single" w:color="auto" w:sz="4" w:space="0"/>
            </w:tcBorders>
            <w:noWrap w:val="0"/>
            <w:vAlign w:val="center"/>
          </w:tcPr>
          <w:p w14:paraId="0B52C9E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14:paraId="73B5216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332DC07B">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lang w:eastAsia="zh-CN"/>
              </w:rPr>
              <w:t>（一）</w:t>
            </w:r>
            <w:r>
              <w:rPr>
                <w:rFonts w:hint="eastAsia" w:ascii="宋体" w:hAnsi="宋体" w:eastAsia="宋体" w:cs="宋体"/>
                <w:color w:val="auto"/>
                <w:kern w:val="0"/>
                <w:sz w:val="15"/>
                <w:szCs w:val="15"/>
                <w:highlight w:val="none"/>
              </w:rPr>
              <w:t>无严重情节，处以下罚款：1.施工单位未进行检验检测1处，系数为0；每增加1处，系数加0.2；未进行检验检测≥6处，系数为1。2.存在基准2.1.3规定情形的，系数按照相关规定确定（基准2.1.3.5不适用）。</w:t>
            </w:r>
          </w:p>
          <w:p w14:paraId="7D84D630">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（二）情节严重的，系数为1。存在基准2.1.3规定情形的，系数按照相关规定确定（基准2.1.3.5不适用）。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6CF94BD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0547893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14:paraId="7B39D26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289166C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14:paraId="2897236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水利工程施工单位不履行保修义务或者拖延履行保修义务</w:t>
            </w:r>
          </w:p>
        </w:tc>
        <w:tc>
          <w:tcPr>
            <w:tcW w:w="2793" w:type="dxa"/>
            <w:gridSpan w:val="2"/>
            <w:tcBorders>
              <w:top w:val="nil"/>
              <w:left w:val="nil"/>
              <w:bottom w:val="single" w:color="auto" w:sz="4" w:space="0"/>
              <w:right w:val="single" w:color="auto" w:sz="4" w:space="0"/>
            </w:tcBorders>
            <w:noWrap w:val="0"/>
            <w:vAlign w:val="center"/>
          </w:tcPr>
          <w:p w14:paraId="664ED27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违反条款：《条例》第四十一条；《规定》第三十九条；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处罚条款：《条例》第六十六条，责令改正，处10万元以上20万元以下的罚款；《规定》第六十九条，责令改正，处10万元以上20万元以下的罚款。</w:t>
            </w:r>
          </w:p>
        </w:tc>
        <w:tc>
          <w:tcPr>
            <w:tcW w:w="864" w:type="dxa"/>
            <w:gridSpan w:val="2"/>
            <w:tcBorders>
              <w:top w:val="nil"/>
              <w:left w:val="nil"/>
              <w:bottom w:val="single" w:color="auto" w:sz="4" w:space="0"/>
              <w:right w:val="single" w:color="auto" w:sz="4" w:space="0"/>
            </w:tcBorders>
            <w:noWrap w:val="0"/>
            <w:vAlign w:val="center"/>
          </w:tcPr>
          <w:p w14:paraId="1E2EFF5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14:paraId="6304D7A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03ADBF6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履行保修义务或者拖延履行保修义务导致发生1处质量问题，系数为0；每增加1处，系数加0.2；质量问题≥6处，系数为1。2.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2EAB03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7852906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1F1877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0" w:hRule="atLeast"/>
        </w:trPr>
        <w:tc>
          <w:tcPr>
            <w:tcW w:w="612" w:type="dxa"/>
            <w:gridSpan w:val="2"/>
            <w:tcBorders>
              <w:top w:val="nil"/>
              <w:left w:val="single" w:color="auto" w:sz="4" w:space="0"/>
              <w:bottom w:val="single" w:color="auto" w:sz="4" w:space="0"/>
              <w:right w:val="single" w:color="auto" w:sz="4" w:space="0"/>
            </w:tcBorders>
            <w:noWrap/>
            <w:vAlign w:val="center"/>
          </w:tcPr>
          <w:p w14:paraId="229574D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14:paraId="7B08DFE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涉及建筑主体或者承重结构变动的水利设施装修工程没有设计方案擅自施工</w:t>
            </w:r>
          </w:p>
        </w:tc>
        <w:tc>
          <w:tcPr>
            <w:tcW w:w="2793" w:type="dxa"/>
            <w:gridSpan w:val="2"/>
            <w:tcBorders>
              <w:top w:val="nil"/>
              <w:left w:val="nil"/>
              <w:bottom w:val="single" w:color="auto" w:sz="4" w:space="0"/>
              <w:right w:val="single" w:color="auto" w:sz="4" w:space="0"/>
            </w:tcBorders>
            <w:noWrap w:val="0"/>
            <w:vAlign w:val="center"/>
          </w:tcPr>
          <w:p w14:paraId="2ADBE3D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处罚条款：《条例》第六十九条第一款，责令改正，处50万元以上100万元以下的罚款。</w:t>
            </w:r>
          </w:p>
        </w:tc>
        <w:tc>
          <w:tcPr>
            <w:tcW w:w="864" w:type="dxa"/>
            <w:gridSpan w:val="2"/>
            <w:tcBorders>
              <w:top w:val="nil"/>
              <w:left w:val="nil"/>
              <w:bottom w:val="single" w:color="auto" w:sz="4" w:space="0"/>
              <w:right w:val="single" w:color="auto" w:sz="4" w:space="0"/>
            </w:tcBorders>
            <w:noWrap w:val="0"/>
            <w:vAlign w:val="center"/>
          </w:tcPr>
          <w:p w14:paraId="64B6834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14:paraId="46D8101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273502C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装修工程合同金额＜50万元，系数为0；2.50万元≤装修工程合同金额＜60万元，系数为0.2；3.60万元≤装修工程合同金额＜70万元，系数为0.4；4.70万元≤装修工程合同金额＜80万元，系数为0.6；5.80万元≤装修工程合同金额＜100万元，系数为0.8；6.100万元≤装修工程合同金额，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F210FE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14:paraId="4DBA82C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782B4B6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211EC0F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11" w:type="dxa"/>
            <w:tcBorders>
              <w:top w:val="nil"/>
              <w:left w:val="nil"/>
              <w:bottom w:val="single" w:color="auto" w:sz="4" w:space="0"/>
              <w:right w:val="single" w:color="auto" w:sz="4" w:space="0"/>
            </w:tcBorders>
            <w:noWrap w:val="0"/>
            <w:vAlign w:val="center"/>
          </w:tcPr>
          <w:p w14:paraId="2F59CEB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水利工程建设项目必须实行建设监理而未实行</w:t>
            </w:r>
          </w:p>
        </w:tc>
        <w:tc>
          <w:tcPr>
            <w:tcW w:w="2793" w:type="dxa"/>
            <w:gridSpan w:val="2"/>
            <w:tcBorders>
              <w:top w:val="nil"/>
              <w:left w:val="nil"/>
              <w:bottom w:val="single" w:color="auto" w:sz="4" w:space="0"/>
              <w:right w:val="single" w:color="auto" w:sz="4" w:space="0"/>
            </w:tcBorders>
            <w:noWrap w:val="0"/>
            <w:vAlign w:val="center"/>
          </w:tcPr>
          <w:p w14:paraId="6B725DC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处罚条款：《条例》第五十六条第一款第（五）项，责令改正，处20万元以上50万元以下的罚款。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14:paraId="14AF77B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14:paraId="1533952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DE7D34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7A8982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14:paraId="7AF5D10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69E1705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14:paraId="0EB3026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11" w:type="dxa"/>
            <w:tcBorders>
              <w:top w:val="nil"/>
              <w:left w:val="nil"/>
              <w:bottom w:val="single" w:color="auto" w:sz="4" w:space="0"/>
              <w:right w:val="single" w:color="auto" w:sz="4" w:space="0"/>
            </w:tcBorders>
            <w:noWrap w:val="0"/>
            <w:vAlign w:val="center"/>
          </w:tcPr>
          <w:p w14:paraId="6A43AD1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水利工程建设监理单位转让监理业务</w:t>
            </w:r>
          </w:p>
        </w:tc>
        <w:tc>
          <w:tcPr>
            <w:tcW w:w="2793" w:type="dxa"/>
            <w:gridSpan w:val="2"/>
            <w:tcBorders>
              <w:top w:val="nil"/>
              <w:left w:val="nil"/>
              <w:bottom w:val="single" w:color="auto" w:sz="4" w:space="0"/>
              <w:right w:val="single" w:color="auto" w:sz="4" w:space="0"/>
            </w:tcBorders>
            <w:noWrap w:val="0"/>
            <w:vAlign w:val="center"/>
          </w:tcPr>
          <w:p w14:paraId="64A2E84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违反条款：《条例》第三十四条第三款；《规定》第四十一条；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二款，责令改正，没收违法所得，处合同约定的监理合同价款25%以上50%以下的罚款，可以责令停业整顿，降低资质等级；《规定》第六十四条第二款，责令改正，没收违法所得，处合同约定的监理合同价款25%以上50%以下的罚款。</w:t>
            </w:r>
          </w:p>
        </w:tc>
        <w:tc>
          <w:tcPr>
            <w:tcW w:w="864" w:type="dxa"/>
            <w:gridSpan w:val="2"/>
            <w:tcBorders>
              <w:top w:val="nil"/>
              <w:left w:val="nil"/>
              <w:bottom w:val="single" w:color="auto" w:sz="4" w:space="0"/>
              <w:right w:val="single" w:color="auto" w:sz="4" w:space="0"/>
            </w:tcBorders>
            <w:noWrap w:val="0"/>
            <w:vAlign w:val="center"/>
          </w:tcPr>
          <w:p w14:paraId="0C11021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监理合同价款×25%</w:t>
            </w:r>
          </w:p>
        </w:tc>
        <w:tc>
          <w:tcPr>
            <w:tcW w:w="840" w:type="dxa"/>
            <w:tcBorders>
              <w:top w:val="nil"/>
              <w:left w:val="nil"/>
              <w:bottom w:val="single" w:color="auto" w:sz="4" w:space="0"/>
              <w:right w:val="single" w:color="auto" w:sz="4" w:space="0"/>
            </w:tcBorders>
            <w:noWrap/>
            <w:vAlign w:val="center"/>
          </w:tcPr>
          <w:p w14:paraId="057DEC7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D720F3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A420B1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罚款金额=监理合同价款×25%×（1+情节系数）</w:t>
            </w:r>
          </w:p>
        </w:tc>
        <w:tc>
          <w:tcPr>
            <w:tcW w:w="1973" w:type="dxa"/>
            <w:gridSpan w:val="2"/>
            <w:tcBorders>
              <w:top w:val="nil"/>
              <w:left w:val="nil"/>
              <w:bottom w:val="single" w:color="auto" w:sz="4" w:space="0"/>
              <w:right w:val="single" w:color="auto" w:sz="4" w:space="0"/>
            </w:tcBorders>
            <w:noWrap w:val="0"/>
            <w:vAlign w:val="center"/>
          </w:tcPr>
          <w:p w14:paraId="12FA34F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w:t>
            </w:r>
            <w:r>
              <w:rPr>
                <w:rFonts w:hint="eastAsia" w:ascii="宋体" w:hAnsi="宋体" w:eastAsia="宋体" w:cs="宋体"/>
                <w:color w:val="auto"/>
                <w:kern w:val="0"/>
                <w:sz w:val="15"/>
                <w:szCs w:val="15"/>
                <w:highlight w:val="none"/>
                <w:lang w:eastAsia="zh-CN"/>
              </w:rPr>
              <w:t>质量</w:t>
            </w:r>
            <w:r>
              <w:rPr>
                <w:rFonts w:hint="eastAsia" w:ascii="宋体" w:hAnsi="宋体" w:eastAsia="宋体" w:cs="宋体"/>
                <w:color w:val="auto"/>
                <w:kern w:val="0"/>
                <w:sz w:val="15"/>
                <w:szCs w:val="15"/>
                <w:highlight w:val="none"/>
              </w:rPr>
              <w:t>事故的；2.经执法部门处罚后，一年度内再次发生同类型违法行为。拟作出停业整顿、降低资质等级、吊销资质证书的，在作出处罚决定前，要邀请行业主管部门共同会商。</w:t>
            </w:r>
          </w:p>
        </w:tc>
      </w:tr>
      <w:tr w14:paraId="133E5A9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81" w:hRule="atLeast"/>
        </w:trPr>
        <w:tc>
          <w:tcPr>
            <w:tcW w:w="612" w:type="dxa"/>
            <w:gridSpan w:val="2"/>
            <w:tcBorders>
              <w:top w:val="nil"/>
              <w:left w:val="single" w:color="auto" w:sz="4" w:space="0"/>
              <w:bottom w:val="single" w:color="auto" w:sz="4" w:space="0"/>
              <w:right w:val="single" w:color="auto" w:sz="4" w:space="0"/>
            </w:tcBorders>
            <w:noWrap/>
            <w:vAlign w:val="center"/>
          </w:tcPr>
          <w:p w14:paraId="34D99751">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20</w:t>
            </w:r>
          </w:p>
        </w:tc>
        <w:tc>
          <w:tcPr>
            <w:tcW w:w="1811" w:type="dxa"/>
            <w:tcBorders>
              <w:top w:val="nil"/>
              <w:left w:val="nil"/>
              <w:bottom w:val="single" w:color="auto" w:sz="4" w:space="0"/>
              <w:right w:val="single" w:color="auto" w:sz="4" w:space="0"/>
            </w:tcBorders>
            <w:noWrap w:val="0"/>
            <w:vAlign w:val="center"/>
          </w:tcPr>
          <w:p w14:paraId="5E512DE2">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水利工程建设监理单位与</w:t>
            </w:r>
            <w:r>
              <w:rPr>
                <w:rFonts w:hint="eastAsia" w:ascii="宋体" w:hAnsi="宋体" w:eastAsia="宋体" w:cs="宋体"/>
                <w:color w:val="auto"/>
                <w:kern w:val="0"/>
                <w:sz w:val="15"/>
                <w:szCs w:val="15"/>
                <w:highlight w:val="none"/>
                <w:lang w:eastAsia="zh-CN"/>
              </w:rPr>
              <w:t>项目法人或者被监理单位</w:t>
            </w:r>
            <w:r>
              <w:rPr>
                <w:rFonts w:hint="eastAsia" w:ascii="宋体" w:hAnsi="宋体" w:eastAsia="宋体" w:cs="宋体"/>
                <w:color w:val="auto"/>
                <w:kern w:val="0"/>
                <w:sz w:val="15"/>
                <w:szCs w:val="15"/>
                <w:highlight w:val="none"/>
              </w:rPr>
              <w:t>串通，弄虚作假、降低工程质量</w:t>
            </w:r>
          </w:p>
        </w:tc>
        <w:tc>
          <w:tcPr>
            <w:tcW w:w="2793" w:type="dxa"/>
            <w:gridSpan w:val="2"/>
            <w:tcBorders>
              <w:top w:val="nil"/>
              <w:left w:val="nil"/>
              <w:bottom w:val="single" w:color="auto" w:sz="4" w:space="0"/>
              <w:right w:val="single" w:color="auto" w:sz="4" w:space="0"/>
            </w:tcBorders>
            <w:noWrap w:val="0"/>
            <w:vAlign w:val="center"/>
          </w:tcPr>
          <w:p w14:paraId="1081F219">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违反条款：《条例》第三十六条；</w:t>
            </w:r>
            <w:r>
              <w:rPr>
                <w:rFonts w:hint="eastAsia" w:ascii="宋体" w:hAnsi="宋体" w:eastAsia="宋体" w:cs="宋体"/>
                <w:color w:val="auto"/>
                <w:kern w:val="0"/>
                <w:sz w:val="15"/>
                <w:szCs w:val="15"/>
                <w:highlight w:val="none"/>
                <w:lang w:eastAsia="zh-CN"/>
              </w:rPr>
              <w:t>《水利工程建设监理规定》第二十六条第二款；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处罚条款：《条例》第六十七条第（一）项，责令改正，处50万元以上100万元以下的罚款，降低资质等级或者吊销资质证书；有违法所得的，予以没收。</w:t>
            </w:r>
          </w:p>
        </w:tc>
        <w:tc>
          <w:tcPr>
            <w:tcW w:w="864" w:type="dxa"/>
            <w:gridSpan w:val="2"/>
            <w:tcBorders>
              <w:top w:val="nil"/>
              <w:left w:val="nil"/>
              <w:bottom w:val="single" w:color="auto" w:sz="4" w:space="0"/>
              <w:right w:val="single" w:color="auto" w:sz="4" w:space="0"/>
            </w:tcBorders>
            <w:noWrap w:val="0"/>
            <w:vAlign w:val="center"/>
          </w:tcPr>
          <w:p w14:paraId="20E505D2">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14:paraId="7C2E7F78">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3A4B3A79">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A5582A9">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14:paraId="5D45E29F">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3D6D8A0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090" w:hRule="atLeast"/>
        </w:trPr>
        <w:tc>
          <w:tcPr>
            <w:tcW w:w="612" w:type="dxa"/>
            <w:gridSpan w:val="2"/>
            <w:tcBorders>
              <w:top w:val="nil"/>
              <w:left w:val="single" w:color="auto" w:sz="4" w:space="0"/>
              <w:bottom w:val="single" w:color="auto" w:sz="4" w:space="0"/>
              <w:right w:val="single" w:color="auto" w:sz="4" w:space="0"/>
            </w:tcBorders>
            <w:noWrap/>
            <w:vAlign w:val="center"/>
          </w:tcPr>
          <w:p w14:paraId="3444B8BE">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21</w:t>
            </w:r>
          </w:p>
        </w:tc>
        <w:tc>
          <w:tcPr>
            <w:tcW w:w="1811" w:type="dxa"/>
            <w:tcBorders>
              <w:top w:val="nil"/>
              <w:left w:val="nil"/>
              <w:bottom w:val="single" w:color="auto" w:sz="4" w:space="0"/>
              <w:right w:val="single" w:color="auto" w:sz="4" w:space="0"/>
            </w:tcBorders>
            <w:noWrap w:val="0"/>
            <w:vAlign w:val="center"/>
          </w:tcPr>
          <w:p w14:paraId="0B48AF9A">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水利工程建设监理单位将不合格的建设工程、原材料、中间产品和设备按照合格签字</w:t>
            </w:r>
          </w:p>
        </w:tc>
        <w:tc>
          <w:tcPr>
            <w:tcW w:w="2793" w:type="dxa"/>
            <w:gridSpan w:val="2"/>
            <w:tcBorders>
              <w:top w:val="nil"/>
              <w:left w:val="nil"/>
              <w:bottom w:val="single" w:color="auto" w:sz="4" w:space="0"/>
              <w:right w:val="single" w:color="auto" w:sz="4" w:space="0"/>
            </w:tcBorders>
            <w:noWrap w:val="0"/>
            <w:vAlign w:val="center"/>
          </w:tcPr>
          <w:p w14:paraId="7D2D1052">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违反条款：《条例》第六十七条第（二）项；《规定》第七十条第二款；</w:t>
            </w:r>
            <w:r>
              <w:rPr>
                <w:rFonts w:hint="eastAsia" w:ascii="宋体" w:hAnsi="宋体" w:eastAsia="宋体" w:cs="宋体"/>
                <w:color w:val="auto"/>
                <w:kern w:val="0"/>
                <w:sz w:val="15"/>
                <w:szCs w:val="15"/>
                <w:highlight w:val="none"/>
                <w:lang w:eastAsia="zh-CN"/>
              </w:rPr>
              <w:t>《水利工程建设监理规定》第二十一条第一款；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第（二）项，责令改正，处50万元以上100万元以下的罚款，降低资质等级或者吊销资质证书，有违法所得的，予以没收；《规定》第七十条第二款，责令改正，处50万元以上100万元以下的罚款；有违法所得的，予以没收。</w:t>
            </w:r>
          </w:p>
        </w:tc>
        <w:tc>
          <w:tcPr>
            <w:tcW w:w="864" w:type="dxa"/>
            <w:gridSpan w:val="2"/>
            <w:tcBorders>
              <w:top w:val="nil"/>
              <w:left w:val="nil"/>
              <w:bottom w:val="single" w:color="auto" w:sz="4" w:space="0"/>
              <w:right w:val="single" w:color="auto" w:sz="4" w:space="0"/>
            </w:tcBorders>
            <w:noWrap w:val="0"/>
            <w:vAlign w:val="center"/>
          </w:tcPr>
          <w:p w14:paraId="5F06A788">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500000</w:t>
            </w:r>
          </w:p>
        </w:tc>
        <w:tc>
          <w:tcPr>
            <w:tcW w:w="840" w:type="dxa"/>
            <w:tcBorders>
              <w:top w:val="nil"/>
              <w:left w:val="nil"/>
              <w:bottom w:val="single" w:color="auto" w:sz="4" w:space="0"/>
              <w:right w:val="single" w:color="auto" w:sz="4" w:space="0"/>
            </w:tcBorders>
            <w:noWrap/>
            <w:vAlign w:val="center"/>
          </w:tcPr>
          <w:p w14:paraId="0B446579">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3FAC97BA">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处以下罚款，有违法所得的，没收违法所得：1.监理费＜50万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2.50万元≤监理费＜100万元，系数为0.2；3.100万元≤监理费＜150万元，系数为0.4；4.150万元≤监理费＜200万元，系数为0.6；5.200万元≤监理费＜250万元，系数为0.8；6.250万元≤监理费，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87497C4">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罚款金额=500000×（1+情节系数）</w:t>
            </w:r>
          </w:p>
        </w:tc>
        <w:tc>
          <w:tcPr>
            <w:tcW w:w="1973" w:type="dxa"/>
            <w:gridSpan w:val="2"/>
            <w:tcBorders>
              <w:top w:val="nil"/>
              <w:left w:val="nil"/>
              <w:bottom w:val="single" w:color="auto" w:sz="4" w:space="0"/>
              <w:right w:val="single" w:color="auto" w:sz="4" w:space="0"/>
            </w:tcBorders>
            <w:noWrap w:val="0"/>
            <w:vAlign w:val="center"/>
          </w:tcPr>
          <w:p w14:paraId="206D061C">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拟作出降低资质等级、吊销资质证书的，在作出处罚决定前，要邀请行业主管部门共同会商。</w:t>
            </w:r>
          </w:p>
        </w:tc>
      </w:tr>
      <w:tr w14:paraId="7D9771E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76A11F48">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22</w:t>
            </w:r>
          </w:p>
        </w:tc>
        <w:tc>
          <w:tcPr>
            <w:tcW w:w="1811" w:type="dxa"/>
            <w:tcBorders>
              <w:top w:val="nil"/>
              <w:left w:val="nil"/>
              <w:bottom w:val="single" w:color="auto" w:sz="4" w:space="0"/>
              <w:right w:val="single" w:color="auto" w:sz="4" w:space="0"/>
            </w:tcBorders>
            <w:noWrap w:val="0"/>
            <w:vAlign w:val="center"/>
          </w:tcPr>
          <w:p w14:paraId="4A5781D2">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水利工程建设监理单位与被监理工程的施工单位以及原材料、中间产品和设备供应单位有隶属关系或者其他利害关系</w:t>
            </w:r>
          </w:p>
        </w:tc>
        <w:tc>
          <w:tcPr>
            <w:tcW w:w="2793" w:type="dxa"/>
            <w:gridSpan w:val="2"/>
            <w:tcBorders>
              <w:top w:val="nil"/>
              <w:left w:val="nil"/>
              <w:bottom w:val="single" w:color="auto" w:sz="4" w:space="0"/>
              <w:right w:val="single" w:color="auto" w:sz="4" w:space="0"/>
            </w:tcBorders>
            <w:noWrap w:val="0"/>
            <w:vAlign w:val="center"/>
          </w:tcPr>
          <w:p w14:paraId="622E26C3">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违反条款：《条例》第三十五条；</w:t>
            </w:r>
            <w:r>
              <w:rPr>
                <w:rFonts w:hint="eastAsia" w:ascii="宋体" w:hAnsi="宋体" w:eastAsia="宋体" w:cs="宋体"/>
                <w:color w:val="auto"/>
                <w:kern w:val="0"/>
                <w:sz w:val="15"/>
                <w:szCs w:val="15"/>
                <w:highlight w:val="none"/>
                <w:lang w:eastAsia="zh-CN"/>
              </w:rPr>
              <w:t>《水利工程建设监理规定》第二十六条第一款；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处罚条款：《条例》第六十八条，责令改正，处5万元以上10万元以下的罚款，降低资质等级或者吊销资质证书；有违法所得的，予以没收。</w:t>
            </w:r>
          </w:p>
        </w:tc>
        <w:tc>
          <w:tcPr>
            <w:tcW w:w="864" w:type="dxa"/>
            <w:gridSpan w:val="2"/>
            <w:tcBorders>
              <w:top w:val="nil"/>
              <w:left w:val="nil"/>
              <w:bottom w:val="single" w:color="auto" w:sz="4" w:space="0"/>
              <w:right w:val="single" w:color="auto" w:sz="4" w:space="0"/>
            </w:tcBorders>
            <w:noWrap w:val="0"/>
            <w:vAlign w:val="center"/>
          </w:tcPr>
          <w:p w14:paraId="2108E42F">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noWrap/>
            <w:vAlign w:val="center"/>
          </w:tcPr>
          <w:p w14:paraId="6F8BD0FC">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73019595">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处以下罚款，有违法所得的，没收违法所得：1.资质等级为乙级，系数为0；2.资质等级为甲级</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5208CD3">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14:paraId="3397DF95">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拟作出降低资质等级、吊销资质证书的，在作出处罚决定前，要邀请行业主管部门共同会商。</w:t>
            </w:r>
          </w:p>
        </w:tc>
      </w:tr>
      <w:tr w14:paraId="4C12A30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280" w:hRule="atLeast"/>
        </w:trPr>
        <w:tc>
          <w:tcPr>
            <w:tcW w:w="612" w:type="dxa"/>
            <w:gridSpan w:val="2"/>
            <w:tcBorders>
              <w:top w:val="nil"/>
              <w:left w:val="single" w:color="auto" w:sz="4" w:space="0"/>
              <w:bottom w:val="single" w:color="auto" w:sz="4" w:space="0"/>
              <w:right w:val="single" w:color="auto" w:sz="4" w:space="0"/>
            </w:tcBorders>
            <w:noWrap/>
            <w:vAlign w:val="center"/>
          </w:tcPr>
          <w:p w14:paraId="7D3712A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11" w:type="dxa"/>
            <w:tcBorders>
              <w:top w:val="nil"/>
              <w:left w:val="nil"/>
              <w:bottom w:val="single" w:color="auto" w:sz="4" w:space="0"/>
              <w:right w:val="single" w:color="auto" w:sz="4" w:space="0"/>
            </w:tcBorders>
            <w:noWrap w:val="0"/>
            <w:vAlign w:val="center"/>
          </w:tcPr>
          <w:p w14:paraId="0768EDE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勘察、设计单位将承包的工程转包或者违法分包的</w:t>
            </w:r>
          </w:p>
        </w:tc>
        <w:tc>
          <w:tcPr>
            <w:tcW w:w="2793" w:type="dxa"/>
            <w:gridSpan w:val="2"/>
            <w:tcBorders>
              <w:top w:val="nil"/>
              <w:left w:val="nil"/>
              <w:bottom w:val="single" w:color="auto" w:sz="4" w:space="0"/>
              <w:right w:val="single" w:color="auto" w:sz="4" w:space="0"/>
            </w:tcBorders>
            <w:noWrap w:val="0"/>
            <w:vAlign w:val="center"/>
          </w:tcPr>
          <w:p w14:paraId="72FD939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违反条款：《条例》第十八条第三款；《规定》第二十一条；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对勘察、设计单位处合同约定的勘察费、设计费百分之二十五以上百分之五十以下的罚款，可以责令停业整顿，降低资质等级，情节严重的，吊销资质证书；《规定》第六十四条第一款，责令改正，没收违法所得，对勘察、设计单位处合同约定的勘察费、设计费25%以上50%以下的罚款。</w:t>
            </w:r>
          </w:p>
        </w:tc>
        <w:tc>
          <w:tcPr>
            <w:tcW w:w="864" w:type="dxa"/>
            <w:gridSpan w:val="2"/>
            <w:tcBorders>
              <w:top w:val="nil"/>
              <w:left w:val="nil"/>
              <w:bottom w:val="single" w:color="auto" w:sz="4" w:space="0"/>
              <w:right w:val="single" w:color="auto" w:sz="4" w:space="0"/>
            </w:tcBorders>
            <w:noWrap w:val="0"/>
            <w:vAlign w:val="center"/>
          </w:tcPr>
          <w:p w14:paraId="6900C94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勘察费或设计费×25%</w:t>
            </w:r>
          </w:p>
        </w:tc>
        <w:tc>
          <w:tcPr>
            <w:tcW w:w="840" w:type="dxa"/>
            <w:tcBorders>
              <w:top w:val="nil"/>
              <w:left w:val="nil"/>
              <w:bottom w:val="single" w:color="auto" w:sz="4" w:space="0"/>
              <w:right w:val="single" w:color="auto" w:sz="4" w:space="0"/>
            </w:tcBorders>
            <w:noWrap w:val="0"/>
            <w:vAlign w:val="center"/>
          </w:tcPr>
          <w:p w14:paraId="7ADCD40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439B04C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3B0A08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罚款金额=勘察费或设计费×25%×（1+情节系数）</w:t>
            </w:r>
          </w:p>
        </w:tc>
        <w:tc>
          <w:tcPr>
            <w:tcW w:w="1973" w:type="dxa"/>
            <w:gridSpan w:val="2"/>
            <w:tcBorders>
              <w:top w:val="nil"/>
              <w:left w:val="nil"/>
              <w:bottom w:val="single" w:color="auto" w:sz="4" w:space="0"/>
              <w:right w:val="single" w:color="auto" w:sz="4" w:space="0"/>
            </w:tcBorders>
            <w:noWrap w:val="0"/>
            <w:vAlign w:val="center"/>
          </w:tcPr>
          <w:p w14:paraId="35A8010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14:paraId="5544862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3044325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11" w:type="dxa"/>
            <w:tcBorders>
              <w:top w:val="nil"/>
              <w:left w:val="nil"/>
              <w:bottom w:val="single" w:color="auto" w:sz="4" w:space="0"/>
              <w:right w:val="single" w:color="auto" w:sz="4" w:space="0"/>
            </w:tcBorders>
            <w:noWrap w:val="0"/>
            <w:vAlign w:val="center"/>
          </w:tcPr>
          <w:p w14:paraId="439371B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施工单位将承包的水利工程转包或者违法分包</w:t>
            </w:r>
          </w:p>
        </w:tc>
        <w:tc>
          <w:tcPr>
            <w:tcW w:w="2793" w:type="dxa"/>
            <w:gridSpan w:val="2"/>
            <w:tcBorders>
              <w:top w:val="nil"/>
              <w:left w:val="nil"/>
              <w:bottom w:val="single" w:color="auto" w:sz="4" w:space="0"/>
              <w:right w:val="single" w:color="auto" w:sz="4" w:space="0"/>
            </w:tcBorders>
            <w:noWrap w:val="0"/>
            <w:vAlign w:val="center"/>
          </w:tcPr>
          <w:p w14:paraId="240F9E6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处罚条款：《条例》第六十二条第一款，责令改正，没收违法所得，处工程合同价款0.5%以上1%以下的罚款，可以责令停业整顿，降低资质等级；情节严重的，吊销资质证书。</w:t>
            </w:r>
          </w:p>
        </w:tc>
        <w:tc>
          <w:tcPr>
            <w:tcW w:w="864" w:type="dxa"/>
            <w:gridSpan w:val="2"/>
            <w:tcBorders>
              <w:top w:val="nil"/>
              <w:left w:val="nil"/>
              <w:bottom w:val="single" w:color="auto" w:sz="4" w:space="0"/>
              <w:right w:val="single" w:color="auto" w:sz="4" w:space="0"/>
            </w:tcBorders>
            <w:noWrap w:val="0"/>
            <w:vAlign w:val="center"/>
          </w:tcPr>
          <w:p w14:paraId="43CE61E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noWrap w:val="0"/>
            <w:vAlign w:val="center"/>
          </w:tcPr>
          <w:p w14:paraId="71FC617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3F7D3DF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有违法所得的，没收违法所得，并处以下罚款：1.资质等级为二级，系数为0；2.资质等级为一级或存在重大质量问题或造成生产安全事故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C8AE49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1973" w:type="dxa"/>
            <w:gridSpan w:val="2"/>
            <w:tcBorders>
              <w:top w:val="nil"/>
              <w:left w:val="nil"/>
              <w:bottom w:val="single" w:color="auto" w:sz="4" w:space="0"/>
              <w:right w:val="single" w:color="auto" w:sz="4" w:space="0"/>
            </w:tcBorders>
            <w:noWrap w:val="0"/>
            <w:vAlign w:val="center"/>
          </w:tcPr>
          <w:p w14:paraId="73322CA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14:paraId="67CB602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900" w:hRule="atLeast"/>
        </w:trPr>
        <w:tc>
          <w:tcPr>
            <w:tcW w:w="612" w:type="dxa"/>
            <w:gridSpan w:val="2"/>
            <w:tcBorders>
              <w:top w:val="nil"/>
              <w:left w:val="single" w:color="auto" w:sz="4" w:space="0"/>
              <w:bottom w:val="single" w:color="auto" w:sz="4" w:space="0"/>
              <w:right w:val="single" w:color="auto" w:sz="4" w:space="0"/>
            </w:tcBorders>
            <w:noWrap/>
            <w:vAlign w:val="center"/>
          </w:tcPr>
          <w:p w14:paraId="07AD645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11" w:type="dxa"/>
            <w:tcBorders>
              <w:top w:val="nil"/>
              <w:left w:val="nil"/>
              <w:bottom w:val="single" w:color="auto" w:sz="4" w:space="0"/>
              <w:right w:val="single" w:color="auto" w:sz="4" w:space="0"/>
            </w:tcBorders>
            <w:noWrap w:val="0"/>
            <w:vAlign w:val="center"/>
          </w:tcPr>
          <w:p w14:paraId="052E289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工程监理单位将承包的水利工程转包或者违法分包</w:t>
            </w:r>
          </w:p>
        </w:tc>
        <w:tc>
          <w:tcPr>
            <w:tcW w:w="2793" w:type="dxa"/>
            <w:gridSpan w:val="2"/>
            <w:tcBorders>
              <w:top w:val="nil"/>
              <w:left w:val="nil"/>
              <w:bottom w:val="single" w:color="auto" w:sz="4" w:space="0"/>
              <w:right w:val="single" w:color="auto" w:sz="4" w:space="0"/>
            </w:tcBorders>
            <w:noWrap w:val="0"/>
            <w:vAlign w:val="center"/>
          </w:tcPr>
          <w:p w14:paraId="36B3A7C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违反条款：《条例》第三十四条第三款；《规定》第四十一条；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二条第二款，责令改正，没收违法所得，处合同约定的监理合同价款25%以上50%以下的罚款，可以责令停业整顿，降低资质等级；《规定》第六十四条第二款，责令改正，没收违法所得，处合同约定的监理合同价款25%以上50%以下的罚款。</w:t>
            </w:r>
          </w:p>
        </w:tc>
        <w:tc>
          <w:tcPr>
            <w:tcW w:w="864" w:type="dxa"/>
            <w:gridSpan w:val="2"/>
            <w:tcBorders>
              <w:top w:val="nil"/>
              <w:left w:val="nil"/>
              <w:bottom w:val="single" w:color="auto" w:sz="4" w:space="0"/>
              <w:right w:val="single" w:color="auto" w:sz="4" w:space="0"/>
            </w:tcBorders>
            <w:noWrap w:val="0"/>
            <w:vAlign w:val="center"/>
          </w:tcPr>
          <w:p w14:paraId="7FBF107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监理合同价款×25%</w:t>
            </w:r>
          </w:p>
        </w:tc>
        <w:tc>
          <w:tcPr>
            <w:tcW w:w="840" w:type="dxa"/>
            <w:tcBorders>
              <w:top w:val="nil"/>
              <w:left w:val="nil"/>
              <w:bottom w:val="single" w:color="auto" w:sz="4" w:space="0"/>
              <w:right w:val="single" w:color="auto" w:sz="4" w:space="0"/>
            </w:tcBorders>
            <w:noWrap/>
            <w:vAlign w:val="center"/>
          </w:tcPr>
          <w:p w14:paraId="480FBF5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28886AB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有违法所得的，没收违法所得，并处以下罚款：1.资质等级为乙级，系数为0；2.资质等级为甲级或存在重大质量问题或造成生产安全事故</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71DA94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罚款金额=监理合同价款×25%×（1+情节系数）</w:t>
            </w:r>
          </w:p>
        </w:tc>
        <w:tc>
          <w:tcPr>
            <w:tcW w:w="1973" w:type="dxa"/>
            <w:gridSpan w:val="2"/>
            <w:tcBorders>
              <w:top w:val="nil"/>
              <w:left w:val="nil"/>
              <w:bottom w:val="single" w:color="auto" w:sz="4" w:space="0"/>
              <w:right w:val="single" w:color="auto" w:sz="4" w:space="0"/>
            </w:tcBorders>
            <w:noWrap w:val="0"/>
            <w:vAlign w:val="center"/>
          </w:tcPr>
          <w:p w14:paraId="2B29D24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14:paraId="20BFC1E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497"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14:paraId="7D4A198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11" w:type="dxa"/>
            <w:vMerge w:val="restart"/>
            <w:tcBorders>
              <w:top w:val="nil"/>
              <w:left w:val="single" w:color="auto" w:sz="4" w:space="0"/>
              <w:bottom w:val="single" w:color="auto" w:sz="4" w:space="0"/>
              <w:right w:val="single" w:color="auto" w:sz="4" w:space="0"/>
            </w:tcBorders>
            <w:noWrap w:val="0"/>
            <w:vAlign w:val="center"/>
          </w:tcPr>
          <w:p w14:paraId="5198230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勘察、设计、施工、监理单位允许其他单位或者个人以本单位名义承揽水利工程业务</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14:paraId="48A0550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违反条款：《条例》第十八条第二款、第二十五条第二款、第三十四条第二款；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责令改正，没收违法所得，对勘察、设计单位和工程监理单位处合同约定的勘察费、设计费和监理合同价款1倍以上2倍以下的罚款；对施工单位处工程合同价款2%以上4%以下的罚款；可以责令停业整顿，降低资质等级；情节严重的，吊销资质证书。</w:t>
            </w:r>
          </w:p>
        </w:tc>
        <w:tc>
          <w:tcPr>
            <w:tcW w:w="864" w:type="dxa"/>
            <w:gridSpan w:val="2"/>
            <w:tcBorders>
              <w:top w:val="nil"/>
              <w:left w:val="nil"/>
              <w:bottom w:val="single" w:color="auto" w:sz="4" w:space="0"/>
              <w:right w:val="single" w:color="auto" w:sz="4" w:space="0"/>
            </w:tcBorders>
            <w:noWrap w:val="0"/>
            <w:vAlign w:val="center"/>
          </w:tcPr>
          <w:p w14:paraId="15F306E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勘察费、设计费、监理合同价款×1倍（对勘察、设计、监理单位）</w:t>
            </w:r>
          </w:p>
        </w:tc>
        <w:tc>
          <w:tcPr>
            <w:tcW w:w="840" w:type="dxa"/>
            <w:tcBorders>
              <w:top w:val="nil"/>
              <w:left w:val="nil"/>
              <w:bottom w:val="single" w:color="auto" w:sz="4" w:space="0"/>
              <w:right w:val="single" w:color="auto" w:sz="4" w:space="0"/>
            </w:tcBorders>
            <w:noWrap/>
            <w:vAlign w:val="center"/>
          </w:tcPr>
          <w:p w14:paraId="070ACFB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7CF4BCE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，系数为0.5；3.5000万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72DE44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罚款金额=勘察费、设计费、监理合同价款×（1+情节系数）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14:paraId="6E8B347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w:t>
            </w:r>
            <w:r>
              <w:rPr>
                <w:rFonts w:hint="eastAsia" w:ascii="宋体" w:hAnsi="宋体" w:eastAsia="宋体" w:cs="宋体"/>
                <w:color w:val="auto"/>
                <w:kern w:val="0"/>
                <w:sz w:val="15"/>
                <w:szCs w:val="15"/>
                <w:highlight w:val="none"/>
                <w:lang w:eastAsia="zh-CN"/>
              </w:rPr>
              <w:t>质量</w:t>
            </w:r>
            <w:r>
              <w:rPr>
                <w:rFonts w:hint="eastAsia" w:ascii="宋体" w:hAnsi="宋体" w:eastAsia="宋体" w:cs="宋体"/>
                <w:color w:val="auto"/>
                <w:kern w:val="0"/>
                <w:sz w:val="15"/>
                <w:szCs w:val="15"/>
                <w:highlight w:val="none"/>
              </w:rPr>
              <w:t>事故的；2.经执法部门处罚后，一年度内再次发生同类型违法行为。拟作出停业整顿、降低资质等级、吊销资质证书的，在作出处罚决定前，要邀请行业主管部门共同会商。</w:t>
            </w:r>
          </w:p>
        </w:tc>
      </w:tr>
      <w:tr w14:paraId="43D7D73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7A14BF67">
            <w:pPr>
              <w:widowControl/>
              <w:jc w:val="left"/>
              <w:rPr>
                <w:rFonts w:hint="eastAsia" w:ascii="宋体" w:hAnsi="宋体" w:eastAsia="宋体" w:cs="宋体"/>
                <w:color w:val="auto"/>
                <w:kern w:val="0"/>
                <w:sz w:val="15"/>
                <w:szCs w:val="15"/>
                <w:highlight w:val="green"/>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6334F5DF">
            <w:pPr>
              <w:widowControl/>
              <w:jc w:val="left"/>
              <w:rPr>
                <w:rFonts w:hint="eastAsia" w:ascii="宋体" w:hAnsi="宋体" w:eastAsia="宋体" w:cs="宋体"/>
                <w:color w:val="auto"/>
                <w:kern w:val="0"/>
                <w:sz w:val="15"/>
                <w:szCs w:val="15"/>
                <w:highlight w:val="green"/>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294547A8">
            <w:pPr>
              <w:widowControl/>
              <w:jc w:val="left"/>
              <w:rPr>
                <w:rFonts w:hint="eastAsia" w:ascii="宋体" w:hAnsi="宋体" w:eastAsia="宋体" w:cs="宋体"/>
                <w:color w:val="auto"/>
                <w:kern w:val="0"/>
                <w:sz w:val="15"/>
                <w:szCs w:val="15"/>
                <w:highlight w:val="green"/>
              </w:rPr>
            </w:pPr>
          </w:p>
        </w:tc>
        <w:tc>
          <w:tcPr>
            <w:tcW w:w="864" w:type="dxa"/>
            <w:gridSpan w:val="2"/>
            <w:tcBorders>
              <w:top w:val="nil"/>
              <w:left w:val="nil"/>
              <w:bottom w:val="single" w:color="auto" w:sz="4" w:space="0"/>
              <w:right w:val="single" w:color="auto" w:sz="4" w:space="0"/>
            </w:tcBorders>
            <w:noWrap w:val="0"/>
            <w:vAlign w:val="center"/>
          </w:tcPr>
          <w:p w14:paraId="6887770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工程合同价款×2%（对施工单位）</w:t>
            </w:r>
          </w:p>
        </w:tc>
        <w:tc>
          <w:tcPr>
            <w:tcW w:w="840" w:type="dxa"/>
            <w:tcBorders>
              <w:top w:val="nil"/>
              <w:left w:val="nil"/>
              <w:bottom w:val="single" w:color="auto" w:sz="4" w:space="0"/>
              <w:right w:val="single" w:color="auto" w:sz="4" w:space="0"/>
            </w:tcBorders>
            <w:noWrap/>
            <w:vAlign w:val="center"/>
          </w:tcPr>
          <w:p w14:paraId="3D4DE75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7337F6A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，系数为0.5；3.5000万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≤工程合同价款，系数为1。4.存在基准2.1.3规定情形的，系数按照相关规定确定（基准2.1.3.5不适用）。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08BB58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14:paraId="3B177AD0">
            <w:pPr>
              <w:widowControl/>
              <w:jc w:val="left"/>
              <w:rPr>
                <w:rFonts w:hint="eastAsia" w:ascii="宋体" w:hAnsi="宋体" w:eastAsia="宋体" w:cs="宋体"/>
                <w:color w:val="auto"/>
                <w:kern w:val="0"/>
                <w:sz w:val="15"/>
                <w:szCs w:val="15"/>
                <w:highlight w:val="none"/>
              </w:rPr>
            </w:pPr>
          </w:p>
        </w:tc>
      </w:tr>
      <w:tr w14:paraId="6547D10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1571E63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11" w:type="dxa"/>
            <w:tcBorders>
              <w:top w:val="nil"/>
              <w:left w:val="nil"/>
              <w:bottom w:val="single" w:color="auto" w:sz="4" w:space="0"/>
              <w:right w:val="single" w:color="auto" w:sz="4" w:space="0"/>
            </w:tcBorders>
            <w:noWrap w:val="0"/>
            <w:vAlign w:val="center"/>
          </w:tcPr>
          <w:p w14:paraId="6E6841D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水利工程建设单位未对施工图设计文件进行审查或者审查不合格，擅自施工</w:t>
            </w:r>
          </w:p>
        </w:tc>
        <w:tc>
          <w:tcPr>
            <w:tcW w:w="2793" w:type="dxa"/>
            <w:gridSpan w:val="2"/>
            <w:tcBorders>
              <w:top w:val="nil"/>
              <w:left w:val="nil"/>
              <w:bottom w:val="single" w:color="auto" w:sz="4" w:space="0"/>
              <w:right w:val="single" w:color="auto" w:sz="4" w:space="0"/>
            </w:tcBorders>
            <w:noWrap w:val="0"/>
            <w:vAlign w:val="center"/>
          </w:tcPr>
          <w:p w14:paraId="1C43F80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违反条款：《条例》第十一条第二款；《规定》第十五条第一款；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处罚条款：《条例》第五十六条第（四）项，责令改正，处20万元以上50万元以下的罚款；《规定》第六十条第（四）项，责令改正，处20万元以上50万元以下的罚款。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14:paraId="3E3CB85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14:paraId="061DAA0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49EBF1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1.工程合同价款＜1000万</w:t>
            </w:r>
            <w:r>
              <w:rPr>
                <w:rFonts w:hint="eastAsia" w:ascii="宋体" w:hAnsi="宋体" w:eastAsia="宋体" w:cs="宋体"/>
                <w:color w:val="auto"/>
                <w:kern w:val="0"/>
                <w:sz w:val="15"/>
                <w:szCs w:val="15"/>
                <w:highlight w:val="none"/>
                <w:lang w:eastAsia="zh-CN"/>
              </w:rPr>
              <w:t>元</w:t>
            </w:r>
            <w:r>
              <w:rPr>
                <w:rFonts w:hint="eastAsia" w:ascii="宋体" w:hAnsi="宋体" w:eastAsia="宋体" w:cs="宋体"/>
                <w:color w:val="auto"/>
                <w:kern w:val="0"/>
                <w:sz w:val="15"/>
                <w:szCs w:val="15"/>
                <w:highlight w:val="none"/>
              </w:rPr>
              <w:t>，系数为0；2.1000万元≤工程合同价款＜2000万元，系数为0.3；3.2000万元≤工程合同价款＜3000万元，系数为0.6；4.3000万元≤工程合同价款＜4000万元，系数为0.9；5.4000万元≤工程合同价款＜5000万元，系数为1.2；6.5000万元≤工程合同价款，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BB1023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14:paraId="1BD1D5A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CB705F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423" w:hRule="atLeast"/>
        </w:trPr>
        <w:tc>
          <w:tcPr>
            <w:tcW w:w="612" w:type="dxa"/>
            <w:gridSpan w:val="2"/>
            <w:tcBorders>
              <w:top w:val="nil"/>
              <w:left w:val="single" w:color="auto" w:sz="4" w:space="0"/>
              <w:bottom w:val="single" w:color="auto" w:sz="4" w:space="0"/>
              <w:right w:val="single" w:color="auto" w:sz="4" w:space="0"/>
            </w:tcBorders>
            <w:noWrap/>
            <w:vAlign w:val="center"/>
          </w:tcPr>
          <w:p w14:paraId="48A75C3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11" w:type="dxa"/>
            <w:tcBorders>
              <w:top w:val="nil"/>
              <w:left w:val="nil"/>
              <w:bottom w:val="single" w:color="auto" w:sz="4" w:space="0"/>
              <w:right w:val="single" w:color="auto" w:sz="4" w:space="0"/>
            </w:tcBorders>
            <w:noWrap w:val="0"/>
            <w:vAlign w:val="center"/>
          </w:tcPr>
          <w:p w14:paraId="7CB7EF6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工程勘察企业未按照工程建设强制性标准进行勘察</w:t>
            </w:r>
          </w:p>
        </w:tc>
        <w:tc>
          <w:tcPr>
            <w:tcW w:w="2793" w:type="dxa"/>
            <w:gridSpan w:val="2"/>
            <w:tcBorders>
              <w:top w:val="nil"/>
              <w:left w:val="nil"/>
              <w:bottom w:val="single" w:color="auto" w:sz="4" w:space="0"/>
              <w:right w:val="single" w:color="auto" w:sz="4" w:space="0"/>
            </w:tcBorders>
            <w:noWrap w:val="0"/>
            <w:vAlign w:val="center"/>
          </w:tcPr>
          <w:p w14:paraId="52A2CAE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违反条款：《条例》第十九条第一款；《规定》第二十二条；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处罚条款：《条例》第六十三条第一款第（一）项，责令改正，处10万元以上30万元以下的罚款；《规定》第六十六条第一款第（一）项，责令改正，处10万元以上30万元以下的罚款。</w:t>
            </w:r>
          </w:p>
        </w:tc>
        <w:tc>
          <w:tcPr>
            <w:tcW w:w="864" w:type="dxa"/>
            <w:gridSpan w:val="2"/>
            <w:tcBorders>
              <w:top w:val="nil"/>
              <w:left w:val="nil"/>
              <w:bottom w:val="single" w:color="auto" w:sz="4" w:space="0"/>
              <w:right w:val="single" w:color="auto" w:sz="4" w:space="0"/>
            </w:tcBorders>
            <w:noWrap w:val="0"/>
            <w:vAlign w:val="center"/>
          </w:tcPr>
          <w:p w14:paraId="3548028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14:paraId="33D8CF0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383FBCA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勘察标准与强制性标准存在偏差1处，系数为0；每增加1处，系数加0.4；偏差≥6处，系数为2；2.存在重大质量问题或造成生产安全事故，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2833E1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497CD3D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14:paraId="65DAFF4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ign w:val="center"/>
          </w:tcPr>
          <w:p w14:paraId="238A6205">
            <w:pPr>
              <w:widowControl/>
              <w:jc w:val="center"/>
              <w:outlineLvl w:val="1"/>
              <w:rPr>
                <w:rFonts w:hint="eastAsia" w:ascii="宋体" w:hAnsi="宋体" w:eastAsia="宋体" w:cs="宋体"/>
                <w:color w:val="auto"/>
                <w:kern w:val="0"/>
                <w:szCs w:val="21"/>
                <w:highlight w:val="none"/>
              </w:rPr>
            </w:pPr>
            <w:bookmarkStart w:id="373" w:name="_Toc565743131"/>
            <w:bookmarkStart w:id="374" w:name="_Toc884868795"/>
            <w:bookmarkStart w:id="375" w:name="_Toc218468897"/>
            <w:r>
              <w:rPr>
                <w:rFonts w:hint="eastAsia" w:ascii="宋体" w:hAnsi="宋体" w:eastAsia="宋体" w:cs="宋体"/>
                <w:b/>
                <w:bCs/>
                <w:color w:val="auto"/>
                <w:kern w:val="0"/>
                <w:szCs w:val="21"/>
                <w:highlight w:val="none"/>
              </w:rPr>
              <w:t>《水利工程质量管理规定》案由1项</w:t>
            </w:r>
            <w:bookmarkEnd w:id="373"/>
            <w:bookmarkEnd w:id="374"/>
            <w:bookmarkEnd w:id="375"/>
          </w:p>
        </w:tc>
      </w:tr>
      <w:tr w14:paraId="02A4F4C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4AC9AC8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45C4BE1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水利工程质量检测单位伪造检测数据，出具虚假质量检测报告</w:t>
            </w:r>
          </w:p>
        </w:tc>
        <w:tc>
          <w:tcPr>
            <w:tcW w:w="2793" w:type="dxa"/>
            <w:gridSpan w:val="2"/>
            <w:tcBorders>
              <w:top w:val="nil"/>
              <w:left w:val="nil"/>
              <w:bottom w:val="single" w:color="auto" w:sz="4" w:space="0"/>
              <w:right w:val="single" w:color="auto" w:sz="4" w:space="0"/>
            </w:tcBorders>
            <w:noWrap w:val="0"/>
            <w:vAlign w:val="center"/>
          </w:tcPr>
          <w:p w14:paraId="0D105D4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处罚条款：第七十二条，责令改正，给予警告或者通报批评，处10万元以下罚款。</w:t>
            </w:r>
          </w:p>
        </w:tc>
        <w:tc>
          <w:tcPr>
            <w:tcW w:w="864" w:type="dxa"/>
            <w:gridSpan w:val="2"/>
            <w:tcBorders>
              <w:top w:val="nil"/>
              <w:left w:val="nil"/>
              <w:bottom w:val="single" w:color="auto" w:sz="4" w:space="0"/>
              <w:right w:val="single" w:color="auto" w:sz="4" w:space="0"/>
            </w:tcBorders>
            <w:noWrap w:val="0"/>
            <w:vAlign w:val="center"/>
          </w:tcPr>
          <w:p w14:paraId="2E02E48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49ED6A4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1AF9103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或通报批评，处以下罚款：1.伪造检测数据，出具虚假质量检测报告1份，系数为0；每增加1份，系数加1；报告≥10份，系数为9；2.存在重大质量问题或造成生产安全事故，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FFA0C4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11F470C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需要作出除30000以外罚款决定的，</w:t>
            </w:r>
            <w:r>
              <w:rPr>
                <w:rFonts w:hint="eastAsia" w:ascii="宋体" w:hAnsi="宋体" w:eastAsia="宋体" w:cs="宋体"/>
                <w:color w:val="auto"/>
                <w:kern w:val="0"/>
                <w:sz w:val="15"/>
                <w:szCs w:val="15"/>
                <w:highlight w:val="none"/>
                <w:lang w:eastAsia="zh-CN"/>
              </w:rPr>
              <w:t>由执法人员在案卷中说明理由，并报案审会决定</w:t>
            </w:r>
            <w:r>
              <w:rPr>
                <w:rFonts w:hint="eastAsia" w:ascii="宋体" w:hAnsi="宋体" w:eastAsia="宋体" w:cs="宋体"/>
                <w:color w:val="auto"/>
                <w:kern w:val="0"/>
                <w:sz w:val="15"/>
                <w:szCs w:val="15"/>
                <w:highlight w:val="none"/>
              </w:rPr>
              <w:t>。</w:t>
            </w:r>
          </w:p>
        </w:tc>
      </w:tr>
      <w:tr w14:paraId="2792466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14:paraId="7A9A85E6">
            <w:pPr>
              <w:widowControl/>
              <w:jc w:val="center"/>
              <w:outlineLvl w:val="1"/>
              <w:rPr>
                <w:rFonts w:hint="eastAsia" w:ascii="宋体" w:hAnsi="宋体" w:eastAsia="宋体" w:cs="宋体"/>
                <w:color w:val="auto"/>
                <w:kern w:val="0"/>
                <w:szCs w:val="21"/>
                <w:highlight w:val="none"/>
              </w:rPr>
            </w:pPr>
            <w:bookmarkStart w:id="376" w:name="_Toc218468898"/>
            <w:bookmarkStart w:id="377" w:name="_Toc1392058643"/>
            <w:bookmarkStart w:id="378" w:name="_Toc517666752"/>
            <w:r>
              <w:rPr>
                <w:rFonts w:hint="eastAsia" w:ascii="宋体" w:hAnsi="宋体" w:eastAsia="宋体" w:cs="宋体"/>
                <w:b/>
                <w:bCs/>
                <w:color w:val="auto"/>
                <w:kern w:val="0"/>
                <w:szCs w:val="21"/>
                <w:highlight w:val="none"/>
              </w:rPr>
              <w:t>《水利工程质量检测管理规定》案由11项</w:t>
            </w:r>
            <w:bookmarkEnd w:id="376"/>
            <w:bookmarkEnd w:id="377"/>
            <w:bookmarkEnd w:id="378"/>
          </w:p>
        </w:tc>
      </w:tr>
      <w:tr w14:paraId="606076B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4744E7A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4FB3B5D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水利工程质量检测单位使用不符合条件的检测人员</w:t>
            </w:r>
          </w:p>
        </w:tc>
        <w:tc>
          <w:tcPr>
            <w:tcW w:w="2793" w:type="dxa"/>
            <w:gridSpan w:val="2"/>
            <w:tcBorders>
              <w:top w:val="nil"/>
              <w:left w:val="nil"/>
              <w:bottom w:val="single" w:color="auto" w:sz="4" w:space="0"/>
              <w:right w:val="single" w:color="auto" w:sz="4" w:space="0"/>
            </w:tcBorders>
            <w:noWrap w:val="0"/>
            <w:vAlign w:val="center"/>
          </w:tcPr>
          <w:p w14:paraId="314BDF6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处罚条款：第二十七条第（三）项，责令改正，有违法所得的，没收违法所得，可并处1万元以上3万元以下的罚款。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120E525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10E7465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0092E11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使用不符合条件的检测人员1人，系数为0；2.使用不符合条件的检测人员2人，系数为1；3.使用不符合条件的检测人员3人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355B0B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6286C95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B6018F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7A19B50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1631605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水利工程质量检测单位未按规定上报发现的违法违规行为和检测不合格事项</w:t>
            </w:r>
          </w:p>
        </w:tc>
        <w:tc>
          <w:tcPr>
            <w:tcW w:w="2793" w:type="dxa"/>
            <w:gridSpan w:val="2"/>
            <w:tcBorders>
              <w:top w:val="nil"/>
              <w:left w:val="nil"/>
              <w:bottom w:val="single" w:color="auto" w:sz="4" w:space="0"/>
              <w:right w:val="single" w:color="auto" w:sz="4" w:space="0"/>
            </w:tcBorders>
            <w:noWrap w:val="0"/>
            <w:vAlign w:val="center"/>
          </w:tcPr>
          <w:p w14:paraId="6E0082C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处罚条款：第二十七条第（四）项，责令改正，有违法所得的，没收违法所得，可并处1万元以上3万元以下的罚款。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3E2928B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4F3B9A8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08544B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规定上报发现的违法违规行为和检测不合格事项1处（项），系数为0；2.未按规定上报发现的违法违规行为和检测不合格事项2处（项），系数为1；3.未按规定上报发现的违法违规行为和检测不合格事项3处（项）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22C80D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614DE3A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0CFB498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37A2EBA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14:paraId="39C21B6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水利工程质量检测单位未按规定在质量检测报告上签字盖章</w:t>
            </w:r>
          </w:p>
        </w:tc>
        <w:tc>
          <w:tcPr>
            <w:tcW w:w="2793" w:type="dxa"/>
            <w:gridSpan w:val="2"/>
            <w:tcBorders>
              <w:top w:val="nil"/>
              <w:left w:val="nil"/>
              <w:bottom w:val="single" w:color="auto" w:sz="4" w:space="0"/>
              <w:right w:val="single" w:color="auto" w:sz="4" w:space="0"/>
            </w:tcBorders>
            <w:noWrap w:val="0"/>
            <w:vAlign w:val="center"/>
          </w:tcPr>
          <w:p w14:paraId="5EC1E41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处罚条款：第二十七条第（五）项，责令改正，有违法所得的，没收违法所得，可并处1万元以上3万元以下的罚款。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3CB2FAE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6977D05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1E4D9CE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规定签字盖章的质量检测报告1份，系数为0；2.未按规定签字盖章的质量检测报告2份，系数为1；3.未按规定签字盖章的质量检测报告3份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0DFE15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53815C9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4F83F0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09EF425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14:paraId="42EABDD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水利工程质量检测单位未按照国家和行业标准进行检测</w:t>
            </w:r>
          </w:p>
        </w:tc>
        <w:tc>
          <w:tcPr>
            <w:tcW w:w="2793" w:type="dxa"/>
            <w:gridSpan w:val="2"/>
            <w:tcBorders>
              <w:top w:val="nil"/>
              <w:left w:val="nil"/>
              <w:bottom w:val="single" w:color="auto" w:sz="4" w:space="0"/>
              <w:right w:val="single" w:color="auto" w:sz="4" w:space="0"/>
            </w:tcBorders>
            <w:noWrap w:val="0"/>
            <w:vAlign w:val="center"/>
          </w:tcPr>
          <w:p w14:paraId="185AD93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处罚条款：第二十七条第（六）项，责令改正，有违法所得的，没收违法所得，可并处1万元以上3万元以下的罚款。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68B20D4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47D1185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34AB146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未按照国家和行业标准进行检测1次，系数为0；2.未按照国家和行业标准进行检测2次，系数为1；3.未按照国家和行业标准进行检测3次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819F18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4D50973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C617F2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28406DA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14:paraId="2405AE5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水利工程质量检测单位档案资料管理混乱，造成检测数据无法追溯</w:t>
            </w:r>
          </w:p>
        </w:tc>
        <w:tc>
          <w:tcPr>
            <w:tcW w:w="2793" w:type="dxa"/>
            <w:gridSpan w:val="2"/>
            <w:tcBorders>
              <w:top w:val="nil"/>
              <w:left w:val="nil"/>
              <w:bottom w:val="single" w:color="auto" w:sz="4" w:space="0"/>
              <w:right w:val="single" w:color="auto" w:sz="4" w:space="0"/>
            </w:tcBorders>
            <w:noWrap w:val="0"/>
            <w:vAlign w:val="center"/>
          </w:tcPr>
          <w:p w14:paraId="379374C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处罚条款：第二十七条第（七）项，责令改正，有违法所得的，没收违法所得，可并处1万元以上3万元以下的罚款。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7872848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46BA948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3927A23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档案资料管理混乱造成检测数据无法追溯1处，系数为0；2.档案资料管理混乱造成检测数据无法追溯2处，系数为1；3.档案资料管理混乱造成检测数据无法追溯3处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524EE1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5398179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44FE99A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5890A46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14:paraId="04BCBDF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水利工程质量检测单位转包、违规分包检测业务</w:t>
            </w:r>
          </w:p>
        </w:tc>
        <w:tc>
          <w:tcPr>
            <w:tcW w:w="2793" w:type="dxa"/>
            <w:gridSpan w:val="2"/>
            <w:tcBorders>
              <w:top w:val="nil"/>
              <w:left w:val="nil"/>
              <w:bottom w:val="single" w:color="auto" w:sz="4" w:space="0"/>
              <w:right w:val="single" w:color="auto" w:sz="4" w:space="0"/>
            </w:tcBorders>
            <w:noWrap w:val="0"/>
            <w:vAlign w:val="center"/>
          </w:tcPr>
          <w:p w14:paraId="0D7646D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处罚条款：第二十七条第（八）项，责令改正，有违法所得的，没收违法所得，可并处1万元以上3万元以下的罚款。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5CCF2E2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5ED959F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6F8AE16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有违法所得的，没收违法所得，并处以下罚款：1.转包、分包金额＜50万元，系数为0；2.50万元≤转包、分包金额＜100万元，系数为1；3.100万元≤转包、分包金额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5C40E3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5F4E247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1B1BFC3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330D52F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14:paraId="52D66DE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委托未取得相应资质的单位进行水利工程质量检测</w:t>
            </w:r>
          </w:p>
        </w:tc>
        <w:tc>
          <w:tcPr>
            <w:tcW w:w="2793" w:type="dxa"/>
            <w:gridSpan w:val="2"/>
            <w:tcBorders>
              <w:top w:val="nil"/>
              <w:left w:val="nil"/>
              <w:bottom w:val="single" w:color="auto" w:sz="4" w:space="0"/>
              <w:right w:val="single" w:color="auto" w:sz="4" w:space="0"/>
            </w:tcBorders>
            <w:noWrap w:val="0"/>
            <w:vAlign w:val="center"/>
          </w:tcPr>
          <w:p w14:paraId="0D99D98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违反条款：第二十九条第（一）项；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处罚条款：第二十九条第（一）项，责令改正，可并处1万元以上3万元以下的罚款。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6794FA3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05C3558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0053951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水利工程质量检测合同金额＜50万元，系数为0；2.50万元≤水利工程质量检测合同金额＜100万元，系数为1；3.100万元≤水利工程质量检测合同金额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91BD75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76CFE0E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96154C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18C3F5B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14:paraId="6C72579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明示或暗示检测单位出具虚假检测报告，篡改或伪造水利工程质量检测报告</w:t>
            </w:r>
          </w:p>
        </w:tc>
        <w:tc>
          <w:tcPr>
            <w:tcW w:w="2793" w:type="dxa"/>
            <w:gridSpan w:val="2"/>
            <w:tcBorders>
              <w:top w:val="nil"/>
              <w:left w:val="nil"/>
              <w:bottom w:val="single" w:color="auto" w:sz="4" w:space="0"/>
              <w:right w:val="single" w:color="auto" w:sz="4" w:space="0"/>
            </w:tcBorders>
            <w:noWrap w:val="0"/>
            <w:vAlign w:val="center"/>
          </w:tcPr>
          <w:p w14:paraId="4EDC206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处罚条款：第二十九条第（二）项，责令改正，可并处1万元以上3万元以下的罚款。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08882D4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7B6181C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D8E53A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明示或暗示检测单位出具虚假检测报告，篡改或伪造检测报告1份，系数为0；2.明示或暗示检测单位出具虚假检测报告，篡改或伪造检测报告2份，系数为1；3.明示或暗示检测单位出具虚假检测报告，篡改或伪造检测报告3份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D6ACCA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230B85D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679DED8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08E0674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14:paraId="45A1B0A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送检的水利工程质量检测试样弄虚作假</w:t>
            </w:r>
          </w:p>
        </w:tc>
        <w:tc>
          <w:tcPr>
            <w:tcW w:w="2793" w:type="dxa"/>
            <w:gridSpan w:val="2"/>
            <w:tcBorders>
              <w:top w:val="nil"/>
              <w:left w:val="nil"/>
              <w:bottom w:val="single" w:color="auto" w:sz="4" w:space="0"/>
              <w:right w:val="single" w:color="auto" w:sz="4" w:space="0"/>
            </w:tcBorders>
            <w:noWrap w:val="0"/>
            <w:vAlign w:val="center"/>
          </w:tcPr>
          <w:p w14:paraId="5A80BE3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处罚条款：第二十九条第（三）项，责令改正，可并处1万元以上3万元以下的罚款。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107D799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407E332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9DE363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的送检试样样本1个，系数为0；2.弄虚作假的送检试样样本2个，系数为1；3.弄虚作假的送检试样样本3个及以上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DB34B1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02B0FF5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7714B2E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0" w:hRule="atLeast"/>
        </w:trPr>
        <w:tc>
          <w:tcPr>
            <w:tcW w:w="612" w:type="dxa"/>
            <w:gridSpan w:val="2"/>
            <w:tcBorders>
              <w:top w:val="nil"/>
              <w:left w:val="single" w:color="auto" w:sz="4" w:space="0"/>
              <w:bottom w:val="single" w:color="auto" w:sz="4" w:space="0"/>
              <w:right w:val="single" w:color="auto" w:sz="4" w:space="0"/>
            </w:tcBorders>
            <w:noWrap/>
            <w:vAlign w:val="center"/>
          </w:tcPr>
          <w:p w14:paraId="73432C0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14:paraId="2A1F00D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检测人员从事质量检测活动中弄虚作假、伪造数据</w:t>
            </w:r>
          </w:p>
        </w:tc>
        <w:tc>
          <w:tcPr>
            <w:tcW w:w="2793" w:type="dxa"/>
            <w:gridSpan w:val="2"/>
            <w:tcBorders>
              <w:top w:val="nil"/>
              <w:left w:val="nil"/>
              <w:bottom w:val="single" w:color="auto" w:sz="4" w:space="0"/>
              <w:right w:val="single" w:color="auto" w:sz="4" w:space="0"/>
            </w:tcBorders>
            <w:noWrap w:val="0"/>
            <w:vAlign w:val="center"/>
          </w:tcPr>
          <w:p w14:paraId="1001E2C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处罚条款：第三十条第（二）项，责令改正，给予警告，可并处1千元以下罚款。</w:t>
            </w:r>
          </w:p>
        </w:tc>
        <w:tc>
          <w:tcPr>
            <w:tcW w:w="864" w:type="dxa"/>
            <w:gridSpan w:val="2"/>
            <w:tcBorders>
              <w:top w:val="nil"/>
              <w:left w:val="nil"/>
              <w:bottom w:val="single" w:color="auto" w:sz="4" w:space="0"/>
              <w:right w:val="single" w:color="auto" w:sz="4" w:space="0"/>
            </w:tcBorders>
            <w:noWrap w:val="0"/>
            <w:vAlign w:val="center"/>
          </w:tcPr>
          <w:p w14:paraId="31D764F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tcBorders>
              <w:top w:val="nil"/>
              <w:left w:val="nil"/>
              <w:bottom w:val="single" w:color="auto" w:sz="4" w:space="0"/>
              <w:right w:val="single" w:color="auto" w:sz="4" w:space="0"/>
            </w:tcBorders>
            <w:noWrap/>
            <w:vAlign w:val="center"/>
          </w:tcPr>
          <w:p w14:paraId="0EF0251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29E2CB4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弄虚作假、伪造数据1处，系数为0；2.弄虚作假、伪造数据2处，系数为0.5；3.弄虚作假、伪造数据3处及以上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704575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14:paraId="324C22E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14:paraId="6887D466">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0384DB1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14:paraId="38728ED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水利工程质量检测人员从事检测活动中不如实记录，随意取舍数据，弄虚作假，伪造数据的，未执行法律、法规和强制性条文</w:t>
            </w:r>
          </w:p>
        </w:tc>
        <w:tc>
          <w:tcPr>
            <w:tcW w:w="2793" w:type="dxa"/>
            <w:gridSpan w:val="2"/>
            <w:tcBorders>
              <w:top w:val="nil"/>
              <w:left w:val="nil"/>
              <w:bottom w:val="single" w:color="auto" w:sz="4" w:space="0"/>
              <w:right w:val="single" w:color="auto" w:sz="4" w:space="0"/>
            </w:tcBorders>
            <w:noWrap w:val="0"/>
            <w:vAlign w:val="center"/>
          </w:tcPr>
          <w:p w14:paraId="54F7A53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处罚条款：第三十条第（一）项，责令改正，给予警告，可并处1千元以下罚款。</w:t>
            </w:r>
          </w:p>
        </w:tc>
        <w:tc>
          <w:tcPr>
            <w:tcW w:w="864" w:type="dxa"/>
            <w:gridSpan w:val="2"/>
            <w:tcBorders>
              <w:top w:val="nil"/>
              <w:left w:val="nil"/>
              <w:bottom w:val="single" w:color="auto" w:sz="4" w:space="0"/>
              <w:right w:val="single" w:color="auto" w:sz="4" w:space="0"/>
            </w:tcBorders>
            <w:noWrap w:val="0"/>
            <w:vAlign w:val="center"/>
          </w:tcPr>
          <w:p w14:paraId="75518AB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w:t>
            </w:r>
          </w:p>
        </w:tc>
        <w:tc>
          <w:tcPr>
            <w:tcW w:w="840" w:type="dxa"/>
            <w:tcBorders>
              <w:top w:val="nil"/>
              <w:left w:val="nil"/>
              <w:bottom w:val="single" w:color="auto" w:sz="4" w:space="0"/>
              <w:right w:val="single" w:color="auto" w:sz="4" w:space="0"/>
            </w:tcBorders>
            <w:noWrap/>
            <w:vAlign w:val="center"/>
          </w:tcPr>
          <w:p w14:paraId="0AA59EA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644F2E8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给予警告，并处以下罚款：1.存在1种行为，系数为0；2.存在2种及以上行为，系数为1。3.存在基准2.1.3规定情形的，系数按照相关规定确定（基准2.1.3.5不适用）。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11B34E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罚款金额=500×（1+情节系数）</w:t>
            </w:r>
          </w:p>
        </w:tc>
        <w:tc>
          <w:tcPr>
            <w:tcW w:w="1973" w:type="dxa"/>
            <w:gridSpan w:val="2"/>
            <w:tcBorders>
              <w:top w:val="nil"/>
              <w:left w:val="nil"/>
              <w:bottom w:val="single" w:color="auto" w:sz="4" w:space="0"/>
              <w:right w:val="single" w:color="auto" w:sz="4" w:space="0"/>
            </w:tcBorders>
            <w:noWrap w:val="0"/>
            <w:vAlign w:val="center"/>
          </w:tcPr>
          <w:p w14:paraId="76B46C8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需要作出500元以下罚款决定的，</w:t>
            </w:r>
            <w:r>
              <w:rPr>
                <w:rFonts w:hint="eastAsia" w:ascii="宋体" w:hAnsi="宋体" w:eastAsia="宋体" w:cs="宋体"/>
                <w:color w:val="auto"/>
                <w:kern w:val="0"/>
                <w:sz w:val="15"/>
                <w:szCs w:val="15"/>
                <w:highlight w:val="none"/>
                <w:lang w:eastAsia="zh-CN"/>
              </w:rPr>
              <w:t>由执法人员在案卷中说明理由</w:t>
            </w:r>
            <w:r>
              <w:rPr>
                <w:rFonts w:hint="eastAsia" w:ascii="宋体" w:hAnsi="宋体" w:eastAsia="宋体" w:cs="宋体"/>
                <w:color w:val="auto"/>
                <w:kern w:val="0"/>
                <w:sz w:val="15"/>
                <w:szCs w:val="15"/>
                <w:highlight w:val="none"/>
              </w:rPr>
              <w:t>。</w:t>
            </w:r>
          </w:p>
        </w:tc>
      </w:tr>
      <w:tr w14:paraId="6E2EDED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14:paraId="5A7A597A">
            <w:pPr>
              <w:widowControl/>
              <w:jc w:val="center"/>
              <w:outlineLvl w:val="1"/>
              <w:rPr>
                <w:rFonts w:hint="eastAsia" w:ascii="宋体" w:hAnsi="宋体" w:eastAsia="宋体" w:cs="宋体"/>
                <w:color w:val="auto"/>
                <w:kern w:val="0"/>
                <w:szCs w:val="21"/>
                <w:highlight w:val="none"/>
              </w:rPr>
            </w:pPr>
            <w:bookmarkStart w:id="379" w:name="_Toc286248822"/>
            <w:bookmarkStart w:id="380" w:name="_Toc1566018748"/>
            <w:bookmarkStart w:id="381" w:name="_Toc218468899"/>
            <w:r>
              <w:rPr>
                <w:rFonts w:hint="eastAsia" w:ascii="宋体" w:hAnsi="宋体" w:eastAsia="宋体" w:cs="宋体"/>
                <w:b/>
                <w:bCs/>
                <w:color w:val="auto"/>
                <w:kern w:val="0"/>
                <w:szCs w:val="21"/>
                <w:highlight w:val="none"/>
              </w:rPr>
              <w:t>《水利工程建设监理规定》案由</w:t>
            </w:r>
            <w:r>
              <w:rPr>
                <w:rFonts w:hint="eastAsia" w:ascii="宋体" w:hAnsi="宋体" w:eastAsia="宋体" w:cs="宋体"/>
                <w:b/>
                <w:bCs/>
                <w:color w:val="auto"/>
                <w:kern w:val="0"/>
                <w:szCs w:val="21"/>
                <w:highlight w:val="none"/>
                <w:lang w:val="en-US" w:eastAsia="zh-CN"/>
              </w:rPr>
              <w:t>10</w:t>
            </w:r>
            <w:r>
              <w:rPr>
                <w:rFonts w:hint="eastAsia" w:ascii="宋体" w:hAnsi="宋体" w:eastAsia="宋体" w:cs="宋体"/>
                <w:b/>
                <w:bCs/>
                <w:color w:val="auto"/>
                <w:kern w:val="0"/>
                <w:szCs w:val="21"/>
                <w:highlight w:val="none"/>
              </w:rPr>
              <w:t>项</w:t>
            </w:r>
            <w:bookmarkEnd w:id="379"/>
            <w:bookmarkEnd w:id="380"/>
            <w:bookmarkEnd w:id="381"/>
          </w:p>
        </w:tc>
      </w:tr>
      <w:tr w14:paraId="590B2C5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363" w:hRule="atLeast"/>
        </w:trPr>
        <w:tc>
          <w:tcPr>
            <w:tcW w:w="612" w:type="dxa"/>
            <w:gridSpan w:val="2"/>
            <w:tcBorders>
              <w:top w:val="nil"/>
              <w:left w:val="single" w:color="auto" w:sz="4" w:space="0"/>
              <w:bottom w:val="single" w:color="auto" w:sz="4" w:space="0"/>
              <w:right w:val="single" w:color="auto" w:sz="4" w:space="0"/>
            </w:tcBorders>
            <w:noWrap/>
            <w:vAlign w:val="center"/>
          </w:tcPr>
          <w:p w14:paraId="70F01C6D">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25E964D4">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水利工程项目法人及其工作人员</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w:t>
            </w:r>
          </w:p>
        </w:tc>
        <w:tc>
          <w:tcPr>
            <w:tcW w:w="2793" w:type="dxa"/>
            <w:gridSpan w:val="2"/>
            <w:tcBorders>
              <w:top w:val="nil"/>
              <w:left w:val="nil"/>
              <w:bottom w:val="single" w:color="auto" w:sz="4" w:space="0"/>
              <w:right w:val="single" w:color="auto" w:sz="4" w:space="0"/>
            </w:tcBorders>
            <w:noWrap w:val="0"/>
            <w:vAlign w:val="center"/>
          </w:tcPr>
          <w:p w14:paraId="002ABFCD">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w:t>
            </w:r>
            <w:r>
              <w:rPr>
                <w:rFonts w:hint="eastAsia" w:ascii="宋体" w:hAnsi="宋体" w:eastAsia="宋体" w:cs="宋体"/>
                <w:color w:val="000000"/>
                <w:kern w:val="0"/>
                <w:sz w:val="15"/>
                <w:szCs w:val="15"/>
                <w:highlight w:val="none"/>
                <w:lang w:eastAsia="zh-CN"/>
              </w:rPr>
              <w:t>第十二条；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三十四</w:t>
            </w:r>
            <w:r>
              <w:rPr>
                <w:rFonts w:hint="eastAsia" w:ascii="宋体" w:hAnsi="宋体" w:eastAsia="宋体" w:cs="宋体"/>
                <w:color w:val="000000"/>
                <w:kern w:val="0"/>
                <w:sz w:val="15"/>
                <w:szCs w:val="15"/>
                <w:highlight w:val="none"/>
              </w:rPr>
              <w:t>条，处违法所得3倍以下且不超过</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万元的罚款。</w:t>
            </w:r>
          </w:p>
        </w:tc>
        <w:tc>
          <w:tcPr>
            <w:tcW w:w="864" w:type="dxa"/>
            <w:gridSpan w:val="2"/>
            <w:tcBorders>
              <w:top w:val="nil"/>
              <w:left w:val="nil"/>
              <w:bottom w:val="single" w:color="auto" w:sz="4" w:space="0"/>
              <w:right w:val="single" w:color="auto" w:sz="4" w:space="0"/>
            </w:tcBorders>
            <w:noWrap w:val="0"/>
            <w:vAlign w:val="center"/>
          </w:tcPr>
          <w:p w14:paraId="2A54E1F4">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违法所得</w:t>
            </w:r>
          </w:p>
        </w:tc>
        <w:tc>
          <w:tcPr>
            <w:tcW w:w="840" w:type="dxa"/>
            <w:tcBorders>
              <w:top w:val="nil"/>
              <w:left w:val="nil"/>
              <w:bottom w:val="single" w:color="auto" w:sz="4" w:space="0"/>
              <w:right w:val="single" w:color="auto" w:sz="4" w:space="0"/>
            </w:tcBorders>
            <w:noWrap/>
            <w:vAlign w:val="center"/>
          </w:tcPr>
          <w:p w14:paraId="5AA77DAE">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45207B7B">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收受监理单位贿赂1次，系数为0；2.</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收受监理单位贿赂2次，系数为1；3.</w:t>
            </w:r>
            <w:r>
              <w:rPr>
                <w:rFonts w:hint="eastAsia" w:ascii="宋体" w:hAnsi="宋体" w:eastAsia="宋体" w:cs="宋体"/>
                <w:color w:val="000000"/>
                <w:kern w:val="0"/>
                <w:sz w:val="15"/>
                <w:szCs w:val="15"/>
                <w:highlight w:val="none"/>
                <w:lang w:eastAsia="zh-CN"/>
              </w:rPr>
              <w:t>索取、</w:t>
            </w:r>
            <w:r>
              <w:rPr>
                <w:rFonts w:hint="eastAsia" w:ascii="宋体" w:hAnsi="宋体" w:eastAsia="宋体" w:cs="宋体"/>
                <w:color w:val="000000"/>
                <w:kern w:val="0"/>
                <w:sz w:val="15"/>
                <w:szCs w:val="15"/>
                <w:highlight w:val="none"/>
              </w:rPr>
              <w:t>收受监理单位贿赂3次及以上或</w:t>
            </w:r>
            <w:r>
              <w:rPr>
                <w:rFonts w:hint="eastAsia" w:ascii="宋体" w:hAnsi="宋体" w:eastAsia="宋体" w:cs="宋体"/>
                <w:color w:val="000000"/>
                <w:kern w:val="0"/>
                <w:sz w:val="15"/>
                <w:szCs w:val="15"/>
                <w:highlight w:val="none"/>
                <w:lang w:val="en-US" w:eastAsia="zh-CN"/>
              </w:rPr>
              <w:t>造成严重影响的</w:t>
            </w:r>
            <w:r>
              <w:rPr>
                <w:rFonts w:hint="eastAsia" w:ascii="宋体" w:hAnsi="宋体" w:eastAsia="宋体" w:cs="宋体"/>
                <w:color w:val="000000"/>
                <w:kern w:val="0"/>
                <w:sz w:val="15"/>
                <w:szCs w:val="15"/>
                <w:highlight w:val="none"/>
              </w:rPr>
              <w:t>，系数为2。4.存在基准2.1.3规定情形的，系数按照相关规定确定（基准2.1.3.5不适用）。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C5C96F4">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罚款金额=违法所得×（1+情节系数）</w:t>
            </w:r>
          </w:p>
        </w:tc>
        <w:tc>
          <w:tcPr>
            <w:tcW w:w="1973" w:type="dxa"/>
            <w:gridSpan w:val="2"/>
            <w:tcBorders>
              <w:top w:val="nil"/>
              <w:left w:val="nil"/>
              <w:bottom w:val="single" w:color="auto" w:sz="4" w:space="0"/>
              <w:right w:val="single" w:color="auto" w:sz="4" w:space="0"/>
            </w:tcBorders>
            <w:noWrap w:val="0"/>
            <w:vAlign w:val="center"/>
          </w:tcPr>
          <w:p w14:paraId="522BF98D">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14:paraId="4E526069">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14:paraId="5A3F4C3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40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5DB243E5">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2</w:t>
            </w:r>
          </w:p>
        </w:tc>
        <w:tc>
          <w:tcPr>
            <w:tcW w:w="1811" w:type="dxa"/>
            <w:tcBorders>
              <w:top w:val="nil"/>
              <w:left w:val="single" w:color="auto" w:sz="4" w:space="0"/>
              <w:bottom w:val="single" w:color="auto" w:sz="4" w:space="0"/>
              <w:right w:val="single" w:color="auto" w:sz="4" w:space="0"/>
            </w:tcBorders>
            <w:noWrap w:val="0"/>
            <w:vAlign w:val="center"/>
          </w:tcPr>
          <w:p w14:paraId="7C8006B5">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水利工程建设监理单位以串通、欺诈、胁迫、贿赂等不正当竞争手段承揽监理业务</w:t>
            </w:r>
          </w:p>
        </w:tc>
        <w:tc>
          <w:tcPr>
            <w:tcW w:w="2793" w:type="dxa"/>
            <w:gridSpan w:val="2"/>
            <w:tcBorders>
              <w:top w:val="nil"/>
              <w:left w:val="single" w:color="auto" w:sz="4" w:space="0"/>
              <w:bottom w:val="single" w:color="auto" w:sz="4" w:space="0"/>
              <w:right w:val="single" w:color="auto" w:sz="4" w:space="0"/>
            </w:tcBorders>
            <w:noWrap w:val="0"/>
            <w:vAlign w:val="center"/>
          </w:tcPr>
          <w:p w14:paraId="2C44009F">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十四</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noWrap w:val="0"/>
            <w:vAlign w:val="center"/>
          </w:tcPr>
          <w:p w14:paraId="2ABE5A5F">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14:paraId="0358A0FD">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69D84885">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1.资质等级为乙级，系数为0；2.资质等级为甲级,系数为1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3.造成严重影响的，系数加1</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4D2E7BB">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14:paraId="251EE814">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14:paraId="24C76967">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14:paraId="6626865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233" w:hRule="atLeast"/>
        </w:trPr>
        <w:tc>
          <w:tcPr>
            <w:tcW w:w="612" w:type="dxa"/>
            <w:gridSpan w:val="2"/>
            <w:tcBorders>
              <w:top w:val="nil"/>
              <w:left w:val="single" w:color="auto" w:sz="4" w:space="0"/>
              <w:bottom w:val="single" w:color="auto" w:sz="4" w:space="0"/>
              <w:right w:val="single" w:color="auto" w:sz="4" w:space="0"/>
            </w:tcBorders>
            <w:noWrap w:val="0"/>
            <w:vAlign w:val="center"/>
          </w:tcPr>
          <w:p w14:paraId="40518C7B">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3</w:t>
            </w:r>
          </w:p>
        </w:tc>
        <w:tc>
          <w:tcPr>
            <w:tcW w:w="1811" w:type="dxa"/>
            <w:tcBorders>
              <w:top w:val="nil"/>
              <w:left w:val="single" w:color="auto" w:sz="4" w:space="0"/>
              <w:bottom w:val="single" w:color="auto" w:sz="4" w:space="0"/>
              <w:right w:val="single" w:color="auto" w:sz="4" w:space="0"/>
            </w:tcBorders>
            <w:noWrap w:val="0"/>
            <w:vAlign w:val="center"/>
          </w:tcPr>
          <w:p w14:paraId="49D54A34">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监理单位安排本单位注册监理工程师超出其注册专业对应范围从事监理执业活动</w:t>
            </w:r>
          </w:p>
        </w:tc>
        <w:tc>
          <w:tcPr>
            <w:tcW w:w="2793" w:type="dxa"/>
            <w:gridSpan w:val="2"/>
            <w:tcBorders>
              <w:top w:val="nil"/>
              <w:left w:val="single" w:color="auto" w:sz="4" w:space="0"/>
              <w:bottom w:val="single" w:color="auto" w:sz="4" w:space="0"/>
              <w:right w:val="single" w:color="auto" w:sz="4" w:space="0"/>
            </w:tcBorders>
            <w:noWrap w:val="0"/>
            <w:vAlign w:val="center"/>
          </w:tcPr>
          <w:p w14:paraId="791DC037">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十六</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三款、第四款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noWrap w:val="0"/>
            <w:vAlign w:val="center"/>
          </w:tcPr>
          <w:p w14:paraId="0B3537D0">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14:paraId="242AB455">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263A04B1">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rPr>
              <w:t>，系数为0；2.</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2项</w:t>
            </w:r>
            <w:r>
              <w:rPr>
                <w:rFonts w:hint="eastAsia" w:ascii="宋体" w:hAnsi="宋体" w:eastAsia="宋体" w:cs="宋体"/>
                <w:color w:val="000000"/>
                <w:kern w:val="0"/>
                <w:sz w:val="15"/>
                <w:szCs w:val="15"/>
                <w:highlight w:val="none"/>
              </w:rPr>
              <w:t>,系数为1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lang w:eastAsia="zh-CN"/>
              </w:rPr>
              <w:t>超出对应范围</w:t>
            </w:r>
            <w:r>
              <w:rPr>
                <w:rFonts w:hint="eastAsia" w:ascii="宋体" w:hAnsi="宋体" w:eastAsia="宋体" w:cs="宋体"/>
                <w:color w:val="000000"/>
                <w:kern w:val="0"/>
                <w:sz w:val="15"/>
                <w:szCs w:val="15"/>
                <w:highlight w:val="none"/>
                <w:lang w:val="en-US" w:eastAsia="zh-CN"/>
              </w:rPr>
              <w:t>3项及以上或造成严重影响的，系数为2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63CF63F0">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14:paraId="11E0A496">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14:paraId="41C1BED6">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14:paraId="288992B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067" w:hRule="atLeast"/>
        </w:trPr>
        <w:tc>
          <w:tcPr>
            <w:tcW w:w="612" w:type="dxa"/>
            <w:gridSpan w:val="2"/>
            <w:tcBorders>
              <w:top w:val="nil"/>
              <w:left w:val="single" w:color="auto" w:sz="4" w:space="0"/>
              <w:bottom w:val="single" w:color="auto" w:sz="4" w:space="0"/>
              <w:right w:val="single" w:color="auto" w:sz="4" w:space="0"/>
            </w:tcBorders>
            <w:noWrap w:val="0"/>
            <w:vAlign w:val="center"/>
          </w:tcPr>
          <w:p w14:paraId="35152A57">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4</w:t>
            </w:r>
          </w:p>
        </w:tc>
        <w:tc>
          <w:tcPr>
            <w:tcW w:w="1811" w:type="dxa"/>
            <w:tcBorders>
              <w:top w:val="nil"/>
              <w:left w:val="single" w:color="auto" w:sz="4" w:space="0"/>
              <w:bottom w:val="single" w:color="auto" w:sz="4" w:space="0"/>
              <w:right w:val="single" w:color="auto" w:sz="4" w:space="0"/>
            </w:tcBorders>
            <w:noWrap w:val="0"/>
            <w:vAlign w:val="center"/>
          </w:tcPr>
          <w:p w14:paraId="55EF7446">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监理单位拒绝或者阻碍监督检查人员依法履行职责</w:t>
            </w:r>
          </w:p>
        </w:tc>
        <w:tc>
          <w:tcPr>
            <w:tcW w:w="2793" w:type="dxa"/>
            <w:gridSpan w:val="2"/>
            <w:tcBorders>
              <w:top w:val="nil"/>
              <w:left w:val="single" w:color="auto" w:sz="4" w:space="0"/>
              <w:bottom w:val="single" w:color="auto" w:sz="4" w:space="0"/>
              <w:right w:val="single" w:color="auto" w:sz="4" w:space="0"/>
            </w:tcBorders>
            <w:noWrap w:val="0"/>
            <w:vAlign w:val="center"/>
          </w:tcPr>
          <w:p w14:paraId="73298A6A">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二十九</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五</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noWrap w:val="0"/>
            <w:vAlign w:val="center"/>
          </w:tcPr>
          <w:p w14:paraId="21371192">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14:paraId="484846AC">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31C07033">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val="en-US" w:eastAsia="zh-CN"/>
              </w:rPr>
              <w:t>造成严重影响的，系数为2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2</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EE7074D">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14:paraId="785BA646">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14:paraId="278BB9D8">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14:paraId="50201E0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33" w:hRule="atLeast"/>
        </w:trPr>
        <w:tc>
          <w:tcPr>
            <w:tcW w:w="612" w:type="dxa"/>
            <w:gridSpan w:val="2"/>
            <w:tcBorders>
              <w:top w:val="nil"/>
              <w:left w:val="single" w:color="auto" w:sz="4" w:space="0"/>
              <w:bottom w:val="single" w:color="auto" w:sz="4" w:space="0"/>
              <w:right w:val="single" w:color="auto" w:sz="4" w:space="0"/>
            </w:tcBorders>
            <w:noWrap w:val="0"/>
            <w:vAlign w:val="center"/>
          </w:tcPr>
          <w:p w14:paraId="192B5BA1">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5</w:t>
            </w:r>
          </w:p>
        </w:tc>
        <w:tc>
          <w:tcPr>
            <w:tcW w:w="1811" w:type="dxa"/>
            <w:tcBorders>
              <w:top w:val="nil"/>
              <w:left w:val="single" w:color="auto" w:sz="4" w:space="0"/>
              <w:bottom w:val="single" w:color="auto" w:sz="4" w:space="0"/>
              <w:right w:val="single" w:color="auto" w:sz="4" w:space="0"/>
            </w:tcBorders>
            <w:noWrap w:val="0"/>
            <w:vAlign w:val="center"/>
          </w:tcPr>
          <w:p w14:paraId="276F2538">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因监理单位过错造成质量事故</w:t>
            </w:r>
          </w:p>
        </w:tc>
        <w:tc>
          <w:tcPr>
            <w:tcW w:w="2793" w:type="dxa"/>
            <w:gridSpan w:val="2"/>
            <w:tcBorders>
              <w:top w:val="nil"/>
              <w:left w:val="single" w:color="auto" w:sz="4" w:space="0"/>
              <w:bottom w:val="single" w:color="auto" w:sz="4" w:space="0"/>
              <w:right w:val="single" w:color="auto" w:sz="4" w:space="0"/>
            </w:tcBorders>
            <w:noWrap w:val="0"/>
            <w:vAlign w:val="center"/>
          </w:tcPr>
          <w:p w14:paraId="2634D662">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w:t>
            </w:r>
            <w:r>
              <w:rPr>
                <w:rFonts w:hint="eastAsia" w:ascii="宋体" w:hAnsi="宋体" w:eastAsia="宋体" w:cs="宋体"/>
                <w:color w:val="000000"/>
                <w:kern w:val="0"/>
                <w:sz w:val="15"/>
                <w:szCs w:val="15"/>
                <w:highlight w:val="none"/>
              </w:rPr>
              <w:t>）项；</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七</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或者停止违法行为</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eastAsia="zh-CN"/>
              </w:rPr>
              <w:t>处合同约定的监理酬金</w:t>
            </w:r>
            <w:r>
              <w:rPr>
                <w:rFonts w:hint="eastAsia" w:ascii="宋体" w:hAnsi="宋体" w:eastAsia="宋体" w:cs="宋体"/>
                <w:color w:val="000000"/>
                <w:kern w:val="0"/>
                <w:sz w:val="15"/>
                <w:szCs w:val="15"/>
                <w:highlight w:val="none"/>
                <w:lang w:val="en-US" w:eastAsia="zh-CN"/>
              </w:rPr>
              <w:t>1倍以上3倍以下且不超过10万元罚款</w:t>
            </w:r>
            <w:r>
              <w:rPr>
                <w:rFonts w:hint="eastAsia" w:ascii="宋体" w:hAnsi="宋体" w:eastAsia="宋体" w:cs="宋体"/>
                <w:color w:val="000000"/>
                <w:kern w:val="0"/>
                <w:sz w:val="15"/>
                <w:szCs w:val="15"/>
                <w:highlight w:val="none"/>
              </w:rPr>
              <w:t>。</w:t>
            </w:r>
          </w:p>
        </w:tc>
        <w:tc>
          <w:tcPr>
            <w:tcW w:w="864" w:type="dxa"/>
            <w:gridSpan w:val="2"/>
            <w:tcBorders>
              <w:top w:val="nil"/>
              <w:left w:val="nil"/>
              <w:bottom w:val="single" w:color="auto" w:sz="4" w:space="0"/>
              <w:right w:val="single" w:color="auto" w:sz="4" w:space="0"/>
            </w:tcBorders>
            <w:noWrap w:val="0"/>
            <w:vAlign w:val="center"/>
          </w:tcPr>
          <w:p w14:paraId="71F26451">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eastAsia="zh-CN"/>
              </w:rPr>
              <w:t>监理酬金</w:t>
            </w:r>
          </w:p>
        </w:tc>
        <w:tc>
          <w:tcPr>
            <w:tcW w:w="840" w:type="dxa"/>
            <w:tcBorders>
              <w:top w:val="nil"/>
              <w:left w:val="nil"/>
              <w:bottom w:val="single" w:color="auto" w:sz="4" w:space="0"/>
              <w:right w:val="single" w:color="auto" w:sz="4" w:space="0"/>
            </w:tcBorders>
            <w:noWrap/>
            <w:vAlign w:val="center"/>
          </w:tcPr>
          <w:p w14:paraId="51D91B44">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221CDADF">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r>
              <w:rPr>
                <w:rFonts w:hint="eastAsia" w:ascii="宋体" w:hAnsi="宋体" w:eastAsia="宋体" w:cs="宋体"/>
                <w:color w:val="000000"/>
                <w:kern w:val="0"/>
                <w:sz w:val="15"/>
                <w:szCs w:val="15"/>
                <w:highlight w:val="none"/>
                <w:lang w:eastAsia="zh-CN"/>
              </w:rPr>
              <w:t>一般质量事故</w:t>
            </w:r>
            <w:r>
              <w:rPr>
                <w:rFonts w:hint="eastAsia" w:ascii="宋体" w:hAnsi="宋体" w:eastAsia="宋体" w:cs="宋体"/>
                <w:color w:val="000000"/>
                <w:kern w:val="0"/>
                <w:sz w:val="15"/>
                <w:szCs w:val="15"/>
                <w:highlight w:val="none"/>
              </w:rPr>
              <w:t>，系数为0；2.</w:t>
            </w:r>
            <w:r>
              <w:rPr>
                <w:rFonts w:hint="eastAsia" w:ascii="宋体" w:hAnsi="宋体" w:eastAsia="宋体" w:cs="宋体"/>
                <w:color w:val="000000"/>
                <w:kern w:val="0"/>
                <w:sz w:val="15"/>
                <w:szCs w:val="15"/>
                <w:highlight w:val="none"/>
                <w:lang w:eastAsia="zh-CN"/>
              </w:rPr>
              <w:t>较大质量事故</w:t>
            </w:r>
            <w:r>
              <w:rPr>
                <w:rFonts w:hint="eastAsia" w:ascii="宋体" w:hAnsi="宋体" w:eastAsia="宋体" w:cs="宋体"/>
                <w:color w:val="000000"/>
                <w:kern w:val="0"/>
                <w:sz w:val="15"/>
                <w:szCs w:val="15"/>
                <w:highlight w:val="none"/>
              </w:rPr>
              <w:t>,系数为1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3.重大及以上质量事故，系数为2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D459401">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eastAsia="zh-CN"/>
              </w:rPr>
              <w:t>监理酬金</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14:paraId="1DF1FF63">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需要作出</w:t>
            </w:r>
            <w:r>
              <w:rPr>
                <w:rFonts w:hint="eastAsia" w:ascii="宋体" w:hAnsi="宋体" w:eastAsia="宋体" w:cs="宋体"/>
                <w:color w:val="000000"/>
                <w:kern w:val="0"/>
                <w:sz w:val="15"/>
                <w:szCs w:val="15"/>
                <w:highlight w:val="none"/>
                <w:lang w:eastAsia="zh-CN"/>
              </w:rPr>
              <w:t>其他罚款决定</w:t>
            </w:r>
            <w:r>
              <w:rPr>
                <w:rFonts w:hint="eastAsia" w:ascii="宋体" w:hAnsi="宋体" w:eastAsia="宋体" w:cs="宋体"/>
                <w:color w:val="000000"/>
                <w:kern w:val="0"/>
                <w:sz w:val="15"/>
                <w:szCs w:val="15"/>
                <w:highlight w:val="none"/>
              </w:rPr>
              <w:t>的，</w:t>
            </w:r>
            <w:r>
              <w:rPr>
                <w:rFonts w:hint="eastAsia" w:ascii="宋体" w:hAnsi="宋体" w:eastAsia="宋体" w:cs="宋体"/>
                <w:color w:val="000000"/>
                <w:kern w:val="0"/>
                <w:sz w:val="15"/>
                <w:szCs w:val="15"/>
                <w:highlight w:val="none"/>
                <w:lang w:eastAsia="zh-CN"/>
              </w:rPr>
              <w:t>由执法人员在案卷中说明理由，并报案审会决定</w:t>
            </w:r>
            <w:r>
              <w:rPr>
                <w:rFonts w:hint="eastAsia" w:ascii="宋体" w:hAnsi="宋体" w:eastAsia="宋体" w:cs="宋体"/>
                <w:color w:val="000000"/>
                <w:kern w:val="0"/>
                <w:sz w:val="15"/>
                <w:szCs w:val="15"/>
                <w:highlight w:val="none"/>
              </w:rPr>
              <w:t>。</w:t>
            </w:r>
          </w:p>
          <w:p w14:paraId="55D83C2B">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14:paraId="108799E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605" w:hRule="atLeast"/>
        </w:trPr>
        <w:tc>
          <w:tcPr>
            <w:tcW w:w="612" w:type="dxa"/>
            <w:gridSpan w:val="2"/>
            <w:tcBorders>
              <w:top w:val="nil"/>
              <w:left w:val="single" w:color="auto" w:sz="4" w:space="0"/>
              <w:bottom w:val="single" w:color="auto" w:sz="4" w:space="0"/>
              <w:right w:val="single" w:color="auto" w:sz="4" w:space="0"/>
            </w:tcBorders>
            <w:noWrap w:val="0"/>
            <w:vAlign w:val="center"/>
          </w:tcPr>
          <w:p w14:paraId="1CB5CAC6">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6</w:t>
            </w:r>
          </w:p>
        </w:tc>
        <w:tc>
          <w:tcPr>
            <w:tcW w:w="1811" w:type="dxa"/>
            <w:tcBorders>
              <w:top w:val="nil"/>
              <w:left w:val="single" w:color="auto" w:sz="4" w:space="0"/>
              <w:bottom w:val="single" w:color="auto" w:sz="4" w:space="0"/>
              <w:right w:val="single" w:color="auto" w:sz="4" w:space="0"/>
            </w:tcBorders>
            <w:noWrap w:val="0"/>
            <w:vAlign w:val="center"/>
          </w:tcPr>
          <w:p w14:paraId="22C03DAE">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监理单位未检查并复核原材料、中间产品和设备质量</w:t>
            </w:r>
          </w:p>
        </w:tc>
        <w:tc>
          <w:tcPr>
            <w:tcW w:w="2793" w:type="dxa"/>
            <w:gridSpan w:val="2"/>
            <w:tcBorders>
              <w:top w:val="nil"/>
              <w:left w:val="single" w:color="auto" w:sz="4" w:space="0"/>
              <w:bottom w:val="single" w:color="auto" w:sz="4" w:space="0"/>
              <w:right w:val="single" w:color="auto" w:sz="4" w:space="0"/>
            </w:tcBorders>
            <w:noWrap w:val="0"/>
            <w:vAlign w:val="center"/>
          </w:tcPr>
          <w:p w14:paraId="1C1E2914">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二十一</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一款</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八</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，给予警告或通报批评；情节严重的，处</w:t>
            </w:r>
            <w:r>
              <w:rPr>
                <w:rFonts w:hint="eastAsia" w:ascii="宋体" w:hAnsi="宋体" w:eastAsia="宋体" w:cs="宋体"/>
                <w:color w:val="000000"/>
                <w:kern w:val="0"/>
                <w:sz w:val="15"/>
                <w:szCs w:val="15"/>
                <w:highlight w:val="none"/>
                <w:lang w:val="en-US" w:eastAsia="zh-CN"/>
              </w:rPr>
              <w:t>1万元以上3万元以下罚款。</w:t>
            </w:r>
          </w:p>
        </w:tc>
        <w:tc>
          <w:tcPr>
            <w:tcW w:w="864" w:type="dxa"/>
            <w:gridSpan w:val="2"/>
            <w:tcBorders>
              <w:top w:val="nil"/>
              <w:left w:val="nil"/>
              <w:bottom w:val="single" w:color="auto" w:sz="4" w:space="0"/>
              <w:right w:val="single" w:color="auto" w:sz="4" w:space="0"/>
            </w:tcBorders>
            <w:noWrap w:val="0"/>
            <w:vAlign w:val="center"/>
          </w:tcPr>
          <w:p w14:paraId="7281B27C">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10000</w:t>
            </w:r>
          </w:p>
        </w:tc>
        <w:tc>
          <w:tcPr>
            <w:tcW w:w="840" w:type="dxa"/>
            <w:tcBorders>
              <w:top w:val="nil"/>
              <w:left w:val="nil"/>
              <w:bottom w:val="single" w:color="auto" w:sz="4" w:space="0"/>
              <w:right w:val="single" w:color="auto" w:sz="4" w:space="0"/>
            </w:tcBorders>
            <w:noWrap/>
            <w:vAlign w:val="center"/>
          </w:tcPr>
          <w:p w14:paraId="6065CED5">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635FCD3">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（一）无严重情节，</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材料、产品、设备中1类的，</w:t>
            </w:r>
            <w:r>
              <w:rPr>
                <w:rFonts w:hint="eastAsia" w:ascii="宋体" w:hAnsi="宋体" w:eastAsia="宋体" w:cs="宋体"/>
                <w:color w:val="000000"/>
                <w:kern w:val="0"/>
                <w:sz w:val="15"/>
                <w:szCs w:val="15"/>
                <w:highlight w:val="none"/>
              </w:rPr>
              <w:t>给予警告</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2类及以上的，通报批评；（二）情节严重，处以下罚款：1.</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材料、产品、设备中1类的，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0；2.</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材料、产品、设备中2类的，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1；3.</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材料、产品、设备中3类的，</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2；</w:t>
            </w:r>
            <w:r>
              <w:rPr>
                <w:rFonts w:hint="eastAsia" w:ascii="宋体" w:hAnsi="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w:t>
            </w:r>
            <w:r>
              <w:rPr>
                <w:rFonts w:hint="eastAsia" w:ascii="宋体" w:hAnsi="宋体" w:eastAsia="宋体" w:cs="宋体"/>
                <w:color w:val="000000"/>
                <w:kern w:val="0"/>
                <w:sz w:val="15"/>
                <w:szCs w:val="15"/>
                <w:highlight w:val="none"/>
                <w:lang w:val="en-US"/>
              </w:rPr>
              <w:t>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2.1.3.5</w:t>
            </w:r>
            <w:r>
              <w:rPr>
                <w:rFonts w:hint="eastAsia" w:ascii="宋体" w:hAnsi="宋体" w:eastAsia="宋体" w:cs="宋体"/>
                <w:color w:val="000000"/>
                <w:kern w:val="0"/>
                <w:sz w:val="15"/>
                <w:szCs w:val="15"/>
                <w:highlight w:val="none"/>
              </w:rPr>
              <w:t>不适用）。</w:t>
            </w:r>
          </w:p>
        </w:tc>
        <w:tc>
          <w:tcPr>
            <w:tcW w:w="1881" w:type="dxa"/>
            <w:gridSpan w:val="2"/>
            <w:tcBorders>
              <w:top w:val="nil"/>
              <w:left w:val="nil"/>
              <w:bottom w:val="single" w:color="auto" w:sz="4" w:space="0"/>
              <w:right w:val="single" w:color="auto" w:sz="4" w:space="0"/>
            </w:tcBorders>
            <w:noWrap w:val="0"/>
            <w:vAlign w:val="center"/>
          </w:tcPr>
          <w:p w14:paraId="134A9EB8">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10000</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14:paraId="0CA34AB0">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事故的；2.</w:t>
            </w:r>
            <w:r>
              <w:rPr>
                <w:rFonts w:hint="eastAsia" w:ascii="宋体" w:hAnsi="宋体" w:eastAsia="宋体" w:cs="宋体"/>
                <w:color w:val="000000"/>
                <w:kern w:val="0"/>
                <w:sz w:val="15"/>
                <w:szCs w:val="15"/>
                <w:highlight w:val="none"/>
                <w:lang w:eastAsia="zh-CN"/>
              </w:rPr>
              <w:t>拒不改正的</w:t>
            </w:r>
            <w:r>
              <w:rPr>
                <w:rFonts w:hint="eastAsia" w:ascii="宋体" w:hAnsi="宋体" w:eastAsia="宋体" w:cs="宋体"/>
                <w:color w:val="000000"/>
                <w:kern w:val="0"/>
                <w:sz w:val="15"/>
                <w:szCs w:val="15"/>
                <w:highlight w:val="none"/>
              </w:rPr>
              <w:t>。</w:t>
            </w:r>
          </w:p>
          <w:p w14:paraId="0ED799B6">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14:paraId="47E9C01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74" w:hRule="atLeast"/>
        </w:trPr>
        <w:tc>
          <w:tcPr>
            <w:tcW w:w="612" w:type="dxa"/>
            <w:gridSpan w:val="2"/>
            <w:tcBorders>
              <w:top w:val="nil"/>
              <w:left w:val="single" w:color="auto" w:sz="4" w:space="0"/>
              <w:bottom w:val="single" w:color="auto" w:sz="4" w:space="0"/>
              <w:right w:val="single" w:color="auto" w:sz="4" w:space="0"/>
            </w:tcBorders>
            <w:noWrap w:val="0"/>
            <w:vAlign w:val="center"/>
          </w:tcPr>
          <w:p w14:paraId="209C2602">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7</w:t>
            </w:r>
          </w:p>
        </w:tc>
        <w:tc>
          <w:tcPr>
            <w:tcW w:w="1811" w:type="dxa"/>
            <w:tcBorders>
              <w:top w:val="nil"/>
              <w:left w:val="single" w:color="auto" w:sz="4" w:space="0"/>
              <w:bottom w:val="single" w:color="auto" w:sz="4" w:space="0"/>
              <w:right w:val="single" w:color="auto" w:sz="4" w:space="0"/>
            </w:tcBorders>
            <w:noWrap w:val="0"/>
            <w:vAlign w:val="center"/>
          </w:tcPr>
          <w:p w14:paraId="72C7B8C5">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未如实复核并签认工程量的</w:t>
            </w:r>
          </w:p>
        </w:tc>
        <w:tc>
          <w:tcPr>
            <w:tcW w:w="2793" w:type="dxa"/>
            <w:gridSpan w:val="2"/>
            <w:tcBorders>
              <w:top w:val="nil"/>
              <w:left w:val="single" w:color="auto" w:sz="4" w:space="0"/>
              <w:bottom w:val="single" w:color="auto" w:sz="4" w:space="0"/>
              <w:right w:val="single" w:color="auto" w:sz="4" w:space="0"/>
            </w:tcBorders>
            <w:noWrap w:val="0"/>
            <w:vAlign w:val="center"/>
          </w:tcPr>
          <w:p w14:paraId="3DCBE43A">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二十三</w:t>
            </w:r>
            <w:r>
              <w:rPr>
                <w:rFonts w:hint="eastAsia" w:ascii="宋体" w:hAnsi="宋体" w:eastAsia="宋体" w:cs="宋体"/>
                <w:color w:val="000000"/>
                <w:kern w:val="0"/>
                <w:sz w:val="15"/>
                <w:szCs w:val="15"/>
                <w:highlight w:val="none"/>
              </w:rPr>
              <w:t>条；</w:t>
            </w:r>
            <w:r>
              <w:rPr>
                <w:rFonts w:hint="eastAsia" w:ascii="宋体" w:hAnsi="宋体" w:eastAsia="宋体" w:cs="宋体"/>
                <w:color w:val="000000"/>
                <w:kern w:val="0"/>
                <w:sz w:val="15"/>
                <w:szCs w:val="15"/>
                <w:highlight w:val="none"/>
              </w:rPr>
              <w:br w:type="textWrapping"/>
            </w:r>
            <w:r>
              <w:rPr>
                <w:rFonts w:hint="eastAsia" w:ascii="宋体" w:hAnsi="宋体" w:eastAsia="宋体" w:cs="宋体"/>
                <w:color w:val="000000"/>
                <w:kern w:val="0"/>
                <w:sz w:val="15"/>
                <w:szCs w:val="15"/>
                <w:highlight w:val="none"/>
              </w:rPr>
              <w:t>处罚条款：第三十</w:t>
            </w:r>
            <w:r>
              <w:rPr>
                <w:rFonts w:hint="eastAsia" w:ascii="宋体" w:hAnsi="宋体" w:eastAsia="宋体" w:cs="宋体"/>
                <w:color w:val="000000"/>
                <w:kern w:val="0"/>
                <w:sz w:val="15"/>
                <w:szCs w:val="15"/>
                <w:highlight w:val="none"/>
                <w:lang w:eastAsia="zh-CN"/>
              </w:rPr>
              <w:t>八</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w:t>
            </w:r>
            <w:r>
              <w:rPr>
                <w:rFonts w:hint="eastAsia" w:ascii="宋体" w:hAnsi="宋体" w:eastAsia="宋体" w:cs="宋体"/>
                <w:color w:val="000000"/>
                <w:kern w:val="0"/>
                <w:sz w:val="15"/>
                <w:szCs w:val="15"/>
                <w:highlight w:val="none"/>
                <w:lang w:eastAsia="zh-CN"/>
              </w:rPr>
              <w:t>，给予警告或通报批评；情节严重的，处</w:t>
            </w:r>
            <w:r>
              <w:rPr>
                <w:rFonts w:hint="eastAsia" w:ascii="宋体" w:hAnsi="宋体" w:eastAsia="宋体" w:cs="宋体"/>
                <w:color w:val="000000"/>
                <w:kern w:val="0"/>
                <w:sz w:val="15"/>
                <w:szCs w:val="15"/>
                <w:highlight w:val="none"/>
                <w:lang w:val="en-US" w:eastAsia="zh-CN"/>
              </w:rPr>
              <w:t>1万元以上3万元以下罚款。</w:t>
            </w:r>
          </w:p>
        </w:tc>
        <w:tc>
          <w:tcPr>
            <w:tcW w:w="864" w:type="dxa"/>
            <w:gridSpan w:val="2"/>
            <w:tcBorders>
              <w:top w:val="nil"/>
              <w:left w:val="nil"/>
              <w:bottom w:val="single" w:color="auto" w:sz="4" w:space="0"/>
              <w:right w:val="single" w:color="auto" w:sz="4" w:space="0"/>
            </w:tcBorders>
            <w:noWrap w:val="0"/>
            <w:vAlign w:val="center"/>
          </w:tcPr>
          <w:p w14:paraId="11F7E124">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10000</w:t>
            </w:r>
          </w:p>
        </w:tc>
        <w:tc>
          <w:tcPr>
            <w:tcW w:w="840" w:type="dxa"/>
            <w:tcBorders>
              <w:top w:val="nil"/>
              <w:left w:val="nil"/>
              <w:bottom w:val="single" w:color="auto" w:sz="4" w:space="0"/>
              <w:right w:val="single" w:color="auto" w:sz="4" w:space="0"/>
            </w:tcBorders>
            <w:noWrap/>
            <w:vAlign w:val="center"/>
          </w:tcPr>
          <w:p w14:paraId="70CAA080">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237D63D2">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（一）无严重情节，</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rPr>
              <w:t>给予警告</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2项及以上，通报批评；（二）情节严重，处以下罚款：1.</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1项，</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0；2.</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2项，</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1；3.</w:t>
            </w:r>
            <w:r>
              <w:rPr>
                <w:rFonts w:hint="eastAsia" w:ascii="宋体" w:hAnsi="宋体" w:eastAsia="宋体" w:cs="宋体"/>
                <w:color w:val="000000"/>
                <w:kern w:val="0"/>
                <w:sz w:val="15"/>
                <w:szCs w:val="15"/>
                <w:highlight w:val="none"/>
                <w:lang w:eastAsia="zh-CN"/>
              </w:rPr>
              <w:t>涉及</w:t>
            </w:r>
            <w:r>
              <w:rPr>
                <w:rFonts w:hint="eastAsia" w:ascii="宋体" w:hAnsi="宋体" w:eastAsia="宋体" w:cs="宋体"/>
                <w:color w:val="000000"/>
                <w:kern w:val="0"/>
                <w:sz w:val="15"/>
                <w:szCs w:val="15"/>
                <w:highlight w:val="none"/>
                <w:lang w:val="en-US" w:eastAsia="zh-CN"/>
              </w:rPr>
              <w:t>3项及以上，</w:t>
            </w:r>
            <w:r>
              <w:rPr>
                <w:rFonts w:hint="eastAsia" w:ascii="宋体" w:hAnsi="宋体" w:eastAsia="宋体" w:cs="宋体"/>
                <w:color w:val="000000"/>
                <w:kern w:val="0"/>
                <w:sz w:val="15"/>
                <w:szCs w:val="15"/>
                <w:highlight w:val="none"/>
                <w:lang w:eastAsia="zh-CN"/>
              </w:rPr>
              <w:t>系数为</w:t>
            </w:r>
            <w:r>
              <w:rPr>
                <w:rFonts w:hint="eastAsia" w:ascii="宋体" w:hAnsi="宋体" w:eastAsia="宋体" w:cs="宋体"/>
                <w:color w:val="000000"/>
                <w:kern w:val="0"/>
                <w:sz w:val="15"/>
                <w:szCs w:val="15"/>
                <w:highlight w:val="none"/>
                <w:lang w:val="en-US" w:eastAsia="zh-CN"/>
              </w:rPr>
              <w:t>2；3</w:t>
            </w:r>
            <w:r>
              <w:rPr>
                <w:rFonts w:hint="eastAsia" w:ascii="宋体" w:hAnsi="宋体" w:eastAsia="宋体" w:cs="宋体"/>
                <w:color w:val="000000"/>
                <w:kern w:val="0"/>
                <w:sz w:val="15"/>
                <w:szCs w:val="15"/>
                <w:highlight w:val="none"/>
              </w:rPr>
              <w:t>.存在基准2.1.3规定情形的，系数按照相关规定确定（基准2.1.3.</w:t>
            </w:r>
            <w:r>
              <w:rPr>
                <w:rFonts w:hint="eastAsia" w:ascii="宋体" w:hAnsi="宋体" w:eastAsia="宋体" w:cs="宋体"/>
                <w:color w:val="000000"/>
                <w:kern w:val="0"/>
                <w:sz w:val="15"/>
                <w:szCs w:val="15"/>
                <w:highlight w:val="none"/>
                <w:lang w:val="en-US"/>
              </w:rPr>
              <w:t>1</w:t>
            </w:r>
            <w:r>
              <w:rPr>
                <w:rFonts w:hint="eastAsia" w:ascii="宋体" w:hAnsi="宋体" w:eastAsia="宋体" w:cs="宋体"/>
                <w:color w:val="000000"/>
                <w:kern w:val="0"/>
                <w:sz w:val="15"/>
                <w:szCs w:val="15"/>
                <w:highlight w:val="none"/>
                <w:lang w:eastAsia="zh-CN"/>
              </w:rPr>
              <w:t>、</w:t>
            </w:r>
            <w:r>
              <w:rPr>
                <w:rFonts w:hint="eastAsia" w:ascii="宋体" w:hAnsi="宋体" w:eastAsia="宋体" w:cs="宋体"/>
                <w:color w:val="000000"/>
                <w:kern w:val="0"/>
                <w:sz w:val="15"/>
                <w:szCs w:val="15"/>
                <w:highlight w:val="none"/>
                <w:lang w:val="en-US" w:eastAsia="zh-CN"/>
              </w:rPr>
              <w:t>2.1.3.5</w:t>
            </w:r>
            <w:r>
              <w:rPr>
                <w:rFonts w:hint="eastAsia" w:ascii="宋体" w:hAnsi="宋体" w:eastAsia="宋体" w:cs="宋体"/>
                <w:color w:val="000000"/>
                <w:kern w:val="0"/>
                <w:sz w:val="15"/>
                <w:szCs w:val="15"/>
                <w:highlight w:val="none"/>
              </w:rPr>
              <w:t>不适用）。</w:t>
            </w:r>
          </w:p>
        </w:tc>
        <w:tc>
          <w:tcPr>
            <w:tcW w:w="1881" w:type="dxa"/>
            <w:gridSpan w:val="2"/>
            <w:tcBorders>
              <w:top w:val="nil"/>
              <w:left w:val="nil"/>
              <w:bottom w:val="single" w:color="auto" w:sz="4" w:space="0"/>
              <w:right w:val="single" w:color="auto" w:sz="4" w:space="0"/>
            </w:tcBorders>
            <w:noWrap w:val="0"/>
            <w:vAlign w:val="center"/>
          </w:tcPr>
          <w:p w14:paraId="533292EA">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10000</w:t>
            </w:r>
            <w:r>
              <w:rPr>
                <w:rFonts w:hint="eastAsia" w:ascii="宋体" w:hAnsi="宋体" w:eastAsia="宋体" w:cs="宋体"/>
                <w:color w:val="000000"/>
                <w:kern w:val="0"/>
                <w:sz w:val="15"/>
                <w:szCs w:val="15"/>
                <w:highlight w:val="none"/>
              </w:rPr>
              <w:t>×（1+情节系数）</w:t>
            </w:r>
          </w:p>
        </w:tc>
        <w:tc>
          <w:tcPr>
            <w:tcW w:w="1973" w:type="dxa"/>
            <w:gridSpan w:val="2"/>
            <w:tcBorders>
              <w:top w:val="nil"/>
              <w:left w:val="nil"/>
              <w:bottom w:val="single" w:color="auto" w:sz="4" w:space="0"/>
              <w:right w:val="single" w:color="auto" w:sz="4" w:space="0"/>
            </w:tcBorders>
            <w:noWrap w:val="0"/>
            <w:vAlign w:val="center"/>
          </w:tcPr>
          <w:p w14:paraId="78158755">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事故的；2.</w:t>
            </w:r>
            <w:r>
              <w:rPr>
                <w:rFonts w:hint="eastAsia" w:ascii="宋体" w:hAnsi="宋体" w:eastAsia="宋体" w:cs="宋体"/>
                <w:color w:val="000000"/>
                <w:kern w:val="0"/>
                <w:sz w:val="15"/>
                <w:szCs w:val="15"/>
                <w:highlight w:val="none"/>
                <w:lang w:eastAsia="zh-CN"/>
              </w:rPr>
              <w:t>拒不改正的</w:t>
            </w:r>
            <w:r>
              <w:rPr>
                <w:rFonts w:hint="eastAsia" w:ascii="宋体" w:hAnsi="宋体" w:eastAsia="宋体" w:cs="宋体"/>
                <w:color w:val="000000"/>
                <w:kern w:val="0"/>
                <w:sz w:val="15"/>
                <w:szCs w:val="15"/>
                <w:highlight w:val="none"/>
              </w:rPr>
              <w:t>。</w:t>
            </w:r>
          </w:p>
          <w:p w14:paraId="1F2C1F6F">
            <w:pPr>
              <w:widowControl/>
              <w:jc w:val="left"/>
              <w:rPr>
                <w:rFonts w:hint="eastAsia" w:ascii="宋体" w:hAnsi="宋体" w:eastAsia="宋体" w:cs="宋体"/>
                <w:strike/>
                <w:dstrike w:val="0"/>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14:paraId="4E93856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833" w:hRule="atLeast"/>
        </w:trPr>
        <w:tc>
          <w:tcPr>
            <w:tcW w:w="612" w:type="dxa"/>
            <w:gridSpan w:val="2"/>
            <w:tcBorders>
              <w:top w:val="nil"/>
              <w:left w:val="single" w:color="auto" w:sz="4" w:space="0"/>
              <w:bottom w:val="single" w:color="auto" w:sz="4" w:space="0"/>
              <w:right w:val="single" w:color="auto" w:sz="4" w:space="0"/>
            </w:tcBorders>
            <w:noWrap/>
            <w:vAlign w:val="center"/>
          </w:tcPr>
          <w:p w14:paraId="1C86184A">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8</w:t>
            </w:r>
          </w:p>
        </w:tc>
        <w:tc>
          <w:tcPr>
            <w:tcW w:w="1811" w:type="dxa"/>
            <w:tcBorders>
              <w:top w:val="nil"/>
              <w:left w:val="nil"/>
              <w:bottom w:val="single" w:color="auto" w:sz="4" w:space="0"/>
              <w:right w:val="single" w:color="auto" w:sz="4" w:space="0"/>
            </w:tcBorders>
            <w:noWrap w:val="0"/>
            <w:vAlign w:val="center"/>
          </w:tcPr>
          <w:p w14:paraId="30943E17">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水利工程建设监理人员</w:t>
            </w:r>
            <w:r>
              <w:rPr>
                <w:rFonts w:hint="eastAsia" w:ascii="宋体" w:hAnsi="宋体" w:eastAsia="宋体" w:cs="宋体"/>
                <w:strike w:val="0"/>
                <w:dstrike w:val="0"/>
                <w:color w:val="000000"/>
                <w:kern w:val="0"/>
                <w:sz w:val="15"/>
                <w:szCs w:val="15"/>
                <w:highlight w:val="none"/>
              </w:rPr>
              <w:t>利用执（从）业上的便利，索取或者收受被监理工程的施工单位以及原材料、中间产品和设备供应单位贿赂</w:t>
            </w:r>
          </w:p>
        </w:tc>
        <w:tc>
          <w:tcPr>
            <w:tcW w:w="2793" w:type="dxa"/>
            <w:gridSpan w:val="2"/>
            <w:tcBorders>
              <w:top w:val="nil"/>
              <w:left w:val="nil"/>
              <w:bottom w:val="single" w:color="auto" w:sz="4" w:space="0"/>
              <w:right w:val="single" w:color="auto" w:sz="4" w:space="0"/>
            </w:tcBorders>
            <w:noWrap w:val="0"/>
            <w:vAlign w:val="center"/>
          </w:tcPr>
          <w:p w14:paraId="4C37E384">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条第（一）项；</w:t>
            </w:r>
          </w:p>
          <w:p w14:paraId="163BD3B6">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条第（一）项，责令改正，给予警告或通报批评；情节严重的，处1万元以上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64" w:type="dxa"/>
            <w:gridSpan w:val="2"/>
            <w:tcBorders>
              <w:top w:val="nil"/>
              <w:left w:val="nil"/>
              <w:bottom w:val="single" w:color="auto" w:sz="4" w:space="0"/>
              <w:right w:val="single" w:color="auto" w:sz="4" w:space="0"/>
            </w:tcBorders>
            <w:noWrap w:val="0"/>
            <w:vAlign w:val="center"/>
          </w:tcPr>
          <w:p w14:paraId="38131770">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w:t>
            </w:r>
          </w:p>
        </w:tc>
        <w:tc>
          <w:tcPr>
            <w:tcW w:w="840" w:type="dxa"/>
            <w:tcBorders>
              <w:top w:val="nil"/>
              <w:left w:val="nil"/>
              <w:bottom w:val="single" w:color="auto" w:sz="4" w:space="0"/>
              <w:right w:val="single" w:color="auto" w:sz="4" w:space="0"/>
            </w:tcBorders>
            <w:noWrap/>
            <w:vAlign w:val="center"/>
          </w:tcPr>
          <w:p w14:paraId="62AE3106">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4178EFB">
            <w:pPr>
              <w:widowControl/>
              <w:numPr>
                <w:ilvl w:val="0"/>
                <w:numId w:val="11"/>
              </w:numPr>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无严重情节，</w:t>
            </w:r>
            <w:r>
              <w:rPr>
                <w:rFonts w:hint="eastAsia" w:ascii="宋体" w:hAnsi="宋体" w:eastAsia="宋体" w:cs="宋体"/>
                <w:color w:val="000000"/>
                <w:kern w:val="0"/>
                <w:sz w:val="15"/>
                <w:szCs w:val="15"/>
                <w:highlight w:val="none"/>
                <w:lang w:eastAsia="zh-CN"/>
              </w:rPr>
              <w:t>给予警告或通报批评</w:t>
            </w:r>
            <w:r>
              <w:rPr>
                <w:rFonts w:hint="eastAsia" w:ascii="宋体" w:hAnsi="宋体" w:eastAsia="宋体" w:cs="宋体"/>
                <w:color w:val="000000"/>
                <w:kern w:val="0"/>
                <w:sz w:val="15"/>
                <w:szCs w:val="15"/>
                <w:highlight w:val="none"/>
              </w:rPr>
              <w:t>。</w:t>
            </w:r>
          </w:p>
          <w:p w14:paraId="6092DE84">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（二）</w:t>
            </w:r>
            <w:r>
              <w:rPr>
                <w:rFonts w:hint="eastAsia" w:ascii="宋体" w:hAnsi="宋体" w:eastAsia="宋体" w:cs="宋体"/>
                <w:color w:val="000000"/>
                <w:kern w:val="0"/>
                <w:sz w:val="15"/>
                <w:szCs w:val="15"/>
                <w:highlight w:val="none"/>
                <w:lang w:eastAsia="zh-CN"/>
              </w:rPr>
              <w:t>情节严重</w:t>
            </w:r>
            <w:r>
              <w:rPr>
                <w:rFonts w:hint="eastAsia" w:ascii="宋体" w:hAnsi="宋体" w:eastAsia="宋体" w:cs="宋体"/>
                <w:color w:val="000000"/>
                <w:kern w:val="0"/>
                <w:sz w:val="15"/>
                <w:szCs w:val="15"/>
                <w:highlight w:val="none"/>
              </w:rPr>
              <w:t>，并处以下罚款：1.索取或收受财物1次，系数为0；2.索取或收受财物2次，系数为</w:t>
            </w:r>
            <w:r>
              <w:rPr>
                <w:rFonts w:hint="eastAsia" w:ascii="宋体" w:hAnsi="宋体" w:eastAsia="宋体" w:cs="宋体"/>
                <w:color w:val="000000"/>
                <w:kern w:val="0"/>
                <w:sz w:val="15"/>
                <w:szCs w:val="15"/>
                <w:highlight w:val="none"/>
                <w:lang w:val="en-US" w:eastAsia="zh-CN"/>
              </w:rPr>
              <w:t>2</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rPr>
              <w:t>.索取或收受财物</w:t>
            </w:r>
            <w:r>
              <w:rPr>
                <w:rFonts w:hint="eastAsia" w:ascii="宋体" w:hAnsi="宋体" w:eastAsia="宋体" w:cs="宋体"/>
                <w:color w:val="000000"/>
                <w:kern w:val="0"/>
                <w:sz w:val="15"/>
                <w:szCs w:val="15"/>
                <w:highlight w:val="none"/>
                <w:lang w:val="en-US" w:eastAsia="zh-CN"/>
              </w:rPr>
              <w:t>3</w:t>
            </w:r>
            <w:r>
              <w:rPr>
                <w:rFonts w:hint="eastAsia" w:ascii="宋体" w:hAnsi="宋体" w:eastAsia="宋体" w:cs="宋体"/>
                <w:color w:val="000000"/>
                <w:kern w:val="0"/>
                <w:sz w:val="15"/>
                <w:szCs w:val="15"/>
                <w:highlight w:val="none"/>
              </w:rPr>
              <w:t>次及以上或造成其它恶劣影响，系数为</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w:t>
            </w:r>
            <w:r>
              <w:rPr>
                <w:rFonts w:hint="eastAsia" w:ascii="宋体" w:hAnsi="宋体" w:eastAsia="宋体" w:cs="宋体"/>
                <w:color w:val="000000"/>
                <w:kern w:val="0"/>
                <w:sz w:val="15"/>
                <w:szCs w:val="15"/>
                <w:highlight w:val="none"/>
                <w:lang w:val="en-US" w:eastAsia="zh-CN"/>
              </w:rPr>
              <w:t>4</w:t>
            </w:r>
            <w:r>
              <w:rPr>
                <w:rFonts w:hint="eastAsia" w:ascii="宋体" w:hAnsi="宋体" w:eastAsia="宋体" w:cs="宋体"/>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6C39CF4">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14:paraId="020FD9A4">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或者严重影响</w:t>
            </w:r>
            <w:r>
              <w:rPr>
                <w:rFonts w:hint="eastAsia" w:ascii="宋体" w:hAnsi="宋体" w:eastAsia="宋体" w:cs="宋体"/>
                <w:color w:val="000000"/>
                <w:kern w:val="0"/>
                <w:sz w:val="15"/>
                <w:szCs w:val="15"/>
                <w:highlight w:val="none"/>
              </w:rPr>
              <w:t>的；2.经执法部门处罚后，再次发生同类型违法行为。</w:t>
            </w:r>
          </w:p>
          <w:p w14:paraId="3794EEC7">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14:paraId="1C8E1DE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0" w:hRule="atLeast"/>
        </w:trPr>
        <w:tc>
          <w:tcPr>
            <w:tcW w:w="612" w:type="dxa"/>
            <w:gridSpan w:val="2"/>
            <w:tcBorders>
              <w:top w:val="nil"/>
              <w:left w:val="single" w:color="auto" w:sz="4" w:space="0"/>
              <w:bottom w:val="single" w:color="auto" w:sz="4" w:space="0"/>
              <w:right w:val="single" w:color="auto" w:sz="4" w:space="0"/>
            </w:tcBorders>
            <w:noWrap/>
            <w:vAlign w:val="center"/>
          </w:tcPr>
          <w:p w14:paraId="035561AB">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9</w:t>
            </w:r>
          </w:p>
        </w:tc>
        <w:tc>
          <w:tcPr>
            <w:tcW w:w="1811" w:type="dxa"/>
            <w:tcBorders>
              <w:top w:val="nil"/>
              <w:left w:val="nil"/>
              <w:bottom w:val="single" w:color="auto" w:sz="4" w:space="0"/>
              <w:right w:val="single" w:color="auto" w:sz="4" w:space="0"/>
            </w:tcBorders>
            <w:noWrap w:val="0"/>
            <w:vAlign w:val="center"/>
          </w:tcPr>
          <w:p w14:paraId="02F0ADF3">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与被监理工程的项目法人、施工单位以及原材料、中间产品和设备供应单位串通，谋取不正当利益</w:t>
            </w:r>
          </w:p>
        </w:tc>
        <w:tc>
          <w:tcPr>
            <w:tcW w:w="2793" w:type="dxa"/>
            <w:gridSpan w:val="2"/>
            <w:tcBorders>
              <w:top w:val="nil"/>
              <w:left w:val="nil"/>
              <w:bottom w:val="single" w:color="auto" w:sz="4" w:space="0"/>
              <w:right w:val="single" w:color="auto" w:sz="4" w:space="0"/>
            </w:tcBorders>
            <w:noWrap w:val="0"/>
            <w:vAlign w:val="center"/>
          </w:tcPr>
          <w:p w14:paraId="3C953D35">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w:t>
            </w:r>
          </w:p>
          <w:p w14:paraId="48BD44EA">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二</w:t>
            </w:r>
            <w:r>
              <w:rPr>
                <w:rFonts w:hint="eastAsia" w:ascii="宋体" w:hAnsi="宋体" w:eastAsia="宋体" w:cs="宋体"/>
                <w:color w:val="000000"/>
                <w:kern w:val="0"/>
                <w:sz w:val="15"/>
                <w:szCs w:val="15"/>
                <w:highlight w:val="none"/>
              </w:rPr>
              <w:t>）项，责令改正，给予警告或通报批评；情节严重的，处1万元以上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64" w:type="dxa"/>
            <w:gridSpan w:val="2"/>
            <w:tcBorders>
              <w:top w:val="nil"/>
              <w:left w:val="nil"/>
              <w:bottom w:val="single" w:color="auto" w:sz="4" w:space="0"/>
              <w:right w:val="single" w:color="auto" w:sz="4" w:space="0"/>
            </w:tcBorders>
            <w:noWrap w:val="0"/>
            <w:vAlign w:val="center"/>
          </w:tcPr>
          <w:p w14:paraId="3D8719A7">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w:t>
            </w:r>
          </w:p>
        </w:tc>
        <w:tc>
          <w:tcPr>
            <w:tcW w:w="840" w:type="dxa"/>
            <w:tcBorders>
              <w:top w:val="nil"/>
              <w:left w:val="nil"/>
              <w:bottom w:val="single" w:color="auto" w:sz="4" w:space="0"/>
              <w:right w:val="single" w:color="auto" w:sz="4" w:space="0"/>
            </w:tcBorders>
            <w:noWrap/>
            <w:vAlign w:val="center"/>
          </w:tcPr>
          <w:p w14:paraId="14CC3B6B">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6C710376">
            <w:pPr>
              <w:widowControl/>
              <w:numPr>
                <w:ilvl w:val="0"/>
                <w:numId w:val="12"/>
              </w:numPr>
              <w:jc w:val="left"/>
              <w:rPr>
                <w:rFonts w:hint="eastAsia" w:ascii="宋体" w:hAnsi="宋体" w:eastAsia="宋体" w:cs="宋体"/>
                <w:strike w:val="0"/>
                <w:dstrike w:val="0"/>
                <w:color w:val="000000"/>
                <w:kern w:val="0"/>
                <w:sz w:val="15"/>
                <w:szCs w:val="15"/>
                <w:highlight w:val="none"/>
              </w:rPr>
            </w:pPr>
            <w:r>
              <w:rPr>
                <w:rFonts w:hint="eastAsia" w:ascii="宋体" w:hAnsi="宋体" w:eastAsia="宋体" w:cs="宋体"/>
                <w:strike w:val="0"/>
                <w:dstrike w:val="0"/>
                <w:color w:val="000000"/>
                <w:kern w:val="0"/>
                <w:sz w:val="15"/>
                <w:szCs w:val="15"/>
                <w:highlight w:val="none"/>
              </w:rPr>
              <w:t>无严重情节，</w:t>
            </w:r>
            <w:r>
              <w:rPr>
                <w:rFonts w:hint="eastAsia" w:ascii="宋体" w:hAnsi="宋体" w:eastAsia="宋体" w:cs="宋体"/>
                <w:color w:val="000000"/>
                <w:kern w:val="0"/>
                <w:sz w:val="15"/>
                <w:szCs w:val="15"/>
                <w:highlight w:val="none"/>
              </w:rPr>
              <w:t>给予警告或通报批评</w:t>
            </w:r>
            <w:r>
              <w:rPr>
                <w:rFonts w:hint="eastAsia" w:ascii="宋体" w:hAnsi="宋体" w:eastAsia="宋体" w:cs="宋体"/>
                <w:strike w:val="0"/>
                <w:dstrike w:val="0"/>
                <w:color w:val="000000"/>
                <w:kern w:val="0"/>
                <w:sz w:val="15"/>
                <w:szCs w:val="15"/>
                <w:highlight w:val="none"/>
              </w:rPr>
              <w:t>。</w:t>
            </w:r>
          </w:p>
          <w:p w14:paraId="46F23C4C">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（二）</w:t>
            </w:r>
            <w:r>
              <w:rPr>
                <w:rFonts w:hint="eastAsia" w:ascii="宋体" w:hAnsi="宋体" w:eastAsia="宋体" w:cs="宋体"/>
                <w:strike w:val="0"/>
                <w:dstrike w:val="0"/>
                <w:color w:val="000000"/>
                <w:kern w:val="0"/>
                <w:sz w:val="15"/>
                <w:szCs w:val="15"/>
                <w:highlight w:val="none"/>
                <w:lang w:eastAsia="zh-CN"/>
              </w:rPr>
              <w:t>情节严重</w:t>
            </w:r>
            <w:r>
              <w:rPr>
                <w:rFonts w:hint="eastAsia" w:ascii="宋体" w:hAnsi="宋体" w:eastAsia="宋体" w:cs="宋体"/>
                <w:strike w:val="0"/>
                <w:dstrike w:val="0"/>
                <w:color w:val="000000"/>
                <w:kern w:val="0"/>
                <w:sz w:val="15"/>
                <w:szCs w:val="15"/>
                <w:highlight w:val="none"/>
              </w:rPr>
              <w:t>，并处以下罚款：1.谋取不正当利益1次，系数为0；2.谋取不正当利益2次，系数为</w:t>
            </w:r>
            <w:r>
              <w:rPr>
                <w:rFonts w:hint="eastAsia" w:ascii="宋体" w:hAnsi="宋体" w:eastAsia="宋体" w:cs="宋体"/>
                <w:strike w:val="0"/>
                <w:dstrike w:val="0"/>
                <w:color w:val="000000"/>
                <w:kern w:val="0"/>
                <w:sz w:val="15"/>
                <w:szCs w:val="15"/>
                <w:highlight w:val="none"/>
                <w:lang w:val="en-US" w:eastAsia="zh-CN"/>
              </w:rPr>
              <w:t>2</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.谋取不正当利益</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次及以上或造成其它恶劣影响，系数为</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6A1D2489">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14:paraId="7A86EF46">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或严重影响</w:t>
            </w:r>
            <w:r>
              <w:rPr>
                <w:rFonts w:hint="eastAsia" w:ascii="宋体" w:hAnsi="宋体" w:eastAsia="宋体" w:cs="宋体"/>
                <w:color w:val="000000"/>
                <w:kern w:val="0"/>
                <w:sz w:val="15"/>
                <w:szCs w:val="15"/>
                <w:highlight w:val="none"/>
              </w:rPr>
              <w:t>的；2.经执法部门处罚后，再次发生同类型违法行为。</w:t>
            </w:r>
          </w:p>
          <w:p w14:paraId="07971806">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14:paraId="3DB83D4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050" w:hRule="atLeast"/>
        </w:trPr>
        <w:tc>
          <w:tcPr>
            <w:tcW w:w="612" w:type="dxa"/>
            <w:gridSpan w:val="2"/>
            <w:tcBorders>
              <w:top w:val="nil"/>
              <w:left w:val="single" w:color="auto" w:sz="4" w:space="0"/>
              <w:bottom w:val="single" w:color="auto" w:sz="4" w:space="0"/>
              <w:right w:val="single" w:color="auto" w:sz="4" w:space="0"/>
            </w:tcBorders>
            <w:noWrap/>
            <w:vAlign w:val="center"/>
          </w:tcPr>
          <w:p w14:paraId="17B55354">
            <w:pPr>
              <w:widowControl/>
              <w:jc w:val="center"/>
              <w:rPr>
                <w:rFonts w:hint="eastAsia" w:ascii="宋体" w:hAnsi="宋体" w:eastAsia="宋体" w:cs="宋体"/>
                <w:color w:val="000000"/>
                <w:kern w:val="0"/>
                <w:sz w:val="15"/>
                <w:szCs w:val="15"/>
                <w:highlight w:val="none"/>
                <w:lang w:val="en-US" w:eastAsia="zh-CN" w:bidi="ar-SA"/>
              </w:rPr>
            </w:pPr>
            <w:bookmarkStart w:id="382" w:name="_Toc218468900"/>
            <w:r>
              <w:rPr>
                <w:rFonts w:hint="eastAsia" w:ascii="宋体" w:hAnsi="宋体" w:eastAsia="宋体" w:cs="宋体"/>
                <w:color w:val="000000"/>
                <w:kern w:val="0"/>
                <w:sz w:val="15"/>
                <w:szCs w:val="15"/>
                <w:highlight w:val="none"/>
                <w:lang w:val="en-US" w:eastAsia="zh-CN"/>
              </w:rPr>
              <w:t>10</w:t>
            </w:r>
          </w:p>
        </w:tc>
        <w:tc>
          <w:tcPr>
            <w:tcW w:w="1811" w:type="dxa"/>
            <w:tcBorders>
              <w:top w:val="nil"/>
              <w:left w:val="nil"/>
              <w:bottom w:val="single" w:color="auto" w:sz="4" w:space="0"/>
              <w:right w:val="single" w:color="auto" w:sz="4" w:space="0"/>
            </w:tcBorders>
            <w:noWrap w:val="0"/>
            <w:vAlign w:val="center"/>
          </w:tcPr>
          <w:p w14:paraId="1151DC5D">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监理人员非法泄露执（从）业中应当保守的秘密</w:t>
            </w:r>
          </w:p>
        </w:tc>
        <w:tc>
          <w:tcPr>
            <w:tcW w:w="2793" w:type="dxa"/>
            <w:gridSpan w:val="2"/>
            <w:tcBorders>
              <w:top w:val="nil"/>
              <w:left w:val="nil"/>
              <w:bottom w:val="single" w:color="auto" w:sz="4" w:space="0"/>
              <w:right w:val="single" w:color="auto" w:sz="4" w:space="0"/>
            </w:tcBorders>
            <w:noWrap w:val="0"/>
            <w:vAlign w:val="center"/>
          </w:tcPr>
          <w:p w14:paraId="687E830F">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rPr>
              <w:t>违反条款：第</w:t>
            </w:r>
            <w:r>
              <w:rPr>
                <w:rFonts w:hint="eastAsia" w:ascii="宋体" w:hAnsi="宋体" w:eastAsia="宋体" w:cs="宋体"/>
                <w:color w:val="000000"/>
                <w:kern w:val="0"/>
                <w:sz w:val="15"/>
                <w:szCs w:val="15"/>
                <w:highlight w:val="none"/>
                <w:lang w:eastAsia="zh-CN"/>
              </w:rPr>
              <w:t>十五</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六款</w:t>
            </w:r>
            <w:r>
              <w:rPr>
                <w:rFonts w:hint="eastAsia" w:ascii="宋体" w:hAnsi="宋体" w:eastAsia="宋体" w:cs="宋体"/>
                <w:color w:val="000000"/>
                <w:kern w:val="0"/>
                <w:sz w:val="15"/>
                <w:szCs w:val="15"/>
                <w:highlight w:val="none"/>
              </w:rPr>
              <w:t>；</w:t>
            </w:r>
          </w:p>
          <w:p w14:paraId="6326ED0D">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处罚条款：第</w:t>
            </w:r>
            <w:r>
              <w:rPr>
                <w:rFonts w:hint="eastAsia" w:ascii="宋体" w:hAnsi="宋体" w:eastAsia="宋体" w:cs="宋体"/>
                <w:color w:val="000000"/>
                <w:kern w:val="0"/>
                <w:sz w:val="15"/>
                <w:szCs w:val="15"/>
                <w:highlight w:val="none"/>
                <w:lang w:eastAsia="zh-CN"/>
              </w:rPr>
              <w:t>四十</w:t>
            </w:r>
            <w:r>
              <w:rPr>
                <w:rFonts w:hint="eastAsia" w:ascii="宋体" w:hAnsi="宋体" w:eastAsia="宋体" w:cs="宋体"/>
                <w:color w:val="000000"/>
                <w:kern w:val="0"/>
                <w:sz w:val="15"/>
                <w:szCs w:val="15"/>
                <w:highlight w:val="none"/>
              </w:rPr>
              <w:t>条第（</w:t>
            </w:r>
            <w:r>
              <w:rPr>
                <w:rFonts w:hint="eastAsia" w:ascii="宋体" w:hAnsi="宋体" w:eastAsia="宋体" w:cs="宋体"/>
                <w:color w:val="000000"/>
                <w:kern w:val="0"/>
                <w:sz w:val="15"/>
                <w:szCs w:val="15"/>
                <w:highlight w:val="none"/>
                <w:lang w:eastAsia="zh-CN"/>
              </w:rPr>
              <w:t>三</w:t>
            </w:r>
            <w:r>
              <w:rPr>
                <w:rFonts w:hint="eastAsia" w:ascii="宋体" w:hAnsi="宋体" w:eastAsia="宋体" w:cs="宋体"/>
                <w:color w:val="000000"/>
                <w:kern w:val="0"/>
                <w:sz w:val="15"/>
                <w:szCs w:val="15"/>
                <w:highlight w:val="none"/>
              </w:rPr>
              <w:t>）项，责令改正，给予警告或通报批评；情节严重的，处1万元以上</w:t>
            </w:r>
            <w:r>
              <w:rPr>
                <w:rFonts w:hint="eastAsia" w:ascii="宋体" w:hAnsi="宋体" w:eastAsia="宋体" w:cs="宋体"/>
                <w:color w:val="000000"/>
                <w:kern w:val="0"/>
                <w:sz w:val="15"/>
                <w:szCs w:val="15"/>
                <w:highlight w:val="none"/>
                <w:lang w:val="en-US" w:eastAsia="zh-CN"/>
              </w:rPr>
              <w:t>5</w:t>
            </w:r>
            <w:r>
              <w:rPr>
                <w:rFonts w:hint="eastAsia" w:ascii="宋体" w:hAnsi="宋体" w:eastAsia="宋体" w:cs="宋体"/>
                <w:color w:val="000000"/>
                <w:kern w:val="0"/>
                <w:sz w:val="15"/>
                <w:szCs w:val="15"/>
                <w:highlight w:val="none"/>
              </w:rPr>
              <w:t>万元以下罚款。</w:t>
            </w:r>
          </w:p>
        </w:tc>
        <w:tc>
          <w:tcPr>
            <w:tcW w:w="864" w:type="dxa"/>
            <w:gridSpan w:val="2"/>
            <w:tcBorders>
              <w:top w:val="nil"/>
              <w:left w:val="nil"/>
              <w:bottom w:val="single" w:color="auto" w:sz="4" w:space="0"/>
              <w:right w:val="single" w:color="auto" w:sz="4" w:space="0"/>
            </w:tcBorders>
            <w:noWrap w:val="0"/>
            <w:vAlign w:val="center"/>
          </w:tcPr>
          <w:p w14:paraId="58AD3DAB">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lang w:val="en-US" w:eastAsia="zh-CN"/>
              </w:rPr>
              <w:t>100</w:t>
            </w:r>
            <w:r>
              <w:rPr>
                <w:rFonts w:hint="eastAsia" w:ascii="宋体" w:hAnsi="宋体" w:eastAsia="宋体" w:cs="宋体"/>
                <w:color w:val="000000"/>
                <w:kern w:val="0"/>
                <w:sz w:val="15"/>
                <w:szCs w:val="15"/>
                <w:highlight w:val="none"/>
              </w:rPr>
              <w:t>00</w:t>
            </w:r>
          </w:p>
        </w:tc>
        <w:tc>
          <w:tcPr>
            <w:tcW w:w="840" w:type="dxa"/>
            <w:tcBorders>
              <w:top w:val="nil"/>
              <w:left w:val="nil"/>
              <w:bottom w:val="single" w:color="auto" w:sz="4" w:space="0"/>
              <w:right w:val="single" w:color="auto" w:sz="4" w:space="0"/>
            </w:tcBorders>
            <w:noWrap/>
            <w:vAlign w:val="center"/>
          </w:tcPr>
          <w:p w14:paraId="4C220D94">
            <w:pPr>
              <w:widowControl/>
              <w:jc w:val="center"/>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47617F8B">
            <w:pPr>
              <w:widowControl/>
              <w:numPr>
                <w:ilvl w:val="0"/>
                <w:numId w:val="13"/>
              </w:numPr>
              <w:jc w:val="left"/>
              <w:rPr>
                <w:rFonts w:hint="eastAsia" w:ascii="宋体" w:hAnsi="宋体" w:eastAsia="宋体" w:cs="宋体"/>
                <w:strike w:val="0"/>
                <w:dstrike w:val="0"/>
                <w:color w:val="000000"/>
                <w:kern w:val="0"/>
                <w:sz w:val="15"/>
                <w:szCs w:val="15"/>
                <w:highlight w:val="none"/>
              </w:rPr>
            </w:pPr>
            <w:r>
              <w:rPr>
                <w:rFonts w:hint="eastAsia" w:ascii="宋体" w:hAnsi="宋体" w:eastAsia="宋体" w:cs="宋体"/>
                <w:strike w:val="0"/>
                <w:dstrike w:val="0"/>
                <w:color w:val="000000"/>
                <w:kern w:val="0"/>
                <w:sz w:val="15"/>
                <w:szCs w:val="15"/>
                <w:highlight w:val="none"/>
              </w:rPr>
              <w:t>无严重情节，</w:t>
            </w:r>
            <w:r>
              <w:rPr>
                <w:rFonts w:hint="eastAsia" w:ascii="宋体" w:hAnsi="宋体" w:eastAsia="宋体" w:cs="宋体"/>
                <w:color w:val="000000"/>
                <w:kern w:val="0"/>
                <w:sz w:val="15"/>
                <w:szCs w:val="15"/>
                <w:highlight w:val="none"/>
              </w:rPr>
              <w:t>给予警告或通报批评</w:t>
            </w:r>
            <w:r>
              <w:rPr>
                <w:rFonts w:hint="eastAsia" w:ascii="宋体" w:hAnsi="宋体" w:eastAsia="宋体" w:cs="宋体"/>
                <w:strike w:val="0"/>
                <w:dstrike w:val="0"/>
                <w:color w:val="000000"/>
                <w:kern w:val="0"/>
                <w:sz w:val="15"/>
                <w:szCs w:val="15"/>
                <w:highlight w:val="none"/>
              </w:rPr>
              <w:t>。</w:t>
            </w:r>
          </w:p>
          <w:p w14:paraId="715D195F">
            <w:pPr>
              <w:widowControl/>
              <w:numPr>
                <w:ilvl w:val="0"/>
                <w:numId w:val="0"/>
              </w:numPr>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strike w:val="0"/>
                <w:dstrike w:val="0"/>
                <w:color w:val="000000"/>
                <w:kern w:val="0"/>
                <w:sz w:val="15"/>
                <w:szCs w:val="15"/>
                <w:highlight w:val="none"/>
              </w:rPr>
              <w:t>（二）</w:t>
            </w:r>
            <w:r>
              <w:rPr>
                <w:rFonts w:hint="eastAsia" w:ascii="宋体" w:hAnsi="宋体" w:eastAsia="宋体" w:cs="宋体"/>
                <w:strike w:val="0"/>
                <w:dstrike w:val="0"/>
                <w:color w:val="000000"/>
                <w:kern w:val="0"/>
                <w:sz w:val="15"/>
                <w:szCs w:val="15"/>
                <w:highlight w:val="none"/>
                <w:lang w:eastAsia="zh-CN"/>
              </w:rPr>
              <w:t>情节严重</w:t>
            </w:r>
            <w:r>
              <w:rPr>
                <w:rFonts w:hint="eastAsia" w:ascii="宋体" w:hAnsi="宋体" w:eastAsia="宋体" w:cs="宋体"/>
                <w:strike w:val="0"/>
                <w:dstrike w:val="0"/>
                <w:color w:val="000000"/>
                <w:kern w:val="0"/>
                <w:sz w:val="15"/>
                <w:szCs w:val="15"/>
                <w:highlight w:val="none"/>
              </w:rPr>
              <w:t>，并处以下罚款：1.泄露秘密1次，系数为0；2.泄露秘密2次，系数为</w:t>
            </w:r>
            <w:r>
              <w:rPr>
                <w:rFonts w:hint="eastAsia" w:ascii="宋体" w:hAnsi="宋体" w:eastAsia="宋体" w:cs="宋体"/>
                <w:strike w:val="0"/>
                <w:dstrike w:val="0"/>
                <w:color w:val="000000"/>
                <w:kern w:val="0"/>
                <w:sz w:val="15"/>
                <w:szCs w:val="15"/>
                <w:highlight w:val="none"/>
                <w:lang w:val="en-US" w:eastAsia="zh-CN"/>
              </w:rPr>
              <w:t>2</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.泄露秘密</w:t>
            </w:r>
            <w:r>
              <w:rPr>
                <w:rFonts w:hint="eastAsia" w:ascii="宋体" w:hAnsi="宋体" w:eastAsia="宋体" w:cs="宋体"/>
                <w:strike w:val="0"/>
                <w:dstrike w:val="0"/>
                <w:color w:val="000000"/>
                <w:kern w:val="0"/>
                <w:sz w:val="15"/>
                <w:szCs w:val="15"/>
                <w:highlight w:val="none"/>
                <w:lang w:val="en-US" w:eastAsia="zh-CN"/>
              </w:rPr>
              <w:t>3</w:t>
            </w:r>
            <w:r>
              <w:rPr>
                <w:rFonts w:hint="eastAsia" w:ascii="宋体" w:hAnsi="宋体" w:eastAsia="宋体" w:cs="宋体"/>
                <w:strike w:val="0"/>
                <w:dstrike w:val="0"/>
                <w:color w:val="000000"/>
                <w:kern w:val="0"/>
                <w:sz w:val="15"/>
                <w:szCs w:val="15"/>
                <w:highlight w:val="none"/>
              </w:rPr>
              <w:t>次及以上或造成其它恶劣影响，系数为</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w:t>
            </w:r>
            <w:r>
              <w:rPr>
                <w:rFonts w:hint="eastAsia" w:ascii="宋体" w:hAnsi="宋体" w:eastAsia="宋体" w:cs="宋体"/>
                <w:strike w:val="0"/>
                <w:dstrike w:val="0"/>
                <w:color w:val="000000"/>
                <w:kern w:val="0"/>
                <w:sz w:val="15"/>
                <w:szCs w:val="15"/>
                <w:highlight w:val="none"/>
                <w:lang w:val="en-US" w:eastAsia="zh-CN"/>
              </w:rPr>
              <w:t>4</w:t>
            </w:r>
            <w:r>
              <w:rPr>
                <w:rFonts w:hint="eastAsia" w:ascii="宋体" w:hAnsi="宋体" w:eastAsia="宋体" w:cs="宋体"/>
                <w:strike w:val="0"/>
                <w:dstrike w:val="0"/>
                <w:color w:val="000000"/>
                <w:kern w:val="0"/>
                <w:sz w:val="15"/>
                <w:szCs w:val="15"/>
                <w:highlight w:val="none"/>
              </w:rPr>
              <w:t>.存在基准2.1.3规定情形的，系数按照相关规定确定（基准2.1.3.5不适用）。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6B51870">
            <w:pPr>
              <w:widowControl/>
              <w:jc w:val="left"/>
              <w:rPr>
                <w:rFonts w:hint="eastAsia" w:ascii="宋体" w:hAnsi="宋体" w:eastAsia="宋体" w:cs="宋体"/>
                <w:color w:val="000000"/>
                <w:kern w:val="0"/>
                <w:sz w:val="15"/>
                <w:szCs w:val="15"/>
                <w:highlight w:val="none"/>
                <w:lang w:val="en-US" w:eastAsia="zh-CN" w:bidi="ar-SA"/>
              </w:rPr>
            </w:pPr>
            <w:r>
              <w:rPr>
                <w:rFonts w:hint="eastAsia" w:ascii="宋体" w:hAnsi="宋体" w:eastAsia="宋体" w:cs="宋体"/>
                <w:color w:val="000000"/>
                <w:kern w:val="0"/>
                <w:sz w:val="15"/>
                <w:szCs w:val="15"/>
                <w:highlight w:val="none"/>
              </w:rPr>
              <w:t>罚款金额=</w:t>
            </w:r>
            <w:r>
              <w:rPr>
                <w:rFonts w:hint="eastAsia" w:ascii="宋体" w:hAnsi="宋体" w:eastAsia="宋体" w:cs="宋体"/>
                <w:color w:val="000000"/>
                <w:kern w:val="0"/>
                <w:sz w:val="15"/>
                <w:szCs w:val="15"/>
                <w:highlight w:val="none"/>
                <w:lang w:val="en-US" w:eastAsia="zh-CN"/>
              </w:rPr>
              <w:t>10</w:t>
            </w:r>
            <w:r>
              <w:rPr>
                <w:rFonts w:hint="eastAsia" w:ascii="宋体" w:hAnsi="宋体" w:eastAsia="宋体" w:cs="宋体"/>
                <w:color w:val="000000"/>
                <w:kern w:val="0"/>
                <w:sz w:val="15"/>
                <w:szCs w:val="15"/>
                <w:highlight w:val="none"/>
              </w:rPr>
              <w:t>000×（1+情节系数）</w:t>
            </w:r>
          </w:p>
        </w:tc>
        <w:tc>
          <w:tcPr>
            <w:tcW w:w="1973" w:type="dxa"/>
            <w:gridSpan w:val="2"/>
            <w:tcBorders>
              <w:top w:val="nil"/>
              <w:left w:val="nil"/>
              <w:bottom w:val="single" w:color="auto" w:sz="4" w:space="0"/>
              <w:right w:val="single" w:color="auto" w:sz="4" w:space="0"/>
            </w:tcBorders>
            <w:noWrap w:val="0"/>
            <w:vAlign w:val="center"/>
          </w:tcPr>
          <w:p w14:paraId="21EF788E">
            <w:pPr>
              <w:widowControl/>
              <w:jc w:val="left"/>
              <w:rPr>
                <w:rFonts w:hint="eastAsia" w:ascii="宋体" w:hAnsi="宋体" w:eastAsia="宋体" w:cs="宋体"/>
                <w:color w:val="000000"/>
                <w:kern w:val="0"/>
                <w:sz w:val="15"/>
                <w:szCs w:val="15"/>
                <w:highlight w:val="none"/>
              </w:rPr>
            </w:pPr>
            <w:r>
              <w:rPr>
                <w:rFonts w:hint="eastAsia" w:ascii="宋体" w:hAnsi="宋体" w:eastAsia="宋体" w:cs="宋体"/>
                <w:color w:val="000000"/>
                <w:kern w:val="0"/>
                <w:sz w:val="15"/>
                <w:szCs w:val="15"/>
                <w:highlight w:val="none"/>
                <w:lang w:eastAsia="zh-CN"/>
              </w:rPr>
              <w:t>（一）</w:t>
            </w:r>
            <w:r>
              <w:rPr>
                <w:rFonts w:hint="eastAsia" w:ascii="宋体" w:hAnsi="宋体" w:eastAsia="宋体" w:cs="宋体"/>
                <w:color w:val="000000"/>
                <w:kern w:val="0"/>
                <w:sz w:val="15"/>
                <w:szCs w:val="15"/>
                <w:highlight w:val="none"/>
              </w:rPr>
              <w:t>存在以下情形之一的，可视为情节严重：1.因监理人员的违规行为直接或间接导致发生一般及以上</w:t>
            </w:r>
            <w:r>
              <w:rPr>
                <w:rFonts w:hint="eastAsia" w:ascii="宋体" w:hAnsi="宋体" w:eastAsia="宋体" w:cs="宋体"/>
                <w:color w:val="000000"/>
                <w:kern w:val="0"/>
                <w:sz w:val="15"/>
                <w:szCs w:val="15"/>
                <w:highlight w:val="none"/>
                <w:lang w:eastAsia="zh-CN"/>
              </w:rPr>
              <w:t>质量</w:t>
            </w:r>
            <w:r>
              <w:rPr>
                <w:rFonts w:hint="eastAsia" w:ascii="宋体" w:hAnsi="宋体" w:eastAsia="宋体" w:cs="宋体"/>
                <w:color w:val="000000"/>
                <w:kern w:val="0"/>
                <w:sz w:val="15"/>
                <w:szCs w:val="15"/>
                <w:highlight w:val="none"/>
              </w:rPr>
              <w:t>事故</w:t>
            </w:r>
            <w:r>
              <w:rPr>
                <w:rFonts w:hint="eastAsia" w:ascii="宋体" w:hAnsi="宋体" w:eastAsia="宋体" w:cs="宋体"/>
                <w:color w:val="000000"/>
                <w:kern w:val="0"/>
                <w:sz w:val="15"/>
                <w:szCs w:val="15"/>
                <w:highlight w:val="none"/>
                <w:lang w:eastAsia="zh-CN"/>
              </w:rPr>
              <w:t>或严重影响</w:t>
            </w:r>
            <w:r>
              <w:rPr>
                <w:rFonts w:hint="eastAsia" w:ascii="宋体" w:hAnsi="宋体" w:eastAsia="宋体" w:cs="宋体"/>
                <w:color w:val="000000"/>
                <w:kern w:val="0"/>
                <w:sz w:val="15"/>
                <w:szCs w:val="15"/>
                <w:highlight w:val="none"/>
              </w:rPr>
              <w:t>的；2.经执法部门处罚后，再次发生同类型违法行为。</w:t>
            </w:r>
          </w:p>
          <w:p w14:paraId="1475B90F">
            <w:pPr>
              <w:widowControl/>
              <w:jc w:val="left"/>
              <w:rPr>
                <w:rFonts w:hint="eastAsia" w:ascii="宋体" w:hAnsi="宋体" w:eastAsia="宋体" w:cs="宋体"/>
                <w:color w:val="000000"/>
                <w:kern w:val="0"/>
                <w:sz w:val="15"/>
                <w:szCs w:val="15"/>
                <w:highlight w:val="none"/>
                <w:lang w:val="en-US" w:eastAsia="zh-CN"/>
              </w:rPr>
            </w:pPr>
            <w:r>
              <w:rPr>
                <w:rFonts w:hint="eastAsia" w:ascii="宋体" w:hAnsi="宋体" w:eastAsia="宋体" w:cs="宋体"/>
                <w:color w:val="000000"/>
                <w:kern w:val="0"/>
                <w:sz w:val="15"/>
                <w:szCs w:val="15"/>
                <w:highlight w:val="none"/>
                <w:lang w:val="en-US" w:eastAsia="zh-CN"/>
              </w:rPr>
              <w:t>（二）《水利工程建设监理规定》自2026年2月1日起施行</w:t>
            </w:r>
          </w:p>
        </w:tc>
      </w:tr>
      <w:tr w14:paraId="6ED5B36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27" w:hRule="atLeast"/>
        </w:trPr>
        <w:tc>
          <w:tcPr>
            <w:tcW w:w="14203" w:type="dxa"/>
            <w:gridSpan w:val="13"/>
            <w:tcBorders>
              <w:top w:val="nil"/>
              <w:left w:val="single" w:color="auto" w:sz="4" w:space="0"/>
              <w:bottom w:val="single" w:color="auto" w:sz="4" w:space="0"/>
              <w:right w:val="single" w:color="auto" w:sz="4" w:space="0"/>
            </w:tcBorders>
            <w:noWrap/>
            <w:vAlign w:val="center"/>
          </w:tcPr>
          <w:p w14:paraId="69E81111">
            <w:pPr>
              <w:widowControl/>
              <w:jc w:val="center"/>
              <w:outlineLvl w:val="1"/>
              <w:rPr>
                <w:rFonts w:hint="eastAsia" w:ascii="宋体" w:hAnsi="宋体" w:eastAsia="宋体" w:cs="宋体"/>
                <w:color w:val="auto"/>
                <w:kern w:val="0"/>
                <w:szCs w:val="21"/>
                <w:highlight w:val="none"/>
              </w:rPr>
            </w:pPr>
            <w:bookmarkStart w:id="383" w:name="_Toc778723007"/>
            <w:bookmarkStart w:id="384" w:name="_Toc1270004604"/>
            <w:r>
              <w:rPr>
                <w:rFonts w:hint="eastAsia" w:ascii="宋体" w:hAnsi="宋体" w:eastAsia="宋体" w:cs="宋体"/>
                <w:b/>
                <w:bCs/>
                <w:color w:val="auto"/>
                <w:kern w:val="0"/>
                <w:szCs w:val="21"/>
                <w:highlight w:val="none"/>
              </w:rPr>
              <w:t>《水利工程质量事故处理规定》案由1项</w:t>
            </w:r>
            <w:bookmarkEnd w:id="382"/>
            <w:bookmarkEnd w:id="383"/>
            <w:bookmarkEnd w:id="384"/>
          </w:p>
        </w:tc>
      </w:tr>
      <w:tr w14:paraId="5316F52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07707AD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4630C74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事故相关单位迟报、谎报、瞒报水利工程质量事故</w:t>
            </w:r>
          </w:p>
        </w:tc>
        <w:tc>
          <w:tcPr>
            <w:tcW w:w="2793" w:type="dxa"/>
            <w:gridSpan w:val="2"/>
            <w:tcBorders>
              <w:top w:val="nil"/>
              <w:left w:val="nil"/>
              <w:bottom w:val="single" w:color="auto" w:sz="4" w:space="0"/>
              <w:right w:val="single" w:color="auto" w:sz="4" w:space="0"/>
            </w:tcBorders>
            <w:noWrap w:val="0"/>
            <w:vAlign w:val="center"/>
          </w:tcPr>
          <w:p w14:paraId="16134C0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处罚条款：第二十九条，责令改正，给予警告或者通报批评，情节严重的，处5万元以上10万元以下的罚款。</w:t>
            </w:r>
          </w:p>
        </w:tc>
        <w:tc>
          <w:tcPr>
            <w:tcW w:w="864" w:type="dxa"/>
            <w:gridSpan w:val="2"/>
            <w:tcBorders>
              <w:top w:val="nil"/>
              <w:left w:val="nil"/>
              <w:bottom w:val="single" w:color="auto" w:sz="4" w:space="0"/>
              <w:right w:val="single" w:color="auto" w:sz="4" w:space="0"/>
            </w:tcBorders>
            <w:noWrap w:val="0"/>
            <w:vAlign w:val="center"/>
          </w:tcPr>
          <w:p w14:paraId="3C15F3A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noWrap/>
            <w:vAlign w:val="center"/>
          </w:tcPr>
          <w:p w14:paraId="3AF785A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36D7870C">
            <w:pPr>
              <w:widowControl/>
              <w:numPr>
                <w:ilvl w:val="0"/>
                <w:numId w:val="0"/>
              </w:numPr>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lang w:eastAsia="zh-CN"/>
              </w:rPr>
              <w:t>（一）</w:t>
            </w:r>
            <w:r>
              <w:rPr>
                <w:rFonts w:hint="eastAsia" w:ascii="宋体" w:hAnsi="宋体" w:eastAsia="宋体" w:cs="宋体"/>
                <w:b w:val="0"/>
                <w:bCs w:val="0"/>
                <w:color w:val="auto"/>
                <w:kern w:val="0"/>
                <w:sz w:val="15"/>
                <w:szCs w:val="15"/>
                <w:highlight w:val="none"/>
              </w:rPr>
              <w:t>无严重情节（迟报），迟报但未对事故处理造成实际影响，给予警告。</w:t>
            </w:r>
          </w:p>
          <w:p w14:paraId="1B02AA43">
            <w:pPr>
              <w:widowControl/>
              <w:numPr>
                <w:ilvl w:val="0"/>
                <w:numId w:val="0"/>
              </w:numPr>
              <w:jc w:val="left"/>
              <w:rPr>
                <w:rFonts w:hint="eastAsia" w:ascii="宋体" w:hAnsi="宋体" w:eastAsia="宋体" w:cs="宋体"/>
                <w:color w:val="auto"/>
                <w:kern w:val="0"/>
                <w:sz w:val="15"/>
                <w:szCs w:val="15"/>
                <w:highlight w:val="none"/>
              </w:rPr>
            </w:pPr>
            <w:r>
              <w:rPr>
                <w:rFonts w:hint="eastAsia" w:ascii="宋体" w:hAnsi="宋体" w:eastAsia="宋体" w:cs="宋体"/>
                <w:b w:val="0"/>
                <w:bCs w:val="0"/>
                <w:color w:val="auto"/>
                <w:kern w:val="0"/>
                <w:sz w:val="15"/>
                <w:szCs w:val="15"/>
                <w:highlight w:val="none"/>
              </w:rPr>
              <w:t>（二）情节严重（迟报且对事故处理造成实际影响、谎报、瞒报），通报批评，并处以下罚款：1.发生一般安全事故，系数为0；2.发生较大安全事故，系数为0.5；3.发生重大及以上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96E6E5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14:paraId="0B2858F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46CE06F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170" w:hRule="atLeast"/>
        </w:trPr>
        <w:tc>
          <w:tcPr>
            <w:tcW w:w="14203" w:type="dxa"/>
            <w:gridSpan w:val="13"/>
            <w:tcBorders>
              <w:top w:val="nil"/>
              <w:left w:val="single" w:color="auto" w:sz="4" w:space="0"/>
              <w:bottom w:val="single" w:color="auto" w:sz="4" w:space="0"/>
              <w:right w:val="single" w:color="auto" w:sz="4" w:space="0"/>
            </w:tcBorders>
            <w:noWrap/>
            <w:vAlign w:val="center"/>
          </w:tcPr>
          <w:p w14:paraId="5276B0A5">
            <w:pPr>
              <w:widowControl/>
              <w:jc w:val="center"/>
              <w:outlineLvl w:val="1"/>
              <w:rPr>
                <w:rFonts w:hint="eastAsia" w:ascii="宋体" w:hAnsi="宋体" w:eastAsia="宋体" w:cs="宋体"/>
                <w:color w:val="auto"/>
                <w:kern w:val="0"/>
                <w:szCs w:val="21"/>
                <w:highlight w:val="none"/>
              </w:rPr>
            </w:pPr>
            <w:bookmarkStart w:id="385" w:name="_Toc1219974643"/>
            <w:bookmarkStart w:id="386" w:name="_Toc172762941"/>
            <w:bookmarkStart w:id="387" w:name="_Toc218468901"/>
            <w:r>
              <w:rPr>
                <w:rFonts w:hint="eastAsia" w:ascii="宋体" w:hAnsi="宋体" w:eastAsia="宋体" w:cs="宋体"/>
                <w:b/>
                <w:bCs/>
                <w:color w:val="auto"/>
                <w:kern w:val="0"/>
                <w:szCs w:val="21"/>
                <w:highlight w:val="none"/>
              </w:rPr>
              <w:t>《实施工程建设强制性标准监督规定》案由1项</w:t>
            </w:r>
            <w:bookmarkEnd w:id="385"/>
            <w:bookmarkEnd w:id="386"/>
            <w:bookmarkEnd w:id="387"/>
          </w:p>
        </w:tc>
      </w:tr>
      <w:tr w14:paraId="06F7294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14:paraId="7D0CD21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40A4570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水利工程施工单位违反建设强制性标准</w:t>
            </w:r>
          </w:p>
        </w:tc>
        <w:tc>
          <w:tcPr>
            <w:tcW w:w="2793" w:type="dxa"/>
            <w:gridSpan w:val="2"/>
            <w:tcBorders>
              <w:top w:val="nil"/>
              <w:left w:val="nil"/>
              <w:bottom w:val="single" w:color="auto" w:sz="4" w:space="0"/>
              <w:right w:val="single" w:color="auto" w:sz="4" w:space="0"/>
            </w:tcBorders>
            <w:noWrap w:val="0"/>
            <w:vAlign w:val="center"/>
          </w:tcPr>
          <w:p w14:paraId="5E8E880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处罚条款：第十八条，责令改正，处工程合同价款2％以上4％以下的罚款，情节严重的，责令停业整顿，降低资质等级或者吊销资质证书。</w:t>
            </w:r>
          </w:p>
        </w:tc>
        <w:tc>
          <w:tcPr>
            <w:tcW w:w="864" w:type="dxa"/>
            <w:gridSpan w:val="2"/>
            <w:tcBorders>
              <w:top w:val="nil"/>
              <w:left w:val="nil"/>
              <w:bottom w:val="single" w:color="auto" w:sz="4" w:space="0"/>
              <w:right w:val="single" w:color="auto" w:sz="4" w:space="0"/>
            </w:tcBorders>
            <w:noWrap w:val="0"/>
            <w:vAlign w:val="center"/>
          </w:tcPr>
          <w:p w14:paraId="2714EC3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工程价款×2%</w:t>
            </w:r>
          </w:p>
        </w:tc>
        <w:tc>
          <w:tcPr>
            <w:tcW w:w="840" w:type="dxa"/>
            <w:tcBorders>
              <w:top w:val="nil"/>
              <w:left w:val="nil"/>
              <w:bottom w:val="single" w:color="auto" w:sz="4" w:space="0"/>
              <w:right w:val="single" w:color="auto" w:sz="4" w:space="0"/>
            </w:tcBorders>
            <w:noWrap/>
            <w:vAlign w:val="center"/>
          </w:tcPr>
          <w:p w14:paraId="2EEB556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05773F2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施工标准与强制性标准存在偏差1处，系数为0；2.施工标准与强制性标准存在偏差2处，系数为0.5；3.施工标准与强制性标准存在偏差3处及以上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58D6E0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14:paraId="62050E4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14:paraId="567BC3F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57" w:hRule="atLeast"/>
        </w:trPr>
        <w:tc>
          <w:tcPr>
            <w:tcW w:w="14203" w:type="dxa"/>
            <w:gridSpan w:val="13"/>
            <w:tcBorders>
              <w:top w:val="nil"/>
              <w:left w:val="single" w:color="auto" w:sz="4" w:space="0"/>
              <w:bottom w:val="single" w:color="auto" w:sz="4" w:space="0"/>
              <w:right w:val="single" w:color="auto" w:sz="4" w:space="0"/>
            </w:tcBorders>
            <w:noWrap/>
            <w:vAlign w:val="center"/>
          </w:tcPr>
          <w:p w14:paraId="1D1527A4">
            <w:pPr>
              <w:widowControl/>
              <w:jc w:val="center"/>
              <w:outlineLvl w:val="1"/>
              <w:rPr>
                <w:rFonts w:hint="eastAsia" w:ascii="宋体" w:hAnsi="宋体" w:eastAsia="宋体" w:cs="宋体"/>
                <w:color w:val="auto"/>
                <w:kern w:val="0"/>
                <w:szCs w:val="21"/>
                <w:highlight w:val="none"/>
              </w:rPr>
            </w:pPr>
            <w:bookmarkStart w:id="388" w:name="_Toc629926218"/>
            <w:bookmarkStart w:id="389" w:name="_Toc1182103162"/>
            <w:bookmarkStart w:id="390" w:name="_Toc218468902"/>
            <w:r>
              <w:rPr>
                <w:rFonts w:hint="eastAsia" w:ascii="宋体" w:hAnsi="宋体" w:eastAsia="宋体" w:cs="宋体"/>
                <w:b/>
                <w:bCs/>
                <w:color w:val="auto"/>
                <w:kern w:val="0"/>
                <w:szCs w:val="21"/>
                <w:highlight w:val="none"/>
              </w:rPr>
              <w:t>《建设工程勘察质量管理办法》案由1项</w:t>
            </w:r>
            <w:bookmarkEnd w:id="388"/>
            <w:bookmarkEnd w:id="389"/>
            <w:bookmarkEnd w:id="390"/>
          </w:p>
        </w:tc>
      </w:tr>
      <w:tr w14:paraId="05EAC17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14:paraId="0E89ACB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6024C50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工程勘察企业弄虚作假、提供虚假成果资料</w:t>
            </w:r>
          </w:p>
        </w:tc>
        <w:tc>
          <w:tcPr>
            <w:tcW w:w="2793" w:type="dxa"/>
            <w:gridSpan w:val="2"/>
            <w:tcBorders>
              <w:top w:val="nil"/>
              <w:left w:val="nil"/>
              <w:bottom w:val="single" w:color="auto" w:sz="4" w:space="0"/>
              <w:right w:val="single" w:color="auto" w:sz="4" w:space="0"/>
            </w:tcBorders>
            <w:noWrap w:val="0"/>
            <w:vAlign w:val="center"/>
          </w:tcPr>
          <w:p w14:paraId="73E7BDF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处罚条款：第二十三条，责令改正，处10万元以上30万元以下的罚款，造成工程质量事故的，责令停业整顿，降低资质等级，情节严重的，吊销资质证书。</w:t>
            </w:r>
          </w:p>
        </w:tc>
        <w:tc>
          <w:tcPr>
            <w:tcW w:w="864" w:type="dxa"/>
            <w:gridSpan w:val="2"/>
            <w:tcBorders>
              <w:top w:val="nil"/>
              <w:left w:val="nil"/>
              <w:bottom w:val="single" w:color="auto" w:sz="4" w:space="0"/>
              <w:right w:val="single" w:color="auto" w:sz="4" w:space="0"/>
            </w:tcBorders>
            <w:noWrap w:val="0"/>
            <w:vAlign w:val="center"/>
          </w:tcPr>
          <w:p w14:paraId="038973A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14:paraId="2768F5D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556AE7C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弄虚作假、提供虚假成果材料1份，系数为0；每增加1份，系数加0.4；材料≥6份，系数为2；2.存在重大质量问题或造成生产安全事故，系数为2。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86E2BA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57ABCF7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14:paraId="43E9CEF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14:paraId="699BD34F">
            <w:pPr>
              <w:widowControl/>
              <w:jc w:val="center"/>
              <w:outlineLvl w:val="1"/>
              <w:rPr>
                <w:rFonts w:hint="eastAsia" w:ascii="宋体" w:hAnsi="宋体" w:eastAsia="宋体" w:cs="宋体"/>
                <w:color w:val="auto"/>
                <w:kern w:val="0"/>
                <w:szCs w:val="21"/>
                <w:highlight w:val="none"/>
              </w:rPr>
            </w:pPr>
            <w:bookmarkStart w:id="391" w:name="_Toc218468903"/>
            <w:bookmarkStart w:id="392" w:name="_Toc54520453"/>
            <w:bookmarkStart w:id="393" w:name="_Toc1697907534"/>
            <w:r>
              <w:rPr>
                <w:rFonts w:hint="eastAsia" w:ascii="宋体" w:hAnsi="宋体" w:eastAsia="宋体" w:cs="宋体"/>
                <w:b/>
                <w:bCs/>
                <w:color w:val="auto"/>
                <w:kern w:val="0"/>
                <w:szCs w:val="21"/>
                <w:highlight w:val="none"/>
              </w:rPr>
              <w:t>《北京市建设工程质量条例》案由28项</w:t>
            </w:r>
            <w:bookmarkEnd w:id="391"/>
            <w:bookmarkEnd w:id="392"/>
            <w:bookmarkEnd w:id="393"/>
          </w:p>
        </w:tc>
      </w:tr>
      <w:tr w14:paraId="6950297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0272002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7F2584B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建设单位未及时出具撤销保函申请书或者返还保证金</w:t>
            </w:r>
          </w:p>
        </w:tc>
        <w:tc>
          <w:tcPr>
            <w:tcW w:w="2793" w:type="dxa"/>
            <w:gridSpan w:val="2"/>
            <w:tcBorders>
              <w:top w:val="nil"/>
              <w:left w:val="nil"/>
              <w:bottom w:val="single" w:color="auto" w:sz="4" w:space="0"/>
              <w:right w:val="single" w:color="auto" w:sz="4" w:space="0"/>
            </w:tcBorders>
            <w:noWrap w:val="0"/>
            <w:vAlign w:val="center"/>
          </w:tcPr>
          <w:p w14:paraId="097EE94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违反条款：第六十四条第三款；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处罚条款：第一百零一条，责令限期改正，逾期未改正的，处10万元以上50万元以下的罚款。</w:t>
            </w:r>
          </w:p>
        </w:tc>
        <w:tc>
          <w:tcPr>
            <w:tcW w:w="864" w:type="dxa"/>
            <w:gridSpan w:val="2"/>
            <w:tcBorders>
              <w:top w:val="nil"/>
              <w:left w:val="nil"/>
              <w:bottom w:val="single" w:color="auto" w:sz="4" w:space="0"/>
              <w:right w:val="single" w:color="auto" w:sz="4" w:space="0"/>
            </w:tcBorders>
            <w:noWrap w:val="0"/>
            <w:vAlign w:val="center"/>
          </w:tcPr>
          <w:p w14:paraId="1F8DCD9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14:paraId="3AAFB72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404B52CA">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1.逾期撤销或返还＜5天，系数为0；2.5天≤逾期撤销或返还＜10天，系数为1；3.10天≤逾期撤销或返还＜15天，系数为2；4.15天≤逾期撤销或返还＜20天，系数为3；5.20天≤逾期撤销或返还或造成</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恶劣影响，系数为4。6.存在基准2.1.3规定情形的，系数按照相关规定确定（基准2.1.3.5不适用）。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58E1B1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43F7619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29FB78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7DA7EDA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1BD9883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建设、施工、监理单位未在3日内报告涉及结构安全的重大工程质量问题</w:t>
            </w:r>
          </w:p>
        </w:tc>
        <w:tc>
          <w:tcPr>
            <w:tcW w:w="2793" w:type="dxa"/>
            <w:gridSpan w:val="2"/>
            <w:tcBorders>
              <w:top w:val="nil"/>
              <w:left w:val="nil"/>
              <w:bottom w:val="single" w:color="auto" w:sz="4" w:space="0"/>
              <w:right w:val="single" w:color="auto" w:sz="4" w:space="0"/>
            </w:tcBorders>
            <w:noWrap w:val="0"/>
            <w:vAlign w:val="center"/>
          </w:tcPr>
          <w:p w14:paraId="547F008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处罚条款：第九十二条，责令改正，处3万元以上10万元以下的罚款。</w:t>
            </w:r>
          </w:p>
        </w:tc>
        <w:tc>
          <w:tcPr>
            <w:tcW w:w="864" w:type="dxa"/>
            <w:gridSpan w:val="2"/>
            <w:tcBorders>
              <w:top w:val="nil"/>
              <w:left w:val="nil"/>
              <w:bottom w:val="single" w:color="auto" w:sz="4" w:space="0"/>
              <w:right w:val="single" w:color="auto" w:sz="4" w:space="0"/>
            </w:tcBorders>
            <w:noWrap w:val="0"/>
            <w:vAlign w:val="center"/>
          </w:tcPr>
          <w:p w14:paraId="1C935E9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14:paraId="5E1FA87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16A6A620">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1.逾期上报＜1日，系数为0；2.1日≤逾期上报＜3日，系数为1；3.3日≤逾期上报＜5日，系数为2；4.5日≤逾期上报或造成</w:t>
            </w:r>
            <w:r>
              <w:rPr>
                <w:rFonts w:hint="eastAsia" w:ascii="宋体" w:hAnsi="宋体" w:eastAsia="宋体" w:cs="宋体"/>
                <w:b w:val="0"/>
                <w:bCs w:val="0"/>
                <w:color w:val="auto"/>
                <w:kern w:val="0"/>
                <w:sz w:val="15"/>
                <w:szCs w:val="15"/>
                <w:highlight w:val="none"/>
                <w:lang w:eastAsia="zh-CN"/>
              </w:rPr>
              <w:t>其他</w:t>
            </w:r>
            <w:r>
              <w:rPr>
                <w:rFonts w:hint="eastAsia" w:ascii="宋体" w:hAnsi="宋体" w:eastAsia="宋体" w:cs="宋体"/>
                <w:b w:val="0"/>
                <w:bCs w:val="0"/>
                <w:color w:val="auto"/>
                <w:kern w:val="0"/>
                <w:sz w:val="15"/>
                <w:szCs w:val="15"/>
                <w:highlight w:val="none"/>
              </w:rPr>
              <w:t>恶劣影响，系数为3。5.存在基准2.1.3规定情形的，系数按照相关规定确定（基准2.1.3.5不适用）。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622161A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14:paraId="0250E90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0EF3898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7774335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14:paraId="01BE33C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施工单位使用未经监理单位审查的建筑材料、建筑构配件和设备、预拌混凝土、混凝土预制构件及有关专业工程材料</w:t>
            </w:r>
          </w:p>
        </w:tc>
        <w:tc>
          <w:tcPr>
            <w:tcW w:w="2793" w:type="dxa"/>
            <w:gridSpan w:val="2"/>
            <w:tcBorders>
              <w:top w:val="nil"/>
              <w:left w:val="nil"/>
              <w:bottom w:val="single" w:color="auto" w:sz="4" w:space="0"/>
              <w:right w:val="single" w:color="auto" w:sz="4" w:space="0"/>
            </w:tcBorders>
            <w:noWrap w:val="0"/>
            <w:vAlign w:val="center"/>
          </w:tcPr>
          <w:p w14:paraId="0AB041F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处罚条款：第八十七条第（一）项，责令改正，处3万元以上10万元以下的罚款；造成质量事故的，责令停业整顿，降低资质等级或者吊销资质证书。</w:t>
            </w:r>
          </w:p>
        </w:tc>
        <w:tc>
          <w:tcPr>
            <w:tcW w:w="864" w:type="dxa"/>
            <w:gridSpan w:val="2"/>
            <w:tcBorders>
              <w:top w:val="nil"/>
              <w:left w:val="nil"/>
              <w:bottom w:val="single" w:color="auto" w:sz="4" w:space="0"/>
              <w:right w:val="single" w:color="auto" w:sz="4" w:space="0"/>
            </w:tcBorders>
            <w:noWrap w:val="0"/>
            <w:vAlign w:val="center"/>
          </w:tcPr>
          <w:p w14:paraId="68760F5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14:paraId="400D279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911244D">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施工合同价款＜1000万元，系数为0；2.1000万元≤施工合同价款＜3000万元，系数为1；3.3000万元≤施工合同价款＜5000万元，系数为2；4.5000万元≤施工合同价款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9FDA37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14:paraId="34FFBD6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56DBAD4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78E9464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14:paraId="531029F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施工单位对送检样品或者进场检验弄虚作假</w:t>
            </w:r>
          </w:p>
        </w:tc>
        <w:tc>
          <w:tcPr>
            <w:tcW w:w="2793" w:type="dxa"/>
            <w:gridSpan w:val="2"/>
            <w:tcBorders>
              <w:top w:val="nil"/>
              <w:left w:val="nil"/>
              <w:bottom w:val="single" w:color="auto" w:sz="4" w:space="0"/>
              <w:right w:val="single" w:color="auto" w:sz="4" w:space="0"/>
            </w:tcBorders>
            <w:noWrap w:val="0"/>
            <w:vAlign w:val="center"/>
          </w:tcPr>
          <w:p w14:paraId="4D2A0A1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处罚条款：第八十七条第（二）项，责令改正，处3万元以上10万元以下的罚款；造成质量事故的，责令停业整顿，降低资质等级或者吊销资质证书。</w:t>
            </w:r>
          </w:p>
        </w:tc>
        <w:tc>
          <w:tcPr>
            <w:tcW w:w="864" w:type="dxa"/>
            <w:gridSpan w:val="2"/>
            <w:tcBorders>
              <w:top w:val="nil"/>
              <w:left w:val="nil"/>
              <w:bottom w:val="single" w:color="auto" w:sz="4" w:space="0"/>
              <w:right w:val="single" w:color="auto" w:sz="4" w:space="0"/>
            </w:tcBorders>
            <w:noWrap w:val="0"/>
            <w:vAlign w:val="center"/>
          </w:tcPr>
          <w:p w14:paraId="3AC5A17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14:paraId="33764D1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2EECD229">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弄虚作假1次，系数为0；2.弄虚作假2次，系数为1；3.弄虚作假3次，系数为2；4.弄虚作假4次及以上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9185B4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14:paraId="6E656D3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2AC4C9C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60" w:hRule="atLeast"/>
        </w:trPr>
        <w:tc>
          <w:tcPr>
            <w:tcW w:w="612" w:type="dxa"/>
            <w:gridSpan w:val="2"/>
            <w:tcBorders>
              <w:top w:val="nil"/>
              <w:left w:val="single" w:color="auto" w:sz="4" w:space="0"/>
              <w:bottom w:val="single" w:color="auto" w:sz="4" w:space="0"/>
              <w:right w:val="single" w:color="auto" w:sz="4" w:space="0"/>
            </w:tcBorders>
            <w:noWrap/>
            <w:vAlign w:val="center"/>
          </w:tcPr>
          <w:p w14:paraId="6363702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14:paraId="3987C21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施工单位对隐蔽工程、检验批、分项工程、分部工程未经监理单位验收或者验收不合格，进行下一工序施工</w:t>
            </w:r>
          </w:p>
        </w:tc>
        <w:tc>
          <w:tcPr>
            <w:tcW w:w="2793" w:type="dxa"/>
            <w:gridSpan w:val="2"/>
            <w:tcBorders>
              <w:top w:val="nil"/>
              <w:left w:val="nil"/>
              <w:bottom w:val="single" w:color="auto" w:sz="4" w:space="0"/>
              <w:right w:val="single" w:color="auto" w:sz="4" w:space="0"/>
            </w:tcBorders>
            <w:noWrap w:val="0"/>
            <w:vAlign w:val="center"/>
          </w:tcPr>
          <w:p w14:paraId="45E888D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处罚条款：第八十七条第（三）项，责令改正，处3万元以上10万元以下的罚款；造成质量事故的，责令停业整顿，降低资质等级或者吊销资质证书。</w:t>
            </w:r>
          </w:p>
        </w:tc>
        <w:tc>
          <w:tcPr>
            <w:tcW w:w="864" w:type="dxa"/>
            <w:gridSpan w:val="2"/>
            <w:tcBorders>
              <w:top w:val="nil"/>
              <w:left w:val="nil"/>
              <w:bottom w:val="single" w:color="auto" w:sz="4" w:space="0"/>
              <w:right w:val="single" w:color="auto" w:sz="4" w:space="0"/>
            </w:tcBorders>
            <w:noWrap w:val="0"/>
            <w:vAlign w:val="center"/>
          </w:tcPr>
          <w:p w14:paraId="2F1D275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14:paraId="4832304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4E655FB7">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施工合同价款＜1000万元，系数为0；2.1000万元≤施工合同价款＜3000万元，系数为1；3.3000万元≤施工合同价款＜5000万元，系数为2；4.5000万元≤施工合同价款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3749E1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14:paraId="00BE1FF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55FAA3F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4035972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14:paraId="66DD72F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监理单位未对关键部位和关键工序进行旁站，或者见证过程弄虚作假</w:t>
            </w:r>
          </w:p>
        </w:tc>
        <w:tc>
          <w:tcPr>
            <w:tcW w:w="2793" w:type="dxa"/>
            <w:gridSpan w:val="2"/>
            <w:tcBorders>
              <w:top w:val="nil"/>
              <w:left w:val="nil"/>
              <w:bottom w:val="single" w:color="auto" w:sz="4" w:space="0"/>
              <w:right w:val="single" w:color="auto" w:sz="4" w:space="0"/>
            </w:tcBorders>
            <w:noWrap w:val="0"/>
            <w:vAlign w:val="center"/>
          </w:tcPr>
          <w:p w14:paraId="6766A5D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违反条款：第三十六条、第四十一条；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处罚条款：第八十五条，责令改正，处3万元以上10万元以下的罚款。</w:t>
            </w:r>
          </w:p>
        </w:tc>
        <w:tc>
          <w:tcPr>
            <w:tcW w:w="864" w:type="dxa"/>
            <w:gridSpan w:val="2"/>
            <w:tcBorders>
              <w:top w:val="nil"/>
              <w:left w:val="nil"/>
              <w:bottom w:val="single" w:color="auto" w:sz="4" w:space="0"/>
              <w:right w:val="single" w:color="auto" w:sz="4" w:space="0"/>
            </w:tcBorders>
            <w:noWrap w:val="0"/>
            <w:vAlign w:val="center"/>
          </w:tcPr>
          <w:p w14:paraId="764893B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14:paraId="7000F5B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783B5FA9">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旁站或见证过程弄虚作假1次，系数为0；2.未旁站或见证过程弄虚作假2次，系数为1；3.未旁站或见证过程弄虚作假3次，系数为2；4.未旁站或见证过程弄虚作假4次及以上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FBE80B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14:paraId="50F4EA7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10BD241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6F4B0D9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14:paraId="1DEFA67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相关单位未按规定签署工程质量终身责任承诺书</w:t>
            </w:r>
          </w:p>
        </w:tc>
        <w:tc>
          <w:tcPr>
            <w:tcW w:w="2793" w:type="dxa"/>
            <w:gridSpan w:val="2"/>
            <w:tcBorders>
              <w:top w:val="nil"/>
              <w:left w:val="nil"/>
              <w:bottom w:val="single" w:color="auto" w:sz="4" w:space="0"/>
              <w:right w:val="single" w:color="auto" w:sz="4" w:space="0"/>
            </w:tcBorders>
            <w:noWrap w:val="0"/>
            <w:vAlign w:val="center"/>
          </w:tcPr>
          <w:p w14:paraId="67921F7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违反条款：第十六条第二款、第十八条第二款；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处罚条款：责令限期改正，逾期未改正的，处1万元以上3万元以下的罚款。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724FC17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76E2B0F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10A7F3F">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1.逾期签署＜5天，系数为0；2.5天≤逾期签署＜10天，系数为1；3.10天≤逾期签署或存在重大质量问题或造成生产安全事故，系数为2。4.存在基准2.1.3规定情形的，系数按照相关规定确定（基准2.1.3.5不适用）。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C81948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322885B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0B1DF87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2915AC9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14:paraId="41C9557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建设单位未提交工程质量终身责任承诺书</w:t>
            </w:r>
          </w:p>
        </w:tc>
        <w:tc>
          <w:tcPr>
            <w:tcW w:w="2793" w:type="dxa"/>
            <w:gridSpan w:val="2"/>
            <w:tcBorders>
              <w:top w:val="nil"/>
              <w:left w:val="nil"/>
              <w:bottom w:val="single" w:color="auto" w:sz="4" w:space="0"/>
              <w:right w:val="single" w:color="auto" w:sz="4" w:space="0"/>
            </w:tcBorders>
            <w:noWrap w:val="0"/>
            <w:vAlign w:val="center"/>
          </w:tcPr>
          <w:p w14:paraId="1456D45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处罚条款：责令限期改正，逾期未改正的，处1万元以上3万元以下的罚款。</w:t>
            </w:r>
          </w:p>
        </w:tc>
        <w:tc>
          <w:tcPr>
            <w:tcW w:w="864" w:type="dxa"/>
            <w:gridSpan w:val="2"/>
            <w:tcBorders>
              <w:top w:val="nil"/>
              <w:left w:val="nil"/>
              <w:bottom w:val="single" w:color="auto" w:sz="4" w:space="0"/>
              <w:right w:val="single" w:color="auto" w:sz="4" w:space="0"/>
            </w:tcBorders>
            <w:noWrap w:val="0"/>
            <w:vAlign w:val="center"/>
          </w:tcPr>
          <w:p w14:paraId="50775BC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7A9EBA6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682EA916">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逾期提交工程质量终身责任承诺书＜5天，系数为0；2.5天≤逾期提交工程质量终身责任承诺书＜10天，系数为1；3.10天≤逾期提交工程质量终身责任承诺书或存在重大质量问题或造成生产安全事故，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F50F5C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0BA6DF0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03BDC3A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14:paraId="4F6884B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vMerge w:val="restart"/>
            <w:tcBorders>
              <w:top w:val="nil"/>
              <w:left w:val="single" w:color="auto" w:sz="4" w:space="0"/>
              <w:bottom w:val="single" w:color="auto" w:sz="4" w:space="0"/>
              <w:right w:val="single" w:color="auto" w:sz="4" w:space="0"/>
            </w:tcBorders>
            <w:noWrap w:val="0"/>
            <w:vAlign w:val="center"/>
          </w:tcPr>
          <w:p w14:paraId="5D52E2C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建设、施工、监理等单位在单位工程质量竣工验收中将不合格工程按照合格验收</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14:paraId="7D12DEF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处罚条款：第九十三条第一款，责令改正，对建设单位处单位工程合同价款百分之二以上百分之四以下的罚款，对负有责任的施工、监理单位处10万元以上20万元以下的罚款。</w:t>
            </w:r>
          </w:p>
        </w:tc>
        <w:tc>
          <w:tcPr>
            <w:tcW w:w="864" w:type="dxa"/>
            <w:gridSpan w:val="2"/>
            <w:tcBorders>
              <w:top w:val="nil"/>
              <w:left w:val="nil"/>
              <w:bottom w:val="single" w:color="auto" w:sz="4" w:space="0"/>
              <w:right w:val="single" w:color="auto" w:sz="4" w:space="0"/>
            </w:tcBorders>
            <w:noWrap w:val="0"/>
            <w:vAlign w:val="center"/>
          </w:tcPr>
          <w:p w14:paraId="69E759C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单位工程合同价款×2%</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（建设单位）</w:t>
            </w:r>
          </w:p>
        </w:tc>
        <w:tc>
          <w:tcPr>
            <w:tcW w:w="840" w:type="dxa"/>
            <w:tcBorders>
              <w:top w:val="nil"/>
              <w:left w:val="nil"/>
              <w:bottom w:val="single" w:color="auto" w:sz="4" w:space="0"/>
              <w:right w:val="single" w:color="auto" w:sz="4" w:space="0"/>
            </w:tcBorders>
            <w:noWrap/>
            <w:vAlign w:val="center"/>
          </w:tcPr>
          <w:p w14:paraId="2679079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A2BA934">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涉及重要隐蔽单元工程和关键部位单元工程的，系数为0；2.涉及重要隐蔽单元工程和关键部位单元工程的，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0FDB36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14:paraId="7AA795E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4FB666A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609858F8">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0F01D8D8">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587C3FDB">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5524793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（施工、监理单位）</w:t>
            </w:r>
          </w:p>
        </w:tc>
        <w:tc>
          <w:tcPr>
            <w:tcW w:w="840" w:type="dxa"/>
            <w:tcBorders>
              <w:top w:val="nil"/>
              <w:left w:val="nil"/>
              <w:bottom w:val="single" w:color="auto" w:sz="4" w:space="0"/>
              <w:right w:val="single" w:color="auto" w:sz="4" w:space="0"/>
            </w:tcBorders>
            <w:noWrap/>
            <w:vAlign w:val="center"/>
          </w:tcPr>
          <w:p w14:paraId="5F26315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3CE78946">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按照合格验收的不合格单元工程1处，系数为0；每增加1处，系数加0.2；不合格单元工程≥6处，系数为1。2.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A8AC41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14:paraId="36FEC654">
            <w:pPr>
              <w:widowControl/>
              <w:jc w:val="left"/>
              <w:rPr>
                <w:rFonts w:hint="eastAsia" w:ascii="宋体" w:hAnsi="宋体" w:eastAsia="宋体" w:cs="宋体"/>
                <w:color w:val="auto"/>
                <w:kern w:val="0"/>
                <w:sz w:val="15"/>
                <w:szCs w:val="15"/>
                <w:highlight w:val="none"/>
              </w:rPr>
            </w:pPr>
          </w:p>
        </w:tc>
      </w:tr>
      <w:tr w14:paraId="5B1A1AB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27F7D59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14:paraId="7977FAF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建设单位未按照规定设置永久性标识</w:t>
            </w:r>
          </w:p>
        </w:tc>
        <w:tc>
          <w:tcPr>
            <w:tcW w:w="2793" w:type="dxa"/>
            <w:gridSpan w:val="2"/>
            <w:tcBorders>
              <w:top w:val="nil"/>
              <w:left w:val="nil"/>
              <w:bottom w:val="single" w:color="auto" w:sz="4" w:space="0"/>
              <w:right w:val="single" w:color="auto" w:sz="4" w:space="0"/>
            </w:tcBorders>
            <w:noWrap w:val="0"/>
            <w:vAlign w:val="center"/>
          </w:tcPr>
          <w:p w14:paraId="6038872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违反条款：第五十三条；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处罚条款：第九十五条，责令限期改正，逾期未改正的，处3万元的罚款。</w:t>
            </w:r>
          </w:p>
        </w:tc>
        <w:tc>
          <w:tcPr>
            <w:tcW w:w="864" w:type="dxa"/>
            <w:gridSpan w:val="2"/>
            <w:tcBorders>
              <w:top w:val="nil"/>
              <w:left w:val="nil"/>
              <w:bottom w:val="single" w:color="auto" w:sz="4" w:space="0"/>
              <w:right w:val="single" w:color="auto" w:sz="4" w:space="0"/>
            </w:tcBorders>
            <w:noWrap w:val="0"/>
            <w:vAlign w:val="center"/>
          </w:tcPr>
          <w:p w14:paraId="18716B9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14:paraId="3E41892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598BD99C">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处3万元的罚款。</w:t>
            </w:r>
          </w:p>
        </w:tc>
        <w:tc>
          <w:tcPr>
            <w:tcW w:w="1881" w:type="dxa"/>
            <w:gridSpan w:val="2"/>
            <w:tcBorders>
              <w:top w:val="nil"/>
              <w:left w:val="nil"/>
              <w:bottom w:val="single" w:color="auto" w:sz="4" w:space="0"/>
              <w:right w:val="single" w:color="auto" w:sz="4" w:space="0"/>
            </w:tcBorders>
            <w:noWrap w:val="0"/>
            <w:vAlign w:val="center"/>
          </w:tcPr>
          <w:p w14:paraId="747AC6F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w:t>
            </w:r>
          </w:p>
        </w:tc>
        <w:tc>
          <w:tcPr>
            <w:tcW w:w="1973" w:type="dxa"/>
            <w:gridSpan w:val="2"/>
            <w:tcBorders>
              <w:top w:val="nil"/>
              <w:left w:val="nil"/>
              <w:bottom w:val="single" w:color="auto" w:sz="4" w:space="0"/>
              <w:right w:val="single" w:color="auto" w:sz="4" w:space="0"/>
            </w:tcBorders>
            <w:noWrap w:val="0"/>
            <w:vAlign w:val="center"/>
          </w:tcPr>
          <w:p w14:paraId="3520C9B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r>
      <w:tr w14:paraId="1FEDA67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0DEC3E3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14:paraId="0CFA0DA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监理单位将不合格的隐蔽工程、检验批、分项工程和分部工程按照合格进行验收，或者在单位工程质量竣工预验收中将质量不合格工程按照质量合格工程预验收</w:t>
            </w:r>
          </w:p>
        </w:tc>
        <w:tc>
          <w:tcPr>
            <w:tcW w:w="2793" w:type="dxa"/>
            <w:gridSpan w:val="2"/>
            <w:tcBorders>
              <w:top w:val="nil"/>
              <w:left w:val="nil"/>
              <w:bottom w:val="single" w:color="auto" w:sz="4" w:space="0"/>
              <w:right w:val="single" w:color="auto" w:sz="4" w:space="0"/>
            </w:tcBorders>
            <w:noWrap w:val="0"/>
            <w:vAlign w:val="center"/>
          </w:tcPr>
          <w:p w14:paraId="0DC2D7F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违反条款：第四十四条第二款、第四十七条第一款；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处罚条款：第九十一条，责令改正，处3万元以上10万元以下的罚款。</w:t>
            </w:r>
          </w:p>
        </w:tc>
        <w:tc>
          <w:tcPr>
            <w:tcW w:w="864" w:type="dxa"/>
            <w:gridSpan w:val="2"/>
            <w:tcBorders>
              <w:top w:val="nil"/>
              <w:left w:val="nil"/>
              <w:bottom w:val="single" w:color="auto" w:sz="4" w:space="0"/>
              <w:right w:val="single" w:color="auto" w:sz="4" w:space="0"/>
            </w:tcBorders>
            <w:noWrap w:val="0"/>
            <w:vAlign w:val="center"/>
          </w:tcPr>
          <w:p w14:paraId="0635C3E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14:paraId="71F8065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48989636">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监理合同价款＜50万，系数为0；2.50万≤监理合同价款＜120万，系数为1；3.120万≤监理合同价款，系数为2；4.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D82A88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14:paraId="2CF0BFE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4F5B917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20E9690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14:paraId="72EA082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施工单位不执行监理单位停工整改要求</w:t>
            </w:r>
          </w:p>
        </w:tc>
        <w:tc>
          <w:tcPr>
            <w:tcW w:w="2793" w:type="dxa"/>
            <w:gridSpan w:val="2"/>
            <w:tcBorders>
              <w:top w:val="nil"/>
              <w:left w:val="nil"/>
              <w:bottom w:val="single" w:color="auto" w:sz="4" w:space="0"/>
              <w:right w:val="single" w:color="auto" w:sz="4" w:space="0"/>
            </w:tcBorders>
            <w:noWrap w:val="0"/>
            <w:vAlign w:val="center"/>
          </w:tcPr>
          <w:p w14:paraId="3AB10AF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违反条款：第九十条第二款；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处罚条款：第九十条第二款，责令改正，处3万元以上10万元以下的罚款。</w:t>
            </w:r>
          </w:p>
        </w:tc>
        <w:tc>
          <w:tcPr>
            <w:tcW w:w="864" w:type="dxa"/>
            <w:gridSpan w:val="2"/>
            <w:tcBorders>
              <w:top w:val="nil"/>
              <w:left w:val="nil"/>
              <w:bottom w:val="single" w:color="auto" w:sz="4" w:space="0"/>
              <w:right w:val="single" w:color="auto" w:sz="4" w:space="0"/>
            </w:tcBorders>
            <w:noWrap w:val="0"/>
            <w:vAlign w:val="center"/>
          </w:tcPr>
          <w:p w14:paraId="132587A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14:paraId="0A62F00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13B04380">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3000万，系数为0；2.3000万≤工程合同价款＜5000万，系数为1；3.5000万≤工程合同价款，系数为2；4.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AE588B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14:paraId="53C83B6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6CB2DFB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3D60D10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14:paraId="1501A4C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任意压缩合理勘察、设计周期或者施工工期</w:t>
            </w:r>
          </w:p>
        </w:tc>
        <w:tc>
          <w:tcPr>
            <w:tcW w:w="2793" w:type="dxa"/>
            <w:gridSpan w:val="2"/>
            <w:tcBorders>
              <w:top w:val="nil"/>
              <w:left w:val="nil"/>
              <w:bottom w:val="single" w:color="auto" w:sz="4" w:space="0"/>
              <w:right w:val="single" w:color="auto" w:sz="4" w:space="0"/>
            </w:tcBorders>
            <w:noWrap w:val="0"/>
            <w:vAlign w:val="center"/>
          </w:tcPr>
          <w:p w14:paraId="30167D0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违反条款：第六十一条第二款；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处罚条款：第九十九条，责令改正，处20万元以上50万元以下的罚款。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14:paraId="43B4015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p>
        </w:tc>
        <w:tc>
          <w:tcPr>
            <w:tcW w:w="840" w:type="dxa"/>
            <w:tcBorders>
              <w:top w:val="nil"/>
              <w:left w:val="nil"/>
              <w:bottom w:val="single" w:color="auto" w:sz="4" w:space="0"/>
              <w:right w:val="single" w:color="auto" w:sz="4" w:space="0"/>
            </w:tcBorders>
            <w:noWrap/>
            <w:vAlign w:val="center"/>
          </w:tcPr>
          <w:p w14:paraId="5AE78E6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00AAC2CD">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压缩合理工期＜10%，系数为0；2.10%≤压缩合理工期＜15%，系数为0.3；3.15%≤压缩合理工期＜20%，系数为0.6；4.20%≤压缩合理工期＜25%，系数为0.9；5.25%≤压缩合理工期＜30%，系数为1.2；6.30%≤压缩合理工期，系数为 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54D7C3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14:paraId="417002B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1DC37C1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18052DB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14:paraId="6DA74F3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篡改或者伪造检测报告</w:t>
            </w:r>
          </w:p>
        </w:tc>
        <w:tc>
          <w:tcPr>
            <w:tcW w:w="2793" w:type="dxa"/>
            <w:gridSpan w:val="2"/>
            <w:tcBorders>
              <w:top w:val="nil"/>
              <w:left w:val="nil"/>
              <w:bottom w:val="single" w:color="auto" w:sz="4" w:space="0"/>
              <w:right w:val="single" w:color="auto" w:sz="4" w:space="0"/>
            </w:tcBorders>
            <w:noWrap w:val="0"/>
            <w:vAlign w:val="center"/>
          </w:tcPr>
          <w:p w14:paraId="5C3F5CF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违反条款：第四十二条第二款；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处罚条款：第八十九条，责令改正，处3万元以上10万元以下的罚款。</w:t>
            </w:r>
          </w:p>
        </w:tc>
        <w:tc>
          <w:tcPr>
            <w:tcW w:w="864" w:type="dxa"/>
            <w:gridSpan w:val="2"/>
            <w:tcBorders>
              <w:top w:val="nil"/>
              <w:left w:val="nil"/>
              <w:bottom w:val="single" w:color="auto" w:sz="4" w:space="0"/>
              <w:right w:val="single" w:color="auto" w:sz="4" w:space="0"/>
            </w:tcBorders>
            <w:noWrap w:val="0"/>
            <w:vAlign w:val="center"/>
          </w:tcPr>
          <w:p w14:paraId="59B85C0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30000</w:t>
            </w:r>
          </w:p>
        </w:tc>
        <w:tc>
          <w:tcPr>
            <w:tcW w:w="840" w:type="dxa"/>
            <w:tcBorders>
              <w:top w:val="nil"/>
              <w:left w:val="nil"/>
              <w:bottom w:val="single" w:color="auto" w:sz="4" w:space="0"/>
              <w:right w:val="single" w:color="auto" w:sz="4" w:space="0"/>
            </w:tcBorders>
            <w:noWrap/>
            <w:vAlign w:val="center"/>
          </w:tcPr>
          <w:p w14:paraId="2EC15C9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6090E2EC">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篡改或伪造检测报告1份，系数为0；2.篡改或伪造检测报告2份，系数为1；3.篡改或伪造检测报告3份，系数为2；4.篡改或伪造检测报告4份及以上或存在重大质量问题或造成生产安全事故，系数为3。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F46948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罚款金额=30000×（1+情节系数）</w:t>
            </w:r>
          </w:p>
        </w:tc>
        <w:tc>
          <w:tcPr>
            <w:tcW w:w="1973" w:type="dxa"/>
            <w:gridSpan w:val="2"/>
            <w:tcBorders>
              <w:top w:val="nil"/>
              <w:left w:val="nil"/>
              <w:bottom w:val="single" w:color="auto" w:sz="4" w:space="0"/>
              <w:right w:val="single" w:color="auto" w:sz="4" w:space="0"/>
            </w:tcBorders>
            <w:noWrap w:val="0"/>
            <w:vAlign w:val="center"/>
          </w:tcPr>
          <w:p w14:paraId="15C6E18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0F8DBAF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10E6DF1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14:paraId="2F8B467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建设单位未履行质量保修义务</w:t>
            </w:r>
          </w:p>
        </w:tc>
        <w:tc>
          <w:tcPr>
            <w:tcW w:w="2793" w:type="dxa"/>
            <w:gridSpan w:val="2"/>
            <w:tcBorders>
              <w:top w:val="nil"/>
              <w:left w:val="nil"/>
              <w:bottom w:val="single" w:color="auto" w:sz="4" w:space="0"/>
              <w:right w:val="single" w:color="auto" w:sz="4" w:space="0"/>
            </w:tcBorders>
            <w:noWrap w:val="0"/>
            <w:vAlign w:val="center"/>
          </w:tcPr>
          <w:p w14:paraId="1D4F220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处罚条款：第九十六条，责令改正，处10万元以上50万元以下的罚款。</w:t>
            </w:r>
          </w:p>
        </w:tc>
        <w:tc>
          <w:tcPr>
            <w:tcW w:w="864" w:type="dxa"/>
            <w:gridSpan w:val="2"/>
            <w:tcBorders>
              <w:top w:val="nil"/>
              <w:left w:val="nil"/>
              <w:bottom w:val="single" w:color="auto" w:sz="4" w:space="0"/>
              <w:right w:val="single" w:color="auto" w:sz="4" w:space="0"/>
            </w:tcBorders>
            <w:noWrap w:val="0"/>
            <w:vAlign w:val="center"/>
          </w:tcPr>
          <w:p w14:paraId="2FB1715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14:paraId="6074799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12DE2C89">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履行质量保修义务1次，系数为0；2.未履行质量保修义务2次，系数为1；3.未履行质量保修义务3次，系数为2；4.未履行质量保修义务4次，系数为3；5.未履行质量保修义务5次及以上或存在重大质量问题或造成生产安全事故，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685BB1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4955273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611AACB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14:paraId="25D4D5C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14:paraId="07A3C05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施工单位通过挂靠方式，以其他施工单位的名义承揽工程</w:t>
            </w:r>
          </w:p>
        </w:tc>
        <w:tc>
          <w:tcPr>
            <w:tcW w:w="2793" w:type="dxa"/>
            <w:gridSpan w:val="2"/>
            <w:tcBorders>
              <w:top w:val="nil"/>
              <w:left w:val="nil"/>
              <w:bottom w:val="single" w:color="auto" w:sz="4" w:space="0"/>
              <w:right w:val="single" w:color="auto" w:sz="4" w:space="0"/>
            </w:tcBorders>
            <w:noWrap w:val="0"/>
            <w:vAlign w:val="center"/>
          </w:tcPr>
          <w:p w14:paraId="2AEF274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处罚条款：第八十四条第二款，责令停止违法行为，没收违法所得，处工程合同价款百分之二以上百分之四以下的罚款，可以责令停业整顿，降低资质等级；情节严重的，吊销资质证书。</w:t>
            </w:r>
          </w:p>
        </w:tc>
        <w:tc>
          <w:tcPr>
            <w:tcW w:w="864" w:type="dxa"/>
            <w:gridSpan w:val="2"/>
            <w:tcBorders>
              <w:top w:val="nil"/>
              <w:left w:val="nil"/>
              <w:bottom w:val="single" w:color="auto" w:sz="4" w:space="0"/>
              <w:right w:val="single" w:color="auto" w:sz="4" w:space="0"/>
            </w:tcBorders>
            <w:noWrap w:val="0"/>
            <w:vAlign w:val="center"/>
          </w:tcPr>
          <w:p w14:paraId="4F5B7AC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14:paraId="64C0F16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693E1BE6">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有违法所得的，没收违法所得，并处以下罚款：1.工程合同价款＜1000万，系数为0；2.1000万≤工程合同价款＜5000万，系数为0.5；3.5000万≤工程合同价款或施工单位未取得资质证书通过挂靠承揽工程或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A28826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14:paraId="0D3EF41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14:paraId="2CC8200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1C4FC4D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14:paraId="57F9479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从事工程建设活动的专业技术人员签署虚假、错误技术文件</w:t>
            </w:r>
          </w:p>
        </w:tc>
        <w:tc>
          <w:tcPr>
            <w:tcW w:w="2793" w:type="dxa"/>
            <w:gridSpan w:val="2"/>
            <w:tcBorders>
              <w:top w:val="nil"/>
              <w:left w:val="nil"/>
              <w:bottom w:val="single" w:color="auto" w:sz="4" w:space="0"/>
              <w:right w:val="single" w:color="auto" w:sz="4" w:space="0"/>
            </w:tcBorders>
            <w:noWrap w:val="0"/>
            <w:vAlign w:val="center"/>
          </w:tcPr>
          <w:p w14:paraId="37EF98C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处罚条款：第八十条，责令改正，处1万元以上5万元以下的罚款。</w:t>
            </w:r>
          </w:p>
        </w:tc>
        <w:tc>
          <w:tcPr>
            <w:tcW w:w="864" w:type="dxa"/>
            <w:gridSpan w:val="2"/>
            <w:tcBorders>
              <w:top w:val="nil"/>
              <w:left w:val="nil"/>
              <w:bottom w:val="single" w:color="auto" w:sz="4" w:space="0"/>
              <w:right w:val="single" w:color="auto" w:sz="4" w:space="0"/>
            </w:tcBorders>
            <w:noWrap w:val="0"/>
            <w:vAlign w:val="center"/>
          </w:tcPr>
          <w:p w14:paraId="6B6BB8F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77F8CDB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32C9A3B1">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签署虚假、错误技术文件1份，系数为0；2.签署虚假、错误技术文件2份，系数为1；3.签署虚假、错误技术文件3份，系数为2；4.签署虚假、错误技术文件4份，系数为3；5.签署虚假、错误技术文件5份及以上或存在重大质量问题或造成生产安全事故，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1679B7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0A917ED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7070317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5AC88BF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11" w:type="dxa"/>
            <w:tcBorders>
              <w:top w:val="nil"/>
              <w:left w:val="nil"/>
              <w:bottom w:val="single" w:color="auto" w:sz="4" w:space="0"/>
              <w:right w:val="single" w:color="auto" w:sz="4" w:space="0"/>
            </w:tcBorders>
            <w:noWrap w:val="0"/>
            <w:vAlign w:val="center"/>
          </w:tcPr>
          <w:p w14:paraId="448AD3A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建设单位未按照规定委托检测单位进行检测的</w:t>
            </w:r>
          </w:p>
        </w:tc>
        <w:tc>
          <w:tcPr>
            <w:tcW w:w="2793" w:type="dxa"/>
            <w:gridSpan w:val="2"/>
            <w:tcBorders>
              <w:top w:val="nil"/>
              <w:left w:val="nil"/>
              <w:bottom w:val="single" w:color="auto" w:sz="4" w:space="0"/>
              <w:right w:val="single" w:color="auto" w:sz="4" w:space="0"/>
            </w:tcBorders>
            <w:noWrap w:val="0"/>
            <w:vAlign w:val="center"/>
          </w:tcPr>
          <w:p w14:paraId="05C0AE5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处罚条款：第八十八条，责令改正，处10万元以上30万元以下的罚款。</w:t>
            </w:r>
          </w:p>
        </w:tc>
        <w:tc>
          <w:tcPr>
            <w:tcW w:w="864" w:type="dxa"/>
            <w:gridSpan w:val="2"/>
            <w:tcBorders>
              <w:top w:val="nil"/>
              <w:left w:val="nil"/>
              <w:bottom w:val="single" w:color="auto" w:sz="4" w:space="0"/>
              <w:right w:val="single" w:color="auto" w:sz="4" w:space="0"/>
            </w:tcBorders>
            <w:noWrap w:val="0"/>
            <w:vAlign w:val="center"/>
          </w:tcPr>
          <w:p w14:paraId="0BBE709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14:paraId="3BFCCE1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2D4AC5D7">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1000万，系数为0；2.1000万元≤工程合同价款＜2000万元，系数为0.4；3.2000万元≤工程合同价款＜3000万元，系数为0.8；4.3000万元≤工程合同价款＜4000万元，系数为1.2；5.4000万元≤工程合同价款＜5000万元，系数为1.6；6.5000万元≤工程合同价款，系数为2；7.存在重大质量问题或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F988C4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13424D4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5CBA318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1F273B4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11" w:type="dxa"/>
            <w:tcBorders>
              <w:top w:val="nil"/>
              <w:left w:val="nil"/>
              <w:bottom w:val="single" w:color="auto" w:sz="4" w:space="0"/>
              <w:right w:val="single" w:color="auto" w:sz="4" w:space="0"/>
            </w:tcBorders>
            <w:noWrap w:val="0"/>
            <w:vAlign w:val="center"/>
          </w:tcPr>
          <w:p w14:paraId="6172718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建设工程有关单位使用不符合要求的人员</w:t>
            </w:r>
          </w:p>
        </w:tc>
        <w:tc>
          <w:tcPr>
            <w:tcW w:w="2793" w:type="dxa"/>
            <w:gridSpan w:val="2"/>
            <w:tcBorders>
              <w:top w:val="nil"/>
              <w:left w:val="nil"/>
              <w:bottom w:val="single" w:color="auto" w:sz="4" w:space="0"/>
              <w:right w:val="single" w:color="auto" w:sz="4" w:space="0"/>
            </w:tcBorders>
            <w:noWrap w:val="0"/>
            <w:vAlign w:val="center"/>
          </w:tcPr>
          <w:p w14:paraId="6A5AE09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处罚条款：第八十一条第（一）项、第（二）项、第（三）项、第（四）项，责令改正，处1万元以上5万元以下的罚款。</w:t>
            </w:r>
          </w:p>
        </w:tc>
        <w:tc>
          <w:tcPr>
            <w:tcW w:w="864" w:type="dxa"/>
            <w:gridSpan w:val="2"/>
            <w:tcBorders>
              <w:top w:val="nil"/>
              <w:left w:val="nil"/>
              <w:bottom w:val="single" w:color="auto" w:sz="4" w:space="0"/>
              <w:right w:val="single" w:color="auto" w:sz="4" w:space="0"/>
            </w:tcBorders>
            <w:noWrap w:val="0"/>
            <w:vAlign w:val="center"/>
          </w:tcPr>
          <w:p w14:paraId="0E68EC6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44C3A72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285D7B8E">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使用不符合要求人员＜3人，系数为0；2.3人≤使用不具备相应专业资质或资格人员＜7人，系数为1；3.7人≤使用不具备相应专业资质或资格人员＜11人，系数为2；4.11人≤使用不具备相应专业资质或资格人员＜15人，系数为3；5.15人≤使用不具备相应专业资质或资格人员或存在重大质量问题或造成生产安全事故，系数为4。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705D42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65A7607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EC3DCB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09A1DDA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11" w:type="dxa"/>
            <w:tcBorders>
              <w:top w:val="nil"/>
              <w:left w:val="nil"/>
              <w:bottom w:val="single" w:color="auto" w:sz="4" w:space="0"/>
              <w:right w:val="single" w:color="auto" w:sz="4" w:space="0"/>
            </w:tcBorders>
            <w:noWrap w:val="0"/>
            <w:vAlign w:val="center"/>
          </w:tcPr>
          <w:p w14:paraId="49F3ADB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建设工程有关单位未建立一线作业人员教育培训制度或未按照教育培训制度定期对一线作业人员开展职业技能培训</w:t>
            </w:r>
          </w:p>
        </w:tc>
        <w:tc>
          <w:tcPr>
            <w:tcW w:w="2793" w:type="dxa"/>
            <w:gridSpan w:val="2"/>
            <w:tcBorders>
              <w:top w:val="nil"/>
              <w:left w:val="nil"/>
              <w:bottom w:val="single" w:color="auto" w:sz="4" w:space="0"/>
              <w:right w:val="single" w:color="auto" w:sz="4" w:space="0"/>
            </w:tcBorders>
            <w:noWrap w:val="0"/>
            <w:vAlign w:val="center"/>
          </w:tcPr>
          <w:p w14:paraId="784DE57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违反条款：第二十一条、第二十二条；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处罚条款：第八十一条第（五）项，责令改正，处1万元以上5万元以下的罚款。</w:t>
            </w:r>
          </w:p>
        </w:tc>
        <w:tc>
          <w:tcPr>
            <w:tcW w:w="864" w:type="dxa"/>
            <w:gridSpan w:val="2"/>
            <w:tcBorders>
              <w:top w:val="nil"/>
              <w:left w:val="nil"/>
              <w:bottom w:val="single" w:color="auto" w:sz="4" w:space="0"/>
              <w:right w:val="single" w:color="auto" w:sz="4" w:space="0"/>
            </w:tcBorders>
            <w:noWrap w:val="0"/>
            <w:vAlign w:val="center"/>
          </w:tcPr>
          <w:p w14:paraId="6581DA1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62E7D11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7BDE9BDB">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未建立教育培训制度但定期开展教育培训，系数为0；2.建立教育培训制度但未定期开展教育培训，系数为2；3.未建立教育培训制度且未定期开展教育培训或存在重大质量问题或造成生产安全事故，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AD3EE4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6EDA3B2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97067B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330" w:hRule="atLeast"/>
        </w:trPr>
        <w:tc>
          <w:tcPr>
            <w:tcW w:w="612" w:type="dxa"/>
            <w:gridSpan w:val="2"/>
            <w:tcBorders>
              <w:top w:val="nil"/>
              <w:left w:val="single" w:color="auto" w:sz="4" w:space="0"/>
              <w:bottom w:val="single" w:color="auto" w:sz="4" w:space="0"/>
              <w:right w:val="single" w:color="auto" w:sz="4" w:space="0"/>
            </w:tcBorders>
            <w:noWrap/>
            <w:vAlign w:val="center"/>
          </w:tcPr>
          <w:p w14:paraId="2BD3974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11" w:type="dxa"/>
            <w:tcBorders>
              <w:top w:val="nil"/>
              <w:left w:val="nil"/>
              <w:bottom w:val="single" w:color="auto" w:sz="4" w:space="0"/>
              <w:right w:val="single" w:color="auto" w:sz="4" w:space="0"/>
            </w:tcBorders>
            <w:noWrap w:val="0"/>
            <w:vAlign w:val="center"/>
          </w:tcPr>
          <w:p w14:paraId="39A9FA6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建设单位将一个单位工程发包给两个以上的施工单位，或者将预拌混凝土直接发包</w:t>
            </w:r>
          </w:p>
        </w:tc>
        <w:tc>
          <w:tcPr>
            <w:tcW w:w="2793" w:type="dxa"/>
            <w:gridSpan w:val="2"/>
            <w:tcBorders>
              <w:top w:val="nil"/>
              <w:left w:val="nil"/>
              <w:bottom w:val="single" w:color="auto" w:sz="4" w:space="0"/>
              <w:right w:val="single" w:color="auto" w:sz="4" w:space="0"/>
            </w:tcBorders>
            <w:noWrap w:val="0"/>
            <w:vAlign w:val="center"/>
          </w:tcPr>
          <w:p w14:paraId="7822D90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违反条款：第二十四条；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处罚条款：第八十二条，责令改正，处单位工程合同价款百分之零点五以上百分之一以下的罚款。</w:t>
            </w:r>
          </w:p>
        </w:tc>
        <w:tc>
          <w:tcPr>
            <w:tcW w:w="864" w:type="dxa"/>
            <w:gridSpan w:val="2"/>
            <w:tcBorders>
              <w:top w:val="nil"/>
              <w:left w:val="nil"/>
              <w:bottom w:val="single" w:color="auto" w:sz="4" w:space="0"/>
              <w:right w:val="single" w:color="auto" w:sz="4" w:space="0"/>
            </w:tcBorders>
            <w:noWrap w:val="0"/>
            <w:vAlign w:val="center"/>
          </w:tcPr>
          <w:p w14:paraId="3DED30E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工程合同价款×0.5%</w:t>
            </w:r>
          </w:p>
        </w:tc>
        <w:tc>
          <w:tcPr>
            <w:tcW w:w="840" w:type="dxa"/>
            <w:tcBorders>
              <w:top w:val="nil"/>
              <w:left w:val="nil"/>
              <w:bottom w:val="single" w:color="auto" w:sz="4" w:space="0"/>
              <w:right w:val="single" w:color="auto" w:sz="4" w:space="0"/>
            </w:tcBorders>
            <w:noWrap/>
            <w:vAlign w:val="center"/>
          </w:tcPr>
          <w:p w14:paraId="2BFD023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F4C5B5F">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1.承包单位应当为乙级资质，系数为0；2.承包单位应当为甲级资质，系数为0.5；3.存在重大质量问题或造成生产安全事故，系数为1。4.存在基准2.1.3规定情形的，系数按照相关规定确定（基准2.1.3.5不适用）。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5B35C3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罚款金额=工程合同价款×0.5%×（1+情节系数）</w:t>
            </w:r>
          </w:p>
        </w:tc>
        <w:tc>
          <w:tcPr>
            <w:tcW w:w="1973" w:type="dxa"/>
            <w:gridSpan w:val="2"/>
            <w:tcBorders>
              <w:top w:val="nil"/>
              <w:left w:val="nil"/>
              <w:bottom w:val="single" w:color="auto" w:sz="4" w:space="0"/>
              <w:right w:val="single" w:color="auto" w:sz="4" w:space="0"/>
            </w:tcBorders>
            <w:noWrap w:val="0"/>
            <w:vAlign w:val="center"/>
          </w:tcPr>
          <w:p w14:paraId="2F62E28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BCD174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14:paraId="7AFDDD4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11" w:type="dxa"/>
            <w:tcBorders>
              <w:top w:val="nil"/>
              <w:left w:val="nil"/>
              <w:bottom w:val="single" w:color="auto" w:sz="4" w:space="0"/>
              <w:right w:val="single" w:color="auto" w:sz="4" w:space="0"/>
            </w:tcBorders>
            <w:noWrap w:val="0"/>
            <w:vAlign w:val="center"/>
          </w:tcPr>
          <w:p w14:paraId="4BF4194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施工单位允许其他单位或者个人通过挂靠方式，以本单位的名义承揽工程</w:t>
            </w:r>
          </w:p>
        </w:tc>
        <w:tc>
          <w:tcPr>
            <w:tcW w:w="2793" w:type="dxa"/>
            <w:gridSpan w:val="2"/>
            <w:tcBorders>
              <w:top w:val="nil"/>
              <w:left w:val="nil"/>
              <w:bottom w:val="single" w:color="auto" w:sz="4" w:space="0"/>
              <w:right w:val="single" w:color="auto" w:sz="4" w:space="0"/>
            </w:tcBorders>
            <w:noWrap w:val="0"/>
            <w:vAlign w:val="center"/>
          </w:tcPr>
          <w:p w14:paraId="5CC8628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处罚条款：第八十四条第一款，责令改正，没收违法所得，处工程合同价款百分之二以上百分之四以下的罚款；可以责令停业整顿，降低资质等级；情节严重的，吊销资质证书。</w:t>
            </w:r>
          </w:p>
        </w:tc>
        <w:tc>
          <w:tcPr>
            <w:tcW w:w="864" w:type="dxa"/>
            <w:gridSpan w:val="2"/>
            <w:tcBorders>
              <w:top w:val="nil"/>
              <w:left w:val="nil"/>
              <w:bottom w:val="single" w:color="auto" w:sz="4" w:space="0"/>
              <w:right w:val="single" w:color="auto" w:sz="4" w:space="0"/>
            </w:tcBorders>
            <w:noWrap w:val="0"/>
            <w:vAlign w:val="center"/>
          </w:tcPr>
          <w:p w14:paraId="10F5DE2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工程合同价款×2%</w:t>
            </w:r>
          </w:p>
        </w:tc>
        <w:tc>
          <w:tcPr>
            <w:tcW w:w="840" w:type="dxa"/>
            <w:tcBorders>
              <w:top w:val="nil"/>
              <w:left w:val="nil"/>
              <w:bottom w:val="single" w:color="auto" w:sz="4" w:space="0"/>
              <w:right w:val="single" w:color="auto" w:sz="4" w:space="0"/>
            </w:tcBorders>
            <w:noWrap/>
            <w:vAlign w:val="center"/>
          </w:tcPr>
          <w:p w14:paraId="64394C9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6899D389">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有违法所得的，没收违法所得，并处以下罚款：1.工程合同价款＜1000万，系数为0；2.1000万≤工程合同价款＜5000万，系数为0.5；3.5000万≤工程合同价款，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2AF50A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罚款金额=工程合同价款×2%×（1+情节系数）</w:t>
            </w:r>
          </w:p>
        </w:tc>
        <w:tc>
          <w:tcPr>
            <w:tcW w:w="1973" w:type="dxa"/>
            <w:gridSpan w:val="2"/>
            <w:tcBorders>
              <w:top w:val="nil"/>
              <w:left w:val="nil"/>
              <w:bottom w:val="single" w:color="auto" w:sz="4" w:space="0"/>
              <w:right w:val="single" w:color="auto" w:sz="4" w:space="0"/>
            </w:tcBorders>
            <w:noWrap w:val="0"/>
            <w:vAlign w:val="center"/>
          </w:tcPr>
          <w:p w14:paraId="5FAD8F1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14:paraId="2B497B1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5F77B35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11" w:type="dxa"/>
            <w:tcBorders>
              <w:top w:val="nil"/>
              <w:left w:val="nil"/>
              <w:bottom w:val="single" w:color="auto" w:sz="4" w:space="0"/>
              <w:right w:val="single" w:color="auto" w:sz="4" w:space="0"/>
            </w:tcBorders>
            <w:noWrap w:val="0"/>
            <w:vAlign w:val="center"/>
          </w:tcPr>
          <w:p w14:paraId="59F203A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施工单位在工程竣工验收中将不合格工程按照合格验收</w:t>
            </w:r>
          </w:p>
        </w:tc>
        <w:tc>
          <w:tcPr>
            <w:tcW w:w="2793" w:type="dxa"/>
            <w:gridSpan w:val="2"/>
            <w:tcBorders>
              <w:top w:val="nil"/>
              <w:left w:val="nil"/>
              <w:bottom w:val="single" w:color="auto" w:sz="4" w:space="0"/>
              <w:right w:val="single" w:color="auto" w:sz="4" w:space="0"/>
            </w:tcBorders>
            <w:noWrap w:val="0"/>
            <w:vAlign w:val="center"/>
          </w:tcPr>
          <w:p w14:paraId="4AAB543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违反条款：第四十八条第二款；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处罚条款：第九十四条第一款，责令改正，处工程合同价款百分之一以上百分之二以下的罚款。</w:t>
            </w:r>
          </w:p>
        </w:tc>
        <w:tc>
          <w:tcPr>
            <w:tcW w:w="864" w:type="dxa"/>
            <w:gridSpan w:val="2"/>
            <w:tcBorders>
              <w:top w:val="nil"/>
              <w:left w:val="nil"/>
              <w:bottom w:val="single" w:color="auto" w:sz="4" w:space="0"/>
              <w:right w:val="single" w:color="auto" w:sz="4" w:space="0"/>
            </w:tcBorders>
            <w:noWrap w:val="0"/>
            <w:vAlign w:val="center"/>
          </w:tcPr>
          <w:p w14:paraId="1C6002C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工程合同价款×1%</w:t>
            </w:r>
          </w:p>
        </w:tc>
        <w:tc>
          <w:tcPr>
            <w:tcW w:w="840" w:type="dxa"/>
            <w:tcBorders>
              <w:top w:val="nil"/>
              <w:left w:val="nil"/>
              <w:bottom w:val="single" w:color="auto" w:sz="4" w:space="0"/>
              <w:right w:val="single" w:color="auto" w:sz="4" w:space="0"/>
            </w:tcBorders>
            <w:noWrap/>
            <w:vAlign w:val="center"/>
          </w:tcPr>
          <w:p w14:paraId="4495EA2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049F7458">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工程合同价款＜1000万，系数为0；2.1000万≤工程合同价款＜3000万，系数为0.25；3.3000万≤工程合同价款＜5000万，系数为0.5；4.5000万≤工程合同价款，系数为0.75；5.存在重大质量问题或造成生产安全事故，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DCBBD4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罚款金额=工程合同价款×1%×（1+情节系数）</w:t>
            </w:r>
          </w:p>
        </w:tc>
        <w:tc>
          <w:tcPr>
            <w:tcW w:w="1973" w:type="dxa"/>
            <w:gridSpan w:val="2"/>
            <w:tcBorders>
              <w:top w:val="nil"/>
              <w:left w:val="nil"/>
              <w:bottom w:val="single" w:color="auto" w:sz="4" w:space="0"/>
              <w:right w:val="single" w:color="auto" w:sz="4" w:space="0"/>
            </w:tcBorders>
            <w:noWrap w:val="0"/>
            <w:vAlign w:val="center"/>
          </w:tcPr>
          <w:p w14:paraId="5C31EC5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CE85F0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66AD3F6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11" w:type="dxa"/>
            <w:tcBorders>
              <w:top w:val="nil"/>
              <w:left w:val="nil"/>
              <w:bottom w:val="single" w:color="auto" w:sz="4" w:space="0"/>
              <w:right w:val="single" w:color="auto" w:sz="4" w:space="0"/>
            </w:tcBorders>
            <w:noWrap w:val="0"/>
            <w:vAlign w:val="center"/>
          </w:tcPr>
          <w:p w14:paraId="46F7DAB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监理单位未要求施工单位立即停工整改，或者施工单位拒不停工整改时未报告</w:t>
            </w:r>
          </w:p>
        </w:tc>
        <w:tc>
          <w:tcPr>
            <w:tcW w:w="2793" w:type="dxa"/>
            <w:gridSpan w:val="2"/>
            <w:tcBorders>
              <w:top w:val="nil"/>
              <w:left w:val="nil"/>
              <w:bottom w:val="single" w:color="auto" w:sz="4" w:space="0"/>
              <w:right w:val="single" w:color="auto" w:sz="4" w:space="0"/>
            </w:tcBorders>
            <w:noWrap w:val="0"/>
            <w:vAlign w:val="center"/>
          </w:tcPr>
          <w:p w14:paraId="0645E0B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违反条款：第四十三条第二款和第三款、第四十四条第二款、第四十五条；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处罚条款：第九十条第一款，责令改正，处1万元以上5万元以下的罚款。</w:t>
            </w:r>
          </w:p>
        </w:tc>
        <w:tc>
          <w:tcPr>
            <w:tcW w:w="864" w:type="dxa"/>
            <w:gridSpan w:val="2"/>
            <w:tcBorders>
              <w:top w:val="nil"/>
              <w:left w:val="nil"/>
              <w:bottom w:val="single" w:color="auto" w:sz="4" w:space="0"/>
              <w:right w:val="single" w:color="auto" w:sz="4" w:space="0"/>
            </w:tcBorders>
            <w:noWrap w:val="0"/>
            <w:vAlign w:val="center"/>
          </w:tcPr>
          <w:p w14:paraId="007BBA7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w:t>
            </w:r>
          </w:p>
        </w:tc>
        <w:tc>
          <w:tcPr>
            <w:tcW w:w="840" w:type="dxa"/>
            <w:tcBorders>
              <w:top w:val="nil"/>
              <w:left w:val="nil"/>
              <w:bottom w:val="single" w:color="auto" w:sz="4" w:space="0"/>
              <w:right w:val="single" w:color="auto" w:sz="4" w:space="0"/>
            </w:tcBorders>
            <w:noWrap/>
            <w:vAlign w:val="center"/>
          </w:tcPr>
          <w:p w14:paraId="5C79ED5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2EF44463">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涉及重要隐蔽单元工程和关键部位单元工程的，系数为0；2.涉及重要隐蔽单元工程和关键部位单元工程的，系数为2；3.存在重大质量问题或造成生产安全事故，系数为4。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CEBC13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罚款金额=10000×（1+情节系数）</w:t>
            </w:r>
          </w:p>
        </w:tc>
        <w:tc>
          <w:tcPr>
            <w:tcW w:w="1973" w:type="dxa"/>
            <w:gridSpan w:val="2"/>
            <w:tcBorders>
              <w:top w:val="nil"/>
              <w:left w:val="nil"/>
              <w:bottom w:val="single" w:color="auto" w:sz="4" w:space="0"/>
              <w:right w:val="single" w:color="auto" w:sz="4" w:space="0"/>
            </w:tcBorders>
            <w:noWrap w:val="0"/>
            <w:vAlign w:val="center"/>
          </w:tcPr>
          <w:p w14:paraId="4413C9E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4F86B5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710" w:hRule="atLeast"/>
        </w:trPr>
        <w:tc>
          <w:tcPr>
            <w:tcW w:w="612" w:type="dxa"/>
            <w:gridSpan w:val="2"/>
            <w:vMerge w:val="restart"/>
            <w:tcBorders>
              <w:top w:val="nil"/>
              <w:left w:val="single" w:color="auto" w:sz="4" w:space="0"/>
              <w:bottom w:val="single" w:color="auto" w:sz="4" w:space="0"/>
              <w:right w:val="single" w:color="auto" w:sz="4" w:space="0"/>
            </w:tcBorders>
            <w:noWrap/>
            <w:vAlign w:val="center"/>
          </w:tcPr>
          <w:p w14:paraId="34E8BB7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11" w:type="dxa"/>
            <w:vMerge w:val="restart"/>
            <w:tcBorders>
              <w:top w:val="nil"/>
              <w:left w:val="single" w:color="auto" w:sz="4" w:space="0"/>
              <w:bottom w:val="single" w:color="auto" w:sz="4" w:space="0"/>
              <w:right w:val="single" w:color="auto" w:sz="4" w:space="0"/>
            </w:tcBorders>
            <w:noWrap w:val="0"/>
            <w:vAlign w:val="center"/>
          </w:tcPr>
          <w:p w14:paraId="6A67F35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建设单位未按规定组织到货检验或者将不合格的建筑材料、建筑构配件和设备用于工程的</w:t>
            </w:r>
          </w:p>
        </w:tc>
        <w:tc>
          <w:tcPr>
            <w:tcW w:w="2793" w:type="dxa"/>
            <w:gridSpan w:val="2"/>
            <w:vMerge w:val="restart"/>
            <w:tcBorders>
              <w:top w:val="nil"/>
              <w:left w:val="single" w:color="auto" w:sz="4" w:space="0"/>
              <w:bottom w:val="single" w:color="auto" w:sz="4" w:space="0"/>
              <w:right w:val="single" w:color="auto" w:sz="4" w:space="0"/>
            </w:tcBorders>
            <w:noWrap w:val="0"/>
            <w:vAlign w:val="center"/>
          </w:tcPr>
          <w:p w14:paraId="77EBC9A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违反条款：第三十九条；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处罚条款：第八十六条，未组织到货检验的，责令改正，处10万以上20万以下的罚款；不合格且用于工程的，责令改正，处20万元以上50万元以下的罚款。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14:paraId="61F770F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100000（到货检验）</w:t>
            </w:r>
          </w:p>
        </w:tc>
        <w:tc>
          <w:tcPr>
            <w:tcW w:w="840" w:type="dxa"/>
            <w:tcBorders>
              <w:top w:val="nil"/>
              <w:left w:val="nil"/>
              <w:bottom w:val="single" w:color="auto" w:sz="4" w:space="0"/>
              <w:right w:val="single" w:color="auto" w:sz="4" w:space="0"/>
            </w:tcBorders>
            <w:noWrap/>
            <w:vAlign w:val="center"/>
          </w:tcPr>
          <w:p w14:paraId="7D2D870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41966DDB">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采购后未组织验货的货物价值＜300万元，系数为0；2.300万元≤采购后未组织验货的货物价值＜600万元，系数为0.2；3.600万元≤采购后未组织验货的货物价值＜900万元，系数为0.4；4.900万元≤采购后未组织验货的货物价值＜1200万元，系数为0.6；5.1200万元≤采购后未组织验货的货物价值＜1500万元，系数为0.8；6.1500万元≤采购后未组织验货的货物价值，系数为1；7.存在重大质量问题或造成生产安全事故，系数为1。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1B10782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vMerge w:val="restart"/>
            <w:tcBorders>
              <w:top w:val="nil"/>
              <w:left w:val="single" w:color="auto" w:sz="4" w:space="0"/>
              <w:bottom w:val="single" w:color="auto" w:sz="4" w:space="0"/>
              <w:right w:val="single" w:color="auto" w:sz="4" w:space="0"/>
            </w:tcBorders>
            <w:noWrap w:val="0"/>
            <w:vAlign w:val="center"/>
          </w:tcPr>
          <w:p w14:paraId="1F8F3C6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693C21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2090" w:hRule="atLeast"/>
        </w:trPr>
        <w:tc>
          <w:tcPr>
            <w:tcW w:w="612" w:type="dxa"/>
            <w:gridSpan w:val="2"/>
            <w:vMerge w:val="continue"/>
            <w:tcBorders>
              <w:top w:val="nil"/>
              <w:left w:val="single" w:color="auto" w:sz="4" w:space="0"/>
              <w:bottom w:val="single" w:color="auto" w:sz="4" w:space="0"/>
              <w:right w:val="single" w:color="auto" w:sz="4" w:space="0"/>
            </w:tcBorders>
            <w:noWrap w:val="0"/>
            <w:vAlign w:val="center"/>
          </w:tcPr>
          <w:p w14:paraId="3930DCD9">
            <w:pPr>
              <w:widowControl/>
              <w:jc w:val="left"/>
              <w:rPr>
                <w:rFonts w:hint="eastAsia" w:ascii="宋体" w:hAnsi="宋体" w:eastAsia="宋体" w:cs="宋体"/>
                <w:color w:val="auto"/>
                <w:kern w:val="0"/>
                <w:sz w:val="15"/>
                <w:szCs w:val="15"/>
                <w:highlight w:val="none"/>
              </w:rPr>
            </w:pPr>
          </w:p>
        </w:tc>
        <w:tc>
          <w:tcPr>
            <w:tcW w:w="1811" w:type="dxa"/>
            <w:vMerge w:val="continue"/>
            <w:tcBorders>
              <w:top w:val="nil"/>
              <w:left w:val="single" w:color="auto" w:sz="4" w:space="0"/>
              <w:bottom w:val="single" w:color="auto" w:sz="4" w:space="0"/>
              <w:right w:val="single" w:color="auto" w:sz="4" w:space="0"/>
            </w:tcBorders>
            <w:noWrap w:val="0"/>
            <w:vAlign w:val="center"/>
          </w:tcPr>
          <w:p w14:paraId="12146719">
            <w:pPr>
              <w:widowControl/>
              <w:jc w:val="left"/>
              <w:rPr>
                <w:rFonts w:hint="eastAsia" w:ascii="宋体" w:hAnsi="宋体" w:eastAsia="宋体" w:cs="宋体"/>
                <w:color w:val="auto"/>
                <w:kern w:val="0"/>
                <w:sz w:val="15"/>
                <w:szCs w:val="15"/>
                <w:highlight w:val="none"/>
              </w:rPr>
            </w:pPr>
          </w:p>
        </w:tc>
        <w:tc>
          <w:tcPr>
            <w:tcW w:w="2793" w:type="dxa"/>
            <w:gridSpan w:val="2"/>
            <w:vMerge w:val="continue"/>
            <w:tcBorders>
              <w:top w:val="nil"/>
              <w:left w:val="single" w:color="auto" w:sz="4" w:space="0"/>
              <w:bottom w:val="single" w:color="auto" w:sz="4" w:space="0"/>
              <w:right w:val="single" w:color="auto" w:sz="4" w:space="0"/>
            </w:tcBorders>
            <w:noWrap w:val="0"/>
            <w:vAlign w:val="center"/>
          </w:tcPr>
          <w:p w14:paraId="5DD3FCA3">
            <w:pPr>
              <w:widowControl/>
              <w:jc w:val="left"/>
              <w:rPr>
                <w:rFonts w:hint="eastAsia" w:ascii="宋体" w:hAnsi="宋体" w:eastAsia="宋体" w:cs="宋体"/>
                <w:color w:val="auto"/>
                <w:kern w:val="0"/>
                <w:sz w:val="15"/>
                <w:szCs w:val="15"/>
                <w:highlight w:val="none"/>
              </w:rPr>
            </w:pPr>
          </w:p>
        </w:tc>
        <w:tc>
          <w:tcPr>
            <w:tcW w:w="864" w:type="dxa"/>
            <w:gridSpan w:val="2"/>
            <w:tcBorders>
              <w:top w:val="nil"/>
              <w:left w:val="nil"/>
              <w:bottom w:val="single" w:color="auto" w:sz="4" w:space="0"/>
              <w:right w:val="single" w:color="auto" w:sz="4" w:space="0"/>
            </w:tcBorders>
            <w:noWrap w:val="0"/>
            <w:vAlign w:val="center"/>
          </w:tcPr>
          <w:p w14:paraId="617A6C5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200000</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（不合格）</w:t>
            </w:r>
          </w:p>
        </w:tc>
        <w:tc>
          <w:tcPr>
            <w:tcW w:w="840" w:type="dxa"/>
            <w:tcBorders>
              <w:top w:val="nil"/>
              <w:left w:val="nil"/>
              <w:bottom w:val="single" w:color="auto" w:sz="4" w:space="0"/>
              <w:right w:val="single" w:color="auto" w:sz="4" w:space="0"/>
            </w:tcBorders>
            <w:noWrap/>
            <w:vAlign w:val="center"/>
          </w:tcPr>
          <w:p w14:paraId="04E9FBA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40107CD">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用于工程的不合格建筑材料、建筑构配件和设备的价值＜300万元，系数为0；2.300万元≤用于工程的不合格建筑材料、建筑构配件和设备的价值＜600万元，系数为0.3；3.600万元≤用于工程的不合格建筑材料、建筑构配件和设备的价值＜900万元，系数为0.6；4.900万元≤用于工程的不合格建筑材料、建筑构配件和设备的价值＜1200万元，系数为0.9；5.1200万元≤用于工程的不合格建筑材料、建筑构配件和设备的价值＜1500万元，系数为1.2；6.1500万元≤用于工程的不合格建筑材料、建筑构配件和设备的价值，系数为1.5；7.存在重大质量问题或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667ECCC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vMerge w:val="continue"/>
            <w:tcBorders>
              <w:top w:val="nil"/>
              <w:left w:val="single" w:color="auto" w:sz="4" w:space="0"/>
              <w:bottom w:val="single" w:color="auto" w:sz="4" w:space="0"/>
              <w:right w:val="single" w:color="auto" w:sz="4" w:space="0"/>
            </w:tcBorders>
            <w:noWrap w:val="0"/>
            <w:vAlign w:val="center"/>
          </w:tcPr>
          <w:p w14:paraId="0323F4B9">
            <w:pPr>
              <w:widowControl/>
              <w:jc w:val="left"/>
              <w:rPr>
                <w:rFonts w:hint="eastAsia" w:ascii="宋体" w:hAnsi="宋体" w:eastAsia="宋体" w:cs="宋体"/>
                <w:color w:val="auto"/>
                <w:kern w:val="0"/>
                <w:sz w:val="15"/>
                <w:szCs w:val="15"/>
                <w:highlight w:val="none"/>
              </w:rPr>
            </w:pPr>
          </w:p>
        </w:tc>
      </w:tr>
      <w:tr w14:paraId="6F8B078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520" w:hRule="atLeast"/>
        </w:trPr>
        <w:tc>
          <w:tcPr>
            <w:tcW w:w="612" w:type="dxa"/>
            <w:gridSpan w:val="2"/>
            <w:tcBorders>
              <w:top w:val="nil"/>
              <w:left w:val="single" w:color="auto" w:sz="4" w:space="0"/>
              <w:bottom w:val="single" w:color="auto" w:sz="4" w:space="0"/>
              <w:right w:val="single" w:color="auto" w:sz="4" w:space="0"/>
            </w:tcBorders>
            <w:noWrap/>
            <w:vAlign w:val="center"/>
          </w:tcPr>
          <w:p w14:paraId="4B72D18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11" w:type="dxa"/>
            <w:tcBorders>
              <w:top w:val="nil"/>
              <w:left w:val="nil"/>
              <w:bottom w:val="single" w:color="auto" w:sz="4" w:space="0"/>
              <w:right w:val="single" w:color="auto" w:sz="4" w:space="0"/>
            </w:tcBorders>
            <w:noWrap w:val="0"/>
            <w:vAlign w:val="center"/>
          </w:tcPr>
          <w:p w14:paraId="407927D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预拌混凝土生产单位未进行配合比设计或者未按照配合比通知单生产、使用未经检验或者检验不合格的原材料、供应未经验收或者验收不合格的预拌混凝土</w:t>
            </w:r>
          </w:p>
        </w:tc>
        <w:tc>
          <w:tcPr>
            <w:tcW w:w="2793" w:type="dxa"/>
            <w:gridSpan w:val="2"/>
            <w:tcBorders>
              <w:top w:val="nil"/>
              <w:left w:val="nil"/>
              <w:bottom w:val="single" w:color="auto" w:sz="4" w:space="0"/>
              <w:right w:val="single" w:color="auto" w:sz="4" w:space="0"/>
            </w:tcBorders>
            <w:noWrap w:val="0"/>
            <w:vAlign w:val="center"/>
          </w:tcPr>
          <w:p w14:paraId="04F0361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处罚条款：第七十九条，责令改正，处10万元以上20万元以下的罚款；情节严重的，责令停业整顿或者吊销资质证书。</w:t>
            </w:r>
          </w:p>
        </w:tc>
        <w:tc>
          <w:tcPr>
            <w:tcW w:w="864" w:type="dxa"/>
            <w:gridSpan w:val="2"/>
            <w:tcBorders>
              <w:top w:val="nil"/>
              <w:left w:val="nil"/>
              <w:bottom w:val="single" w:color="auto" w:sz="4" w:space="0"/>
              <w:right w:val="single" w:color="auto" w:sz="4" w:space="0"/>
            </w:tcBorders>
            <w:noWrap w:val="0"/>
            <w:vAlign w:val="center"/>
          </w:tcPr>
          <w:p w14:paraId="6EAC59B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ign w:val="center"/>
          </w:tcPr>
          <w:p w14:paraId="1B759D4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0164BD48">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不符合要求预拌混凝土1批次，系数为0；每增加1批次，系数加0.2；不符合要求预拌混凝土≥6批次，系数为1。2.存在重大质量问题或造成生产安全事故，系数为1。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E82048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2778E47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存在以下情形之一的，可视为情节严重：1.发生一般及以上安全事故的；2.经执法部门处罚后，一年度内再次发生同类型违法行为。拟作出停业整顿、降低资质等级、吊销资质证书的，在作出处罚决定前，要邀请行业主管部门共同会商。</w:t>
            </w:r>
          </w:p>
        </w:tc>
      </w:tr>
      <w:tr w14:paraId="5E6FB5E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58FC716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11" w:type="dxa"/>
            <w:tcBorders>
              <w:top w:val="nil"/>
              <w:left w:val="nil"/>
              <w:bottom w:val="single" w:color="auto" w:sz="4" w:space="0"/>
              <w:right w:val="single" w:color="auto" w:sz="4" w:space="0"/>
            </w:tcBorders>
            <w:noWrap w:val="0"/>
            <w:vAlign w:val="center"/>
          </w:tcPr>
          <w:p w14:paraId="47555B1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合同双方订立背离备案合同实质性内容协议</w:t>
            </w:r>
          </w:p>
        </w:tc>
        <w:tc>
          <w:tcPr>
            <w:tcW w:w="2793" w:type="dxa"/>
            <w:gridSpan w:val="2"/>
            <w:tcBorders>
              <w:top w:val="nil"/>
              <w:left w:val="nil"/>
              <w:bottom w:val="single" w:color="auto" w:sz="4" w:space="0"/>
              <w:right w:val="single" w:color="auto" w:sz="4" w:space="0"/>
            </w:tcBorders>
            <w:noWrap w:val="0"/>
            <w:vAlign w:val="center"/>
          </w:tcPr>
          <w:p w14:paraId="1340C93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违反条款：第五十八条第三款；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处罚条款：第九十八条，责令改正，可以处合同价款百分之零点五以上百分之一以下的罚款。</w:t>
            </w:r>
          </w:p>
        </w:tc>
        <w:tc>
          <w:tcPr>
            <w:tcW w:w="864" w:type="dxa"/>
            <w:gridSpan w:val="2"/>
            <w:tcBorders>
              <w:top w:val="nil"/>
              <w:left w:val="nil"/>
              <w:bottom w:val="single" w:color="auto" w:sz="4" w:space="0"/>
              <w:right w:val="single" w:color="auto" w:sz="4" w:space="0"/>
            </w:tcBorders>
            <w:noWrap w:val="0"/>
            <w:vAlign w:val="center"/>
          </w:tcPr>
          <w:p w14:paraId="6BC8C44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合同价款×0.5%</w:t>
            </w:r>
          </w:p>
        </w:tc>
        <w:tc>
          <w:tcPr>
            <w:tcW w:w="840" w:type="dxa"/>
            <w:tcBorders>
              <w:top w:val="nil"/>
              <w:left w:val="nil"/>
              <w:bottom w:val="single" w:color="auto" w:sz="4" w:space="0"/>
              <w:right w:val="single" w:color="auto" w:sz="4" w:space="0"/>
            </w:tcBorders>
            <w:noWrap/>
            <w:vAlign w:val="center"/>
          </w:tcPr>
          <w:p w14:paraId="68BDEAB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66DE219F">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签订合同价款＜1000万元，系数为0；2.1000万元≤签订合同价款＜3000万元，系数为0.25；3.3000万元≤签订合同价款＜5000万元，系数为0.5；4.5000万元≤签订合同价款＜7000万元，系数为0.75；5.7000万元≤签订合同价款或存在重大质量问题或造成生产安全事故，系数为1。6.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60B1889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罚款金额=合同价款×0.5%×（1+情节系数）</w:t>
            </w:r>
          </w:p>
        </w:tc>
        <w:tc>
          <w:tcPr>
            <w:tcW w:w="1973" w:type="dxa"/>
            <w:gridSpan w:val="2"/>
            <w:tcBorders>
              <w:top w:val="nil"/>
              <w:left w:val="nil"/>
              <w:bottom w:val="single" w:color="auto" w:sz="4" w:space="0"/>
              <w:right w:val="single" w:color="auto" w:sz="4" w:space="0"/>
            </w:tcBorders>
            <w:noWrap w:val="0"/>
            <w:vAlign w:val="center"/>
          </w:tcPr>
          <w:p w14:paraId="613EFAB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009C64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640" w:hRule="atLeast"/>
        </w:trPr>
        <w:tc>
          <w:tcPr>
            <w:tcW w:w="612" w:type="dxa"/>
            <w:gridSpan w:val="2"/>
            <w:tcBorders>
              <w:top w:val="nil"/>
              <w:left w:val="single" w:color="auto" w:sz="4" w:space="0"/>
              <w:bottom w:val="single" w:color="auto" w:sz="4" w:space="0"/>
              <w:right w:val="single" w:color="auto" w:sz="4" w:space="0"/>
            </w:tcBorders>
            <w:noWrap/>
            <w:vAlign w:val="center"/>
          </w:tcPr>
          <w:p w14:paraId="4317921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11" w:type="dxa"/>
            <w:tcBorders>
              <w:top w:val="nil"/>
              <w:left w:val="nil"/>
              <w:bottom w:val="single" w:color="auto" w:sz="4" w:space="0"/>
              <w:right w:val="single" w:color="auto" w:sz="4" w:space="0"/>
            </w:tcBorders>
            <w:noWrap w:val="0"/>
            <w:vAlign w:val="center"/>
          </w:tcPr>
          <w:p w14:paraId="0AF2BE9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给予单位罚款处罚的，建设单位、勘察、设计、施工、监理单位直接负责的主管人员和其他直接责任人进行处罚</w:t>
            </w:r>
          </w:p>
        </w:tc>
        <w:tc>
          <w:tcPr>
            <w:tcW w:w="2793" w:type="dxa"/>
            <w:gridSpan w:val="2"/>
            <w:tcBorders>
              <w:top w:val="nil"/>
              <w:left w:val="nil"/>
              <w:bottom w:val="single" w:color="auto" w:sz="4" w:space="0"/>
              <w:right w:val="single" w:color="auto" w:sz="4" w:space="0"/>
            </w:tcBorders>
            <w:noWrap w:val="0"/>
            <w:vAlign w:val="center"/>
          </w:tcPr>
          <w:p w14:paraId="0D6DC6D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违反条款：第一百零二条；</w:t>
            </w:r>
            <w:r>
              <w:rPr>
                <w:rFonts w:hint="eastAsia" w:ascii="宋体" w:hAnsi="宋体" w:cs="宋体"/>
                <w:color w:val="auto"/>
                <w:kern w:val="0"/>
                <w:sz w:val="15"/>
                <w:szCs w:val="15"/>
                <w:highlight w:val="none"/>
                <w:lang w:eastAsia="zh-CN"/>
              </w:rPr>
              <w:t>《建设工程质量管理条例》第七十三条；《水利工程建设监理规定》第四十一条；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处罚条款：第一百零二条，处单位罚款数额百分之五以上百分之十以下的罚款</w:t>
            </w:r>
            <w:r>
              <w:rPr>
                <w:rFonts w:hint="eastAsia" w:ascii="宋体" w:hAnsi="宋体" w:cs="宋体"/>
                <w:color w:val="auto"/>
                <w:kern w:val="0"/>
                <w:sz w:val="15"/>
                <w:szCs w:val="15"/>
                <w:highlight w:val="none"/>
                <w:lang w:eastAsia="zh-CN"/>
              </w:rPr>
              <w:t>；《建设工程质量管理条例》第七十三条，对单位直接负责的主管人员和其他直接责任人员处单位罚款数额5%以上10%以下的罚款；《水利工程建设监理规定》第四十一条，对单位直接负责的主管人员和其他直接责任人员处单位罚款数额5%以上10%以下的罚款。</w:t>
            </w:r>
          </w:p>
        </w:tc>
        <w:tc>
          <w:tcPr>
            <w:tcW w:w="864" w:type="dxa"/>
            <w:gridSpan w:val="2"/>
            <w:tcBorders>
              <w:top w:val="nil"/>
              <w:left w:val="nil"/>
              <w:bottom w:val="single" w:color="auto" w:sz="4" w:space="0"/>
              <w:right w:val="single" w:color="auto" w:sz="4" w:space="0"/>
            </w:tcBorders>
            <w:noWrap w:val="0"/>
            <w:vAlign w:val="center"/>
          </w:tcPr>
          <w:p w14:paraId="29FEDE8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单位罚款×5%</w:t>
            </w:r>
          </w:p>
        </w:tc>
        <w:tc>
          <w:tcPr>
            <w:tcW w:w="840" w:type="dxa"/>
            <w:tcBorders>
              <w:top w:val="nil"/>
              <w:left w:val="nil"/>
              <w:bottom w:val="single" w:color="auto" w:sz="4" w:space="0"/>
              <w:right w:val="single" w:color="auto" w:sz="4" w:space="0"/>
            </w:tcBorders>
            <w:noWrap/>
            <w:vAlign w:val="center"/>
          </w:tcPr>
          <w:p w14:paraId="480CA61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174F4831">
            <w:pPr>
              <w:widowControl/>
              <w:jc w:val="left"/>
              <w:rPr>
                <w:rFonts w:hint="eastAsia" w:ascii="宋体" w:hAnsi="宋体" w:eastAsia="宋体" w:cs="宋体"/>
                <w:b w:val="0"/>
                <w:bCs w:val="0"/>
                <w:color w:val="auto"/>
                <w:kern w:val="0"/>
                <w:sz w:val="15"/>
                <w:szCs w:val="15"/>
                <w:highlight w:val="none"/>
              </w:rPr>
            </w:pPr>
            <w:r>
              <w:rPr>
                <w:rFonts w:hint="eastAsia" w:ascii="宋体" w:hAnsi="宋体" w:eastAsia="宋体" w:cs="宋体"/>
                <w:b w:val="0"/>
                <w:bCs w:val="0"/>
                <w:color w:val="auto"/>
                <w:kern w:val="0"/>
                <w:sz w:val="15"/>
                <w:szCs w:val="15"/>
                <w:highlight w:val="none"/>
              </w:rPr>
              <w:t>1.被处罚单位为乙级或二级资质的，系数为0；2.被处罚单位为甲级或一级资质的，系数为0.5；3.存在重大质量问题或造成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5199B15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罚款金额=单位罚款×5%×（1+情节系数）</w:t>
            </w:r>
          </w:p>
        </w:tc>
        <w:tc>
          <w:tcPr>
            <w:tcW w:w="1973" w:type="dxa"/>
            <w:gridSpan w:val="2"/>
            <w:tcBorders>
              <w:top w:val="nil"/>
              <w:left w:val="nil"/>
              <w:bottom w:val="single" w:color="auto" w:sz="4" w:space="0"/>
              <w:right w:val="single" w:color="auto" w:sz="4" w:space="0"/>
            </w:tcBorders>
            <w:noWrap w:val="0"/>
            <w:vAlign w:val="center"/>
          </w:tcPr>
          <w:p w14:paraId="0830676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2844F9A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14:paraId="66B86340">
            <w:pPr>
              <w:widowControl/>
              <w:jc w:val="center"/>
              <w:outlineLvl w:val="0"/>
              <w:rPr>
                <w:rFonts w:ascii="Times New Roman" w:hAnsi="Times New Roman" w:eastAsia="宋体" w:cs="Times New Roman"/>
                <w:color w:val="auto"/>
                <w:kern w:val="0"/>
                <w:sz w:val="28"/>
                <w:szCs w:val="28"/>
                <w:highlight w:val="none"/>
              </w:rPr>
            </w:pPr>
            <w:bookmarkStart w:id="394" w:name="_Toc502764462"/>
            <w:bookmarkStart w:id="395" w:name="_Toc1157764916"/>
            <w:bookmarkStart w:id="396" w:name="_Toc218468904"/>
            <w:r>
              <w:rPr>
                <w:rFonts w:hint="eastAsia" w:ascii="黑体" w:hAnsi="黑体" w:eastAsia="黑体" w:cs="黑体"/>
                <w:color w:val="auto"/>
                <w:kern w:val="0"/>
                <w:sz w:val="28"/>
                <w:szCs w:val="28"/>
                <w:highlight w:val="none"/>
              </w:rPr>
              <w:t>水利建设工程安全生产管理方面</w:t>
            </w:r>
            <w:bookmarkEnd w:id="394"/>
            <w:bookmarkEnd w:id="395"/>
            <w:bookmarkEnd w:id="396"/>
          </w:p>
        </w:tc>
      </w:tr>
      <w:tr w14:paraId="1400038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2"/>
          <w:wAfter w:w="134" w:type="dxa"/>
          <w:trHeight w:val="20" w:hRule="atLeast"/>
        </w:trPr>
        <w:tc>
          <w:tcPr>
            <w:tcW w:w="14203" w:type="dxa"/>
            <w:gridSpan w:val="13"/>
            <w:tcBorders>
              <w:top w:val="nil"/>
              <w:left w:val="single" w:color="auto" w:sz="4" w:space="0"/>
              <w:bottom w:val="single" w:color="auto" w:sz="4" w:space="0"/>
              <w:right w:val="single" w:color="auto" w:sz="4" w:space="0"/>
            </w:tcBorders>
            <w:noWrap/>
            <w:vAlign w:val="center"/>
          </w:tcPr>
          <w:p w14:paraId="06B16DD2">
            <w:pPr>
              <w:widowControl/>
              <w:jc w:val="center"/>
              <w:outlineLvl w:val="1"/>
              <w:rPr>
                <w:rFonts w:ascii="Times New Roman" w:hAnsi="Times New Roman" w:eastAsia="宋体" w:cs="Times New Roman"/>
                <w:color w:val="auto"/>
                <w:kern w:val="0"/>
                <w:szCs w:val="21"/>
                <w:highlight w:val="none"/>
              </w:rPr>
            </w:pPr>
            <w:bookmarkStart w:id="397" w:name="_Toc218468905"/>
            <w:bookmarkStart w:id="398" w:name="_Toc1713395972"/>
            <w:bookmarkStart w:id="399" w:name="_Toc421598412"/>
            <w:r>
              <w:rPr>
                <w:rFonts w:ascii="Times New Roman" w:hAnsi="Times New Roman" w:eastAsia="宋体" w:cs="Times New Roman"/>
                <w:b/>
                <w:bCs/>
                <w:color w:val="auto"/>
                <w:kern w:val="0"/>
                <w:szCs w:val="21"/>
                <w:highlight w:val="none"/>
              </w:rPr>
              <w:t>《建设工程安全生产管理条例》《水利工程建设监理规定》案由28项</w:t>
            </w:r>
            <w:bookmarkEnd w:id="397"/>
            <w:bookmarkEnd w:id="398"/>
            <w:bookmarkEnd w:id="399"/>
          </w:p>
        </w:tc>
      </w:tr>
      <w:tr w14:paraId="18FB6A7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483269F0">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w:t>
            </w:r>
          </w:p>
        </w:tc>
        <w:tc>
          <w:tcPr>
            <w:tcW w:w="1811" w:type="dxa"/>
            <w:tcBorders>
              <w:top w:val="nil"/>
              <w:left w:val="nil"/>
              <w:bottom w:val="single" w:color="auto" w:sz="4" w:space="0"/>
              <w:right w:val="single" w:color="auto" w:sz="4" w:space="0"/>
            </w:tcBorders>
            <w:noWrap w:val="0"/>
            <w:vAlign w:val="center"/>
          </w:tcPr>
          <w:p w14:paraId="1F519ADA">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水利工程建设监理单位未对施工组织设计中的安全技术措施或者专项施工方案进行审查</w:t>
            </w:r>
          </w:p>
        </w:tc>
        <w:tc>
          <w:tcPr>
            <w:tcW w:w="2793" w:type="dxa"/>
            <w:gridSpan w:val="2"/>
            <w:tcBorders>
              <w:top w:val="nil"/>
              <w:left w:val="nil"/>
              <w:bottom w:val="single" w:color="auto" w:sz="4" w:space="0"/>
              <w:right w:val="single" w:color="auto" w:sz="4" w:space="0"/>
            </w:tcBorders>
            <w:noWrap w:val="0"/>
            <w:vAlign w:val="center"/>
          </w:tcPr>
          <w:p w14:paraId="6DCB9EB0">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违反条款：《条例》第十四条第一款 、《规定》</w:t>
            </w:r>
            <w:r>
              <w:rPr>
                <w:rFonts w:hint="eastAsia" w:ascii="Times New Roman" w:hAnsi="Times New Roman" w:eastAsia="宋体" w:cs="Times New Roman"/>
                <w:strike w:val="0"/>
                <w:dstrike w:val="0"/>
                <w:color w:val="000000"/>
                <w:kern w:val="0"/>
                <w:sz w:val="15"/>
                <w:szCs w:val="15"/>
                <w:highlight w:val="none"/>
                <w:lang w:eastAsia="zh-CN"/>
              </w:rPr>
              <w:t>第二十四条</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处罚条款：《条例》第五十七条第（一）项，责令限期改正；逾期未改正的，责令停业整顿，并处10万元以上30万元以下的罚款；情节严重的，降低资质等级，直至吊销资质证书。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14:paraId="1D1D1C6E">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14:paraId="25719872">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412E13AD">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176D703">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1B86B323">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45A9538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5A1796B7">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2</w:t>
            </w:r>
          </w:p>
        </w:tc>
        <w:tc>
          <w:tcPr>
            <w:tcW w:w="1811" w:type="dxa"/>
            <w:tcBorders>
              <w:top w:val="nil"/>
              <w:left w:val="nil"/>
              <w:bottom w:val="single" w:color="auto" w:sz="4" w:space="0"/>
              <w:right w:val="single" w:color="auto" w:sz="4" w:space="0"/>
            </w:tcBorders>
            <w:noWrap w:val="0"/>
            <w:vAlign w:val="center"/>
          </w:tcPr>
          <w:p w14:paraId="19683FD7">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水利工程建设监理单位发现安全事故隐患未及时要求施工单位整改或者暂时停止施工</w:t>
            </w:r>
          </w:p>
        </w:tc>
        <w:tc>
          <w:tcPr>
            <w:tcW w:w="2793" w:type="dxa"/>
            <w:gridSpan w:val="2"/>
            <w:tcBorders>
              <w:top w:val="nil"/>
              <w:left w:val="nil"/>
              <w:bottom w:val="single" w:color="auto" w:sz="4" w:space="0"/>
              <w:right w:val="single" w:color="auto" w:sz="4" w:space="0"/>
            </w:tcBorders>
            <w:noWrap w:val="0"/>
            <w:vAlign w:val="center"/>
          </w:tcPr>
          <w:p w14:paraId="444385AD">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违反条款：《条例》第十四条第二款 、《规定》</w:t>
            </w:r>
            <w:r>
              <w:rPr>
                <w:rFonts w:hint="eastAsia" w:ascii="Times New Roman" w:hAnsi="Times New Roman" w:eastAsia="宋体" w:cs="Times New Roman"/>
                <w:color w:val="000000"/>
                <w:kern w:val="0"/>
                <w:sz w:val="15"/>
                <w:szCs w:val="15"/>
                <w:highlight w:val="none"/>
                <w:lang w:eastAsia="zh-CN"/>
              </w:rPr>
              <w:t>第二十五条第一款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处罚条款：《条例》第五十七条第（二）项，责令限期改正；逾期未改正的，责令停业整顿，并处10万元以上30万元以下的罚款；情节严重的，降低资质等级，直至吊销资质证书。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14:paraId="14F0A12C">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14:paraId="1D95104E">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285989EE">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2821D17">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493E0B6E">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48C2404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61564829">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3</w:t>
            </w:r>
          </w:p>
        </w:tc>
        <w:tc>
          <w:tcPr>
            <w:tcW w:w="1811" w:type="dxa"/>
            <w:tcBorders>
              <w:top w:val="nil"/>
              <w:left w:val="nil"/>
              <w:bottom w:val="single" w:color="auto" w:sz="4" w:space="0"/>
              <w:right w:val="single" w:color="auto" w:sz="4" w:space="0"/>
            </w:tcBorders>
            <w:noWrap w:val="0"/>
            <w:vAlign w:val="center"/>
          </w:tcPr>
          <w:p w14:paraId="71DFA0D3">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水利工程建设监理单位发现施工单位拒不整改或者不停止施工，未及时报告</w:t>
            </w:r>
          </w:p>
        </w:tc>
        <w:tc>
          <w:tcPr>
            <w:tcW w:w="2793" w:type="dxa"/>
            <w:gridSpan w:val="2"/>
            <w:tcBorders>
              <w:top w:val="nil"/>
              <w:left w:val="nil"/>
              <w:bottom w:val="single" w:color="auto" w:sz="4" w:space="0"/>
              <w:right w:val="single" w:color="auto" w:sz="4" w:space="0"/>
            </w:tcBorders>
            <w:noWrap w:val="0"/>
            <w:vAlign w:val="center"/>
          </w:tcPr>
          <w:p w14:paraId="21F0D3DE">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违反条款：《条例》第十四条第二款 、《规定》</w:t>
            </w:r>
            <w:r>
              <w:rPr>
                <w:rFonts w:hint="eastAsia" w:ascii="Times New Roman" w:hAnsi="Times New Roman" w:eastAsia="宋体" w:cs="Times New Roman"/>
                <w:color w:val="000000"/>
                <w:kern w:val="0"/>
                <w:sz w:val="15"/>
                <w:szCs w:val="15"/>
                <w:highlight w:val="none"/>
                <w:lang w:eastAsia="zh-CN"/>
              </w:rPr>
              <w:t>第二十五条第</w:t>
            </w:r>
            <w:r>
              <w:rPr>
                <w:rFonts w:hint="eastAsia" w:ascii="Times New Roman" w:hAnsi="Times New Roman" w:cs="Times New Roman"/>
                <w:color w:val="000000"/>
                <w:kern w:val="0"/>
                <w:sz w:val="15"/>
                <w:szCs w:val="15"/>
                <w:highlight w:val="none"/>
                <w:lang w:eastAsia="zh-CN"/>
              </w:rPr>
              <w:t>二</w:t>
            </w:r>
            <w:r>
              <w:rPr>
                <w:rFonts w:hint="eastAsia" w:ascii="Times New Roman" w:hAnsi="Times New Roman" w:eastAsia="宋体" w:cs="Times New Roman"/>
                <w:color w:val="000000"/>
                <w:kern w:val="0"/>
                <w:sz w:val="15"/>
                <w:szCs w:val="15"/>
                <w:highlight w:val="none"/>
                <w:lang w:eastAsia="zh-CN"/>
              </w:rPr>
              <w:t>款</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处罚条款：《条例》第五十七条第（三）项，责令限期改正；逾期未改正的，责令停业整顿，并处10万元以上30万元以下的罚款；情节严重的，降低资质等级，直至吊销资质证书。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14:paraId="4CA983DF">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14:paraId="64020727">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5014FA09">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逾期改正时间＜2天，系数为0；2.2天≤逾期改正时间＜4天，系数为0.4；3.4天≤逾期改正时间＜6天，系数为0.8；4.6天≤逾期改正时间＜8天，系数为1.2；5.8天≤逾期改正时间＜10天，系数为1.6；6.10天≤逾期改正时间，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30ECB95">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317D05EC">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73A8BF0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33EBAE0E">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4</w:t>
            </w:r>
          </w:p>
        </w:tc>
        <w:tc>
          <w:tcPr>
            <w:tcW w:w="1811" w:type="dxa"/>
            <w:tcBorders>
              <w:top w:val="nil"/>
              <w:left w:val="nil"/>
              <w:bottom w:val="single" w:color="auto" w:sz="4" w:space="0"/>
              <w:right w:val="single" w:color="auto" w:sz="4" w:space="0"/>
            </w:tcBorders>
            <w:noWrap w:val="0"/>
            <w:vAlign w:val="center"/>
          </w:tcPr>
          <w:p w14:paraId="4EA75B20">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水利工程建设监理单位未依照法律、法规和工程建设强制性标准实施监理</w:t>
            </w:r>
          </w:p>
        </w:tc>
        <w:tc>
          <w:tcPr>
            <w:tcW w:w="2793" w:type="dxa"/>
            <w:gridSpan w:val="2"/>
            <w:tcBorders>
              <w:top w:val="nil"/>
              <w:left w:val="nil"/>
              <w:bottom w:val="single" w:color="auto" w:sz="4" w:space="0"/>
              <w:right w:val="single" w:color="auto" w:sz="4" w:space="0"/>
            </w:tcBorders>
            <w:noWrap w:val="0"/>
            <w:vAlign w:val="center"/>
          </w:tcPr>
          <w:p w14:paraId="660AB882">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违反条款：《条例》第十四条第三款 、《规定》</w:t>
            </w:r>
            <w:r>
              <w:rPr>
                <w:rFonts w:hint="eastAsia" w:ascii="Times New Roman" w:hAnsi="Times New Roman" w:eastAsia="宋体" w:cs="Times New Roman"/>
                <w:color w:val="000000"/>
                <w:kern w:val="0"/>
                <w:sz w:val="15"/>
                <w:szCs w:val="15"/>
                <w:highlight w:val="none"/>
                <w:lang w:eastAsia="zh-CN"/>
              </w:rPr>
              <w:t>第六条</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处罚条款：《条例》第五十七条第（四）项，责令限期改正；逾期未改正的，责令停业整顿，并处10万元以上30万元以下的罚款；情节严重的，降低资质等级，直至吊销资质证书。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14:paraId="321DAE98">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14:paraId="0C8747C5">
            <w:pPr>
              <w:widowControl/>
              <w:jc w:val="center"/>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159DB855">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1.涉及1处法律法规条款或强制性条文，系数为0；2.涉及2处法律法规条款或强制性条文，系数为0.4；3.涉及3处法律法规条款或强制性条文，系数为0.8；4.涉及4处法律法规条款或强制性条文，系数为1.2；5.涉及5处法律法规条款或强制性条文，系数为1.6；6.涉及6处及以上法律法规条款或强制性条文，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B443D1A">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01F7918B">
            <w:pPr>
              <w:widowControl/>
              <w:jc w:val="left"/>
              <w:rPr>
                <w:rFonts w:hint="eastAsia" w:ascii="宋体" w:hAnsi="宋体" w:eastAsia="宋体" w:cs="宋体"/>
                <w:color w:val="auto"/>
                <w:kern w:val="0"/>
                <w:sz w:val="15"/>
                <w:szCs w:val="15"/>
                <w:highlight w:val="none"/>
                <w:lang w:val="en-US" w:eastAsia="zh-CN" w:bidi="ar-SA"/>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746E558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760" w:hRule="atLeast"/>
        </w:trPr>
        <w:tc>
          <w:tcPr>
            <w:tcW w:w="612" w:type="dxa"/>
            <w:gridSpan w:val="2"/>
            <w:tcBorders>
              <w:top w:val="nil"/>
              <w:left w:val="single" w:color="auto" w:sz="4" w:space="0"/>
              <w:bottom w:val="single" w:color="auto" w:sz="4" w:space="0"/>
              <w:right w:val="single" w:color="auto" w:sz="4" w:space="0"/>
            </w:tcBorders>
            <w:noWrap/>
            <w:vAlign w:val="center"/>
          </w:tcPr>
          <w:p w14:paraId="5F95586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w:t>
            </w:r>
          </w:p>
        </w:tc>
        <w:tc>
          <w:tcPr>
            <w:tcW w:w="1811" w:type="dxa"/>
            <w:tcBorders>
              <w:top w:val="nil"/>
              <w:left w:val="nil"/>
              <w:bottom w:val="single" w:color="auto" w:sz="4" w:space="0"/>
              <w:right w:val="single" w:color="auto" w:sz="4" w:space="0"/>
            </w:tcBorders>
            <w:noWrap w:val="0"/>
            <w:vAlign w:val="center"/>
          </w:tcPr>
          <w:p w14:paraId="06A44E2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建设单位未提供建设工程安全生产作业环境及安全施工措施所需费用且逾期未改正</w:t>
            </w:r>
          </w:p>
        </w:tc>
        <w:tc>
          <w:tcPr>
            <w:tcW w:w="2793" w:type="dxa"/>
            <w:gridSpan w:val="2"/>
            <w:tcBorders>
              <w:top w:val="nil"/>
              <w:left w:val="nil"/>
              <w:bottom w:val="single" w:color="auto" w:sz="4" w:space="0"/>
              <w:right w:val="single" w:color="auto" w:sz="4" w:space="0"/>
            </w:tcBorders>
            <w:noWrap w:val="0"/>
            <w:vAlign w:val="center"/>
          </w:tcPr>
          <w:p w14:paraId="0A7929A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违反条款：《条例》第八条；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处罚条款：《条例》第五十四条第一款，责令限期改正；逾期未改正的，责令该建设工程停止施工。</w:t>
            </w:r>
          </w:p>
        </w:tc>
        <w:tc>
          <w:tcPr>
            <w:tcW w:w="864" w:type="dxa"/>
            <w:gridSpan w:val="2"/>
            <w:tcBorders>
              <w:top w:val="nil"/>
              <w:left w:val="nil"/>
              <w:bottom w:val="single" w:color="auto" w:sz="4" w:space="0"/>
              <w:right w:val="single" w:color="auto" w:sz="4" w:space="0"/>
            </w:tcBorders>
            <w:noWrap w:val="0"/>
            <w:vAlign w:val="center"/>
          </w:tcPr>
          <w:p w14:paraId="1B881F2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13D0B5C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4E7D66E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67CCC06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6F24CCC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r>
      <w:tr w14:paraId="6A382E0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474" w:hRule="atLeast"/>
        </w:trPr>
        <w:tc>
          <w:tcPr>
            <w:tcW w:w="612" w:type="dxa"/>
            <w:gridSpan w:val="2"/>
            <w:tcBorders>
              <w:top w:val="nil"/>
              <w:left w:val="single" w:color="auto" w:sz="4" w:space="0"/>
              <w:bottom w:val="single" w:color="auto" w:sz="4" w:space="0"/>
              <w:right w:val="single" w:color="auto" w:sz="4" w:space="0"/>
            </w:tcBorders>
            <w:noWrap/>
            <w:vAlign w:val="center"/>
          </w:tcPr>
          <w:p w14:paraId="713671E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6</w:t>
            </w:r>
          </w:p>
        </w:tc>
        <w:tc>
          <w:tcPr>
            <w:tcW w:w="1811" w:type="dxa"/>
            <w:tcBorders>
              <w:top w:val="nil"/>
              <w:left w:val="nil"/>
              <w:bottom w:val="single" w:color="auto" w:sz="4" w:space="0"/>
              <w:right w:val="single" w:color="auto" w:sz="4" w:space="0"/>
            </w:tcBorders>
            <w:noWrap w:val="0"/>
            <w:vAlign w:val="center"/>
          </w:tcPr>
          <w:p w14:paraId="3C125F6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建设单位对勘察、设计、施工、监理等单位提出不符合安全生产法律、法规和强制性标准规定的要求</w:t>
            </w:r>
          </w:p>
        </w:tc>
        <w:tc>
          <w:tcPr>
            <w:tcW w:w="2793" w:type="dxa"/>
            <w:gridSpan w:val="2"/>
            <w:tcBorders>
              <w:top w:val="nil"/>
              <w:left w:val="nil"/>
              <w:bottom w:val="single" w:color="auto" w:sz="4" w:space="0"/>
              <w:right w:val="single" w:color="auto" w:sz="4" w:space="0"/>
            </w:tcBorders>
            <w:noWrap w:val="0"/>
            <w:vAlign w:val="center"/>
          </w:tcPr>
          <w:p w14:paraId="6AF61CA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处罚条款：《条例》第五十五条第一款第（一）项，责令限期改正，处20万元以上50万元以下的罚款。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14:paraId="13DBA3C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200000 </w:t>
            </w:r>
          </w:p>
        </w:tc>
        <w:tc>
          <w:tcPr>
            <w:tcW w:w="840" w:type="dxa"/>
            <w:tcBorders>
              <w:top w:val="nil"/>
              <w:left w:val="nil"/>
              <w:bottom w:val="single" w:color="auto" w:sz="4" w:space="0"/>
              <w:right w:val="single" w:color="auto" w:sz="4" w:space="0"/>
            </w:tcBorders>
            <w:noWrap w:val="0"/>
            <w:vAlign w:val="center"/>
          </w:tcPr>
          <w:p w14:paraId="5777401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0D9BFCC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提出不符合相关规定要求的事项1个，系数为0；2.提出不符合相关规定要求的事项2个，系数为0.3；3.提出不符合相关规定要求的事项3个，系数为0.6；4.提出不符合相关规定要求的事项4个，系数为0.9；5.提出不符合相关规定要求的事项5个，系数为1.2；6.提出不符合相关规定要求的事项≥6个，系数为1.5；7.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6209FB6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14:paraId="3794AB9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4E273C3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85" w:hRule="atLeast"/>
        </w:trPr>
        <w:tc>
          <w:tcPr>
            <w:tcW w:w="612" w:type="dxa"/>
            <w:gridSpan w:val="2"/>
            <w:tcBorders>
              <w:top w:val="nil"/>
              <w:left w:val="single" w:color="auto" w:sz="4" w:space="0"/>
              <w:bottom w:val="single" w:color="auto" w:sz="4" w:space="0"/>
              <w:right w:val="single" w:color="auto" w:sz="4" w:space="0"/>
            </w:tcBorders>
            <w:noWrap/>
            <w:vAlign w:val="center"/>
          </w:tcPr>
          <w:p w14:paraId="532A1A7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7</w:t>
            </w:r>
          </w:p>
        </w:tc>
        <w:tc>
          <w:tcPr>
            <w:tcW w:w="1811" w:type="dxa"/>
            <w:tcBorders>
              <w:top w:val="nil"/>
              <w:left w:val="nil"/>
              <w:bottom w:val="single" w:color="auto" w:sz="4" w:space="0"/>
              <w:right w:val="single" w:color="auto" w:sz="4" w:space="0"/>
            </w:tcBorders>
            <w:noWrap w:val="0"/>
            <w:vAlign w:val="center"/>
          </w:tcPr>
          <w:p w14:paraId="2B7CD91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建设单位要求施工单位压缩合同约定的工期</w:t>
            </w:r>
          </w:p>
        </w:tc>
        <w:tc>
          <w:tcPr>
            <w:tcW w:w="2793" w:type="dxa"/>
            <w:gridSpan w:val="2"/>
            <w:tcBorders>
              <w:top w:val="nil"/>
              <w:left w:val="nil"/>
              <w:bottom w:val="single" w:color="auto" w:sz="4" w:space="0"/>
              <w:right w:val="single" w:color="auto" w:sz="4" w:space="0"/>
            </w:tcBorders>
            <w:noWrap w:val="0"/>
            <w:vAlign w:val="center"/>
          </w:tcPr>
          <w:p w14:paraId="19294EC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处罚条款：《条例》第五十五条第一款第（二）项，责令限期改正，处20万元以上50万元以下的罚款。</w:t>
            </w:r>
          </w:p>
        </w:tc>
        <w:tc>
          <w:tcPr>
            <w:tcW w:w="864" w:type="dxa"/>
            <w:gridSpan w:val="2"/>
            <w:tcBorders>
              <w:top w:val="nil"/>
              <w:left w:val="nil"/>
              <w:bottom w:val="single" w:color="auto" w:sz="4" w:space="0"/>
              <w:right w:val="single" w:color="auto" w:sz="4" w:space="0"/>
            </w:tcBorders>
            <w:noWrap w:val="0"/>
            <w:vAlign w:val="center"/>
          </w:tcPr>
          <w:p w14:paraId="73422EB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200000 </w:t>
            </w:r>
          </w:p>
        </w:tc>
        <w:tc>
          <w:tcPr>
            <w:tcW w:w="840" w:type="dxa"/>
            <w:tcBorders>
              <w:top w:val="nil"/>
              <w:left w:val="nil"/>
              <w:bottom w:val="single" w:color="auto" w:sz="4" w:space="0"/>
              <w:right w:val="single" w:color="auto" w:sz="4" w:space="0"/>
            </w:tcBorders>
            <w:noWrap w:val="0"/>
            <w:vAlign w:val="center"/>
          </w:tcPr>
          <w:p w14:paraId="6B1EB1D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7CE3740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工期＜10%，系数为0；2.10%≤压缩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工期＜15%，系数为0.3；3.15%≤压缩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工期＜20%，系数为0.6；4.20%≤压缩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工期＜25%，系数为0.9；5.25%≤压缩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工期＜30%，系数为1.2；6.30%≤压缩</w:t>
            </w:r>
            <w:r>
              <w:rPr>
                <w:rFonts w:hint="eastAsia" w:ascii="宋体" w:hAnsi="宋体" w:eastAsia="宋体" w:cs="宋体"/>
                <w:color w:val="auto"/>
                <w:kern w:val="0"/>
                <w:sz w:val="15"/>
                <w:szCs w:val="15"/>
                <w:highlight w:val="none"/>
                <w:lang w:eastAsia="zh-CN"/>
              </w:rPr>
              <w:t>合同</w:t>
            </w:r>
            <w:r>
              <w:rPr>
                <w:rFonts w:hint="eastAsia" w:ascii="宋体" w:hAnsi="宋体" w:eastAsia="宋体" w:cs="宋体"/>
                <w:color w:val="auto"/>
                <w:kern w:val="0"/>
                <w:sz w:val="15"/>
                <w:szCs w:val="15"/>
                <w:highlight w:val="none"/>
              </w:rPr>
              <w:t>工期，系数为 1.5；7.造成生产安全事故，系数为1.5。8.存在基准2.1.3规定情形的，系数按照相关规定确定（基准2.1.3.5不适用）。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6B7B6B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罚款金额=200000×（1+情节系数）</w:t>
            </w:r>
          </w:p>
        </w:tc>
        <w:tc>
          <w:tcPr>
            <w:tcW w:w="1973" w:type="dxa"/>
            <w:gridSpan w:val="2"/>
            <w:tcBorders>
              <w:top w:val="nil"/>
              <w:left w:val="nil"/>
              <w:bottom w:val="single" w:color="auto" w:sz="4" w:space="0"/>
              <w:right w:val="single" w:color="auto" w:sz="4" w:space="0"/>
            </w:tcBorders>
            <w:noWrap w:val="0"/>
            <w:vAlign w:val="center"/>
          </w:tcPr>
          <w:p w14:paraId="62285CE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6900268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6823BA3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8</w:t>
            </w:r>
          </w:p>
        </w:tc>
        <w:tc>
          <w:tcPr>
            <w:tcW w:w="1811" w:type="dxa"/>
            <w:tcBorders>
              <w:top w:val="nil"/>
              <w:left w:val="nil"/>
              <w:bottom w:val="single" w:color="auto" w:sz="4" w:space="0"/>
              <w:right w:val="single" w:color="auto" w:sz="4" w:space="0"/>
            </w:tcBorders>
            <w:noWrap w:val="0"/>
            <w:vAlign w:val="center"/>
          </w:tcPr>
          <w:p w14:paraId="727EFE2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采用新结构、新材料、新工艺的建设工程和特殊结构的建设工程，设计单位未在设计中提出保障施工作业人员安全和预防生产安全事故的措施建议</w:t>
            </w:r>
          </w:p>
        </w:tc>
        <w:tc>
          <w:tcPr>
            <w:tcW w:w="2793" w:type="dxa"/>
            <w:gridSpan w:val="2"/>
            <w:tcBorders>
              <w:top w:val="nil"/>
              <w:left w:val="nil"/>
              <w:bottom w:val="single" w:color="auto" w:sz="4" w:space="0"/>
              <w:right w:val="single" w:color="auto" w:sz="4" w:space="0"/>
            </w:tcBorders>
            <w:noWrap w:val="0"/>
            <w:vAlign w:val="center"/>
          </w:tcPr>
          <w:p w14:paraId="56E12D1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违反条款：《条例》第十三条第三款；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处罚条款：《条例》第五十六条第一款第（二）项，责令限期改正，处10万元以上30万元以下的罚款；情节严重的，责令停业整顿，降低资质等级，直至吊销资质证书。</w:t>
            </w:r>
          </w:p>
        </w:tc>
        <w:tc>
          <w:tcPr>
            <w:tcW w:w="864" w:type="dxa"/>
            <w:gridSpan w:val="2"/>
            <w:tcBorders>
              <w:top w:val="nil"/>
              <w:left w:val="nil"/>
              <w:bottom w:val="single" w:color="auto" w:sz="4" w:space="0"/>
              <w:right w:val="single" w:color="auto" w:sz="4" w:space="0"/>
            </w:tcBorders>
            <w:noWrap w:val="0"/>
            <w:vAlign w:val="center"/>
          </w:tcPr>
          <w:p w14:paraId="630FB7F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100000 </w:t>
            </w:r>
          </w:p>
        </w:tc>
        <w:tc>
          <w:tcPr>
            <w:tcW w:w="840" w:type="dxa"/>
            <w:tcBorders>
              <w:top w:val="nil"/>
              <w:left w:val="nil"/>
              <w:bottom w:val="single" w:color="auto" w:sz="4" w:space="0"/>
              <w:right w:val="single" w:color="auto" w:sz="4" w:space="0"/>
            </w:tcBorders>
            <w:noWrap w:val="0"/>
            <w:vAlign w:val="center"/>
          </w:tcPr>
          <w:p w14:paraId="0CDB175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006F8A5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设计费＜200万，系数为0；2.200万元≤设计费＜300万元，系数为0.4；3.300万元≤设计费＜400万元，系数为0.8；4.400万元≤设计费＜500万元，系数为1.2；5.500万元≤设计费＜600万元，系数为1.6；6.600万元≤设计费，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7EC66B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79D07F5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5BF4A07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7B82C10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9</w:t>
            </w:r>
          </w:p>
        </w:tc>
        <w:tc>
          <w:tcPr>
            <w:tcW w:w="1811" w:type="dxa"/>
            <w:tcBorders>
              <w:top w:val="nil"/>
              <w:left w:val="nil"/>
              <w:bottom w:val="single" w:color="auto" w:sz="4" w:space="0"/>
              <w:right w:val="single" w:color="auto" w:sz="4" w:space="0"/>
            </w:tcBorders>
            <w:noWrap w:val="0"/>
            <w:vAlign w:val="center"/>
          </w:tcPr>
          <w:p w14:paraId="2D16E53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为建设工程提供机械设备和配件的单位，未按照安全施工的要求配备齐全有效的保险、限位等安全设施和装置</w:t>
            </w:r>
          </w:p>
        </w:tc>
        <w:tc>
          <w:tcPr>
            <w:tcW w:w="2793" w:type="dxa"/>
            <w:gridSpan w:val="2"/>
            <w:tcBorders>
              <w:top w:val="nil"/>
              <w:left w:val="nil"/>
              <w:bottom w:val="single" w:color="auto" w:sz="4" w:space="0"/>
              <w:right w:val="single" w:color="auto" w:sz="4" w:space="0"/>
            </w:tcBorders>
            <w:noWrap w:val="0"/>
            <w:vAlign w:val="center"/>
          </w:tcPr>
          <w:p w14:paraId="073DF58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违反条款：《条例》第十五条；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处罚条款：《条例》第五十九条，责令限期改正，处合同价款1倍以上3倍以下的罚款。</w:t>
            </w:r>
          </w:p>
        </w:tc>
        <w:tc>
          <w:tcPr>
            <w:tcW w:w="864" w:type="dxa"/>
            <w:gridSpan w:val="2"/>
            <w:tcBorders>
              <w:top w:val="nil"/>
              <w:left w:val="nil"/>
              <w:bottom w:val="single" w:color="auto" w:sz="4" w:space="0"/>
              <w:right w:val="single" w:color="auto" w:sz="4" w:space="0"/>
            </w:tcBorders>
            <w:noWrap w:val="0"/>
            <w:vAlign w:val="center"/>
          </w:tcPr>
          <w:p w14:paraId="37A20EE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合同价款×1倍</w:t>
            </w:r>
          </w:p>
        </w:tc>
        <w:tc>
          <w:tcPr>
            <w:tcW w:w="840" w:type="dxa"/>
            <w:tcBorders>
              <w:top w:val="nil"/>
              <w:left w:val="nil"/>
              <w:bottom w:val="single" w:color="auto" w:sz="4" w:space="0"/>
              <w:right w:val="single" w:color="auto" w:sz="4" w:space="0"/>
            </w:tcBorders>
            <w:noWrap w:val="0"/>
            <w:vAlign w:val="center"/>
          </w:tcPr>
          <w:p w14:paraId="3523725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6BDAE27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1.不符合要求的安全设施或装备1个，系数为0；2.不符合要求的安全设施或装备2个，系数为1；3.不符合要求的安全设施或装备1个或造成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恶劣影响，系数为2。4.存在基准2.1.3规定情形的，系数按照相关规定确定（基准2.1.3.5不适用）。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839F54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罚款金额=合同价款×（1+情节系数）</w:t>
            </w:r>
          </w:p>
        </w:tc>
        <w:tc>
          <w:tcPr>
            <w:tcW w:w="1973" w:type="dxa"/>
            <w:gridSpan w:val="2"/>
            <w:tcBorders>
              <w:top w:val="nil"/>
              <w:left w:val="nil"/>
              <w:bottom w:val="single" w:color="auto" w:sz="4" w:space="0"/>
              <w:right w:val="single" w:color="auto" w:sz="4" w:space="0"/>
            </w:tcBorders>
            <w:noWrap w:val="0"/>
            <w:vAlign w:val="center"/>
          </w:tcPr>
          <w:p w14:paraId="5D1CFAD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682CF6D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63D459C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w:t>
            </w:r>
          </w:p>
        </w:tc>
        <w:tc>
          <w:tcPr>
            <w:tcW w:w="1811" w:type="dxa"/>
            <w:tcBorders>
              <w:top w:val="nil"/>
              <w:left w:val="nil"/>
              <w:bottom w:val="single" w:color="auto" w:sz="4" w:space="0"/>
              <w:right w:val="single" w:color="auto" w:sz="4" w:space="0"/>
            </w:tcBorders>
            <w:noWrap w:val="0"/>
            <w:vAlign w:val="center"/>
          </w:tcPr>
          <w:p w14:paraId="64588A4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参与水利工程建设活动的施工起重机械和整体提升脚手架、模板等自升式架设设施安装、拆卸单位未编制拆装方案、制定安全施工措施</w:t>
            </w:r>
          </w:p>
        </w:tc>
        <w:tc>
          <w:tcPr>
            <w:tcW w:w="2793" w:type="dxa"/>
            <w:gridSpan w:val="2"/>
            <w:tcBorders>
              <w:top w:val="nil"/>
              <w:left w:val="nil"/>
              <w:bottom w:val="single" w:color="auto" w:sz="4" w:space="0"/>
              <w:right w:val="single" w:color="auto" w:sz="4" w:space="0"/>
            </w:tcBorders>
            <w:noWrap w:val="0"/>
            <w:vAlign w:val="center"/>
          </w:tcPr>
          <w:p w14:paraId="4812131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处罚条款：《条例》第六十一条第一款第（一）项，责令限期改正，处5万元以上10万元以下的罚款；情节严重的，责令停业整顿，降低资质等级，直至吊销资质证书。</w:t>
            </w:r>
          </w:p>
        </w:tc>
        <w:tc>
          <w:tcPr>
            <w:tcW w:w="864" w:type="dxa"/>
            <w:gridSpan w:val="2"/>
            <w:tcBorders>
              <w:top w:val="nil"/>
              <w:left w:val="nil"/>
              <w:bottom w:val="single" w:color="auto" w:sz="4" w:space="0"/>
              <w:right w:val="single" w:color="auto" w:sz="4" w:space="0"/>
            </w:tcBorders>
            <w:noWrap w:val="0"/>
            <w:vAlign w:val="center"/>
          </w:tcPr>
          <w:p w14:paraId="33A4309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14:paraId="1B84B49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36870CF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BC79EA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14:paraId="67AA418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26C051B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0DD0E76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11</w:t>
            </w:r>
          </w:p>
        </w:tc>
        <w:tc>
          <w:tcPr>
            <w:tcW w:w="1811" w:type="dxa"/>
            <w:tcBorders>
              <w:top w:val="nil"/>
              <w:left w:val="nil"/>
              <w:bottom w:val="single" w:color="auto" w:sz="4" w:space="0"/>
              <w:right w:val="single" w:color="auto" w:sz="4" w:space="0"/>
            </w:tcBorders>
            <w:noWrap w:val="0"/>
            <w:vAlign w:val="center"/>
          </w:tcPr>
          <w:p w14:paraId="66E8D97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参与水利工程建设活动的施工起重机械和整体提升脚手架、模板等自升式架设设施安装、拆卸单位未由专业技术人员现场监督</w:t>
            </w:r>
          </w:p>
        </w:tc>
        <w:tc>
          <w:tcPr>
            <w:tcW w:w="2793" w:type="dxa"/>
            <w:gridSpan w:val="2"/>
            <w:tcBorders>
              <w:top w:val="nil"/>
              <w:left w:val="nil"/>
              <w:bottom w:val="single" w:color="auto" w:sz="4" w:space="0"/>
              <w:right w:val="single" w:color="auto" w:sz="4" w:space="0"/>
            </w:tcBorders>
            <w:noWrap w:val="0"/>
            <w:vAlign w:val="center"/>
          </w:tcPr>
          <w:p w14:paraId="4E32108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处罚条款：《条例》第六十一条第一款第（二）项，责令限期改正，处5万元以上10万元以下的罚款；情节严重的，责令停业整顿，降低资质等级，直至吊销资质证书。</w:t>
            </w:r>
          </w:p>
        </w:tc>
        <w:tc>
          <w:tcPr>
            <w:tcW w:w="864" w:type="dxa"/>
            <w:gridSpan w:val="2"/>
            <w:tcBorders>
              <w:top w:val="nil"/>
              <w:left w:val="nil"/>
              <w:bottom w:val="single" w:color="auto" w:sz="4" w:space="0"/>
              <w:right w:val="single" w:color="auto" w:sz="4" w:space="0"/>
            </w:tcBorders>
            <w:noWrap w:val="0"/>
            <w:vAlign w:val="center"/>
          </w:tcPr>
          <w:p w14:paraId="0B04C00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14:paraId="4B4ADCA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6EBEAC4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EAFA1E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14:paraId="4696DE3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27EC3C3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41E1E6F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12</w:t>
            </w:r>
          </w:p>
        </w:tc>
        <w:tc>
          <w:tcPr>
            <w:tcW w:w="1811" w:type="dxa"/>
            <w:tcBorders>
              <w:top w:val="nil"/>
              <w:left w:val="nil"/>
              <w:bottom w:val="single" w:color="auto" w:sz="4" w:space="0"/>
              <w:right w:val="single" w:color="auto" w:sz="4" w:space="0"/>
            </w:tcBorders>
            <w:noWrap w:val="0"/>
            <w:vAlign w:val="center"/>
          </w:tcPr>
          <w:p w14:paraId="6A0CCCD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参与水利工程建设活动的施工起重机械和整体提升脚手架、模板等自升式架设设施安装、拆卸单位未出具自检合格证明或者出具虚假证明</w:t>
            </w:r>
          </w:p>
        </w:tc>
        <w:tc>
          <w:tcPr>
            <w:tcW w:w="2793" w:type="dxa"/>
            <w:gridSpan w:val="2"/>
            <w:tcBorders>
              <w:top w:val="nil"/>
              <w:left w:val="nil"/>
              <w:bottom w:val="single" w:color="auto" w:sz="4" w:space="0"/>
              <w:right w:val="single" w:color="auto" w:sz="4" w:space="0"/>
            </w:tcBorders>
            <w:noWrap w:val="0"/>
            <w:vAlign w:val="center"/>
          </w:tcPr>
          <w:p w14:paraId="43FCF32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处罚条款：《条例》第六十一条第一款第（三）项，责令限期改正，处5万元以上10万元以下的罚款；情节严重的，责令停业整顿，降低资质等级，直至吊销资质证书。</w:t>
            </w:r>
          </w:p>
        </w:tc>
        <w:tc>
          <w:tcPr>
            <w:tcW w:w="864" w:type="dxa"/>
            <w:gridSpan w:val="2"/>
            <w:tcBorders>
              <w:top w:val="nil"/>
              <w:left w:val="nil"/>
              <w:bottom w:val="single" w:color="auto" w:sz="4" w:space="0"/>
              <w:right w:val="single" w:color="auto" w:sz="4" w:space="0"/>
            </w:tcBorders>
            <w:noWrap w:val="0"/>
            <w:vAlign w:val="center"/>
          </w:tcPr>
          <w:p w14:paraId="6C73733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14:paraId="4C5CA64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6071799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7DEE14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14:paraId="42FD2D2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6BDF49B7">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7B35A71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13</w:t>
            </w:r>
          </w:p>
        </w:tc>
        <w:tc>
          <w:tcPr>
            <w:tcW w:w="1811" w:type="dxa"/>
            <w:tcBorders>
              <w:top w:val="nil"/>
              <w:left w:val="nil"/>
              <w:bottom w:val="single" w:color="auto" w:sz="4" w:space="0"/>
              <w:right w:val="single" w:color="auto" w:sz="4" w:space="0"/>
            </w:tcBorders>
            <w:noWrap w:val="0"/>
            <w:vAlign w:val="center"/>
          </w:tcPr>
          <w:p w14:paraId="7A4D07D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参与水利工程建设活动的施工起重机械和整体提升脚手架、模板等自升式架设设施安装、拆卸单位未向施工单位进行安全使用说明，办理移交手续</w:t>
            </w:r>
          </w:p>
        </w:tc>
        <w:tc>
          <w:tcPr>
            <w:tcW w:w="2793" w:type="dxa"/>
            <w:gridSpan w:val="2"/>
            <w:tcBorders>
              <w:top w:val="nil"/>
              <w:left w:val="nil"/>
              <w:bottom w:val="single" w:color="auto" w:sz="4" w:space="0"/>
              <w:right w:val="single" w:color="auto" w:sz="4" w:space="0"/>
            </w:tcBorders>
            <w:noWrap w:val="0"/>
            <w:vAlign w:val="center"/>
          </w:tcPr>
          <w:p w14:paraId="4186101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处罚条款：《条例》第六十一条第一款第（四）项，责令限期改正，处5万元以上10万元以下的罚款；情节严重的，责令停业整顿，降低资质等级，直至吊销资质证书。</w:t>
            </w:r>
          </w:p>
        </w:tc>
        <w:tc>
          <w:tcPr>
            <w:tcW w:w="864" w:type="dxa"/>
            <w:gridSpan w:val="2"/>
            <w:tcBorders>
              <w:top w:val="nil"/>
              <w:left w:val="nil"/>
              <w:bottom w:val="single" w:color="auto" w:sz="4" w:space="0"/>
              <w:right w:val="single" w:color="auto" w:sz="4" w:space="0"/>
            </w:tcBorders>
            <w:noWrap w:val="0"/>
            <w:vAlign w:val="center"/>
          </w:tcPr>
          <w:p w14:paraId="13636CF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14:paraId="135433F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3B752BB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2D5029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14:paraId="75F5AFC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32806ED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263" w:hRule="atLeast"/>
        </w:trPr>
        <w:tc>
          <w:tcPr>
            <w:tcW w:w="612" w:type="dxa"/>
            <w:gridSpan w:val="2"/>
            <w:tcBorders>
              <w:top w:val="nil"/>
              <w:left w:val="single" w:color="auto" w:sz="4" w:space="0"/>
              <w:bottom w:val="single" w:color="auto" w:sz="4" w:space="0"/>
              <w:right w:val="single" w:color="auto" w:sz="4" w:space="0"/>
            </w:tcBorders>
            <w:noWrap/>
            <w:vAlign w:val="center"/>
          </w:tcPr>
          <w:p w14:paraId="4451617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14</w:t>
            </w:r>
          </w:p>
        </w:tc>
        <w:tc>
          <w:tcPr>
            <w:tcW w:w="1811" w:type="dxa"/>
            <w:tcBorders>
              <w:top w:val="nil"/>
              <w:left w:val="nil"/>
              <w:bottom w:val="single" w:color="auto" w:sz="4" w:space="0"/>
              <w:right w:val="single" w:color="auto" w:sz="4" w:space="0"/>
            </w:tcBorders>
            <w:noWrap w:val="0"/>
            <w:vAlign w:val="center"/>
          </w:tcPr>
          <w:p w14:paraId="4CBBD84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施工单位未按照规定在施工起重机械和整体提升脚手架、模板等自升式架设设施验收合格后登记</w:t>
            </w:r>
          </w:p>
        </w:tc>
        <w:tc>
          <w:tcPr>
            <w:tcW w:w="2793" w:type="dxa"/>
            <w:gridSpan w:val="2"/>
            <w:tcBorders>
              <w:top w:val="nil"/>
              <w:left w:val="nil"/>
              <w:bottom w:val="single" w:color="auto" w:sz="4" w:space="0"/>
              <w:right w:val="single" w:color="auto" w:sz="4" w:space="0"/>
            </w:tcBorders>
            <w:noWrap w:val="0"/>
            <w:vAlign w:val="center"/>
          </w:tcPr>
          <w:p w14:paraId="62DF0E3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 第六十二条第（五）项，责令限期改正；逾期未改正的，责令停业整顿，依照《中华人民共和国安全生产法》的有关规定处以罚款。</w:t>
            </w:r>
          </w:p>
        </w:tc>
        <w:tc>
          <w:tcPr>
            <w:tcW w:w="864" w:type="dxa"/>
            <w:gridSpan w:val="2"/>
            <w:tcBorders>
              <w:top w:val="nil"/>
              <w:left w:val="nil"/>
              <w:bottom w:val="single" w:color="auto" w:sz="4" w:space="0"/>
              <w:right w:val="single" w:color="auto" w:sz="4" w:space="0"/>
            </w:tcBorders>
            <w:noWrap w:val="0"/>
            <w:vAlign w:val="center"/>
          </w:tcPr>
          <w:p w14:paraId="4AAF0E4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605E68C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3DCE61E1">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1FF965F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27ED681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14:paraId="5D3FA90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4C50E06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15</w:t>
            </w:r>
          </w:p>
        </w:tc>
        <w:tc>
          <w:tcPr>
            <w:tcW w:w="1811" w:type="dxa"/>
            <w:tcBorders>
              <w:top w:val="nil"/>
              <w:left w:val="nil"/>
              <w:bottom w:val="single" w:color="auto" w:sz="4" w:space="0"/>
              <w:right w:val="single" w:color="auto" w:sz="4" w:space="0"/>
            </w:tcBorders>
            <w:noWrap w:val="0"/>
            <w:vAlign w:val="center"/>
          </w:tcPr>
          <w:p w14:paraId="5FCA6A6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施工单位挪用列入建设工程概算的安全生产作业环境及安全施工措施所需费用的</w:t>
            </w:r>
          </w:p>
        </w:tc>
        <w:tc>
          <w:tcPr>
            <w:tcW w:w="2793" w:type="dxa"/>
            <w:gridSpan w:val="2"/>
            <w:tcBorders>
              <w:top w:val="nil"/>
              <w:left w:val="nil"/>
              <w:bottom w:val="single" w:color="auto" w:sz="4" w:space="0"/>
              <w:right w:val="single" w:color="auto" w:sz="4" w:space="0"/>
            </w:tcBorders>
            <w:noWrap w:val="0"/>
            <w:vAlign w:val="center"/>
          </w:tcPr>
          <w:p w14:paraId="70AB3C1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违反条款：《条例》第二十二条；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处罚条款：《条例》第六十三条，责令限期改正，处挪用费用20%以上50%以下的罚款。</w:t>
            </w:r>
          </w:p>
        </w:tc>
        <w:tc>
          <w:tcPr>
            <w:tcW w:w="864" w:type="dxa"/>
            <w:gridSpan w:val="2"/>
            <w:tcBorders>
              <w:top w:val="nil"/>
              <w:left w:val="nil"/>
              <w:bottom w:val="single" w:color="auto" w:sz="4" w:space="0"/>
              <w:right w:val="single" w:color="auto" w:sz="4" w:space="0"/>
            </w:tcBorders>
            <w:noWrap w:val="0"/>
            <w:vAlign w:val="center"/>
          </w:tcPr>
          <w:p w14:paraId="4F2F114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挪用费用×20%</w:t>
            </w:r>
          </w:p>
        </w:tc>
        <w:tc>
          <w:tcPr>
            <w:tcW w:w="840" w:type="dxa"/>
            <w:tcBorders>
              <w:top w:val="nil"/>
              <w:left w:val="nil"/>
              <w:bottom w:val="single" w:color="auto" w:sz="4" w:space="0"/>
              <w:right w:val="single" w:color="auto" w:sz="4" w:space="0"/>
            </w:tcBorders>
            <w:noWrap/>
            <w:vAlign w:val="center"/>
          </w:tcPr>
          <w:p w14:paraId="356BFA9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0A60FF1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1.挪用费用/安全生产总费用＜10%，系数为0;2.10%≤挪用费用/安全生产总费用＜30%，系数为0.5;3.30%≤挪用费用/安全生产总费用＜50%，系数为1;4.50%≤挪用费用/安全生产总费用或造成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恶劣影响，系数为1.5。5.存在基准2.1.3规定情形的，系数按照相关规定确定（基准2.1.3.5不适用）。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6C33D74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罚款金额=挪用费用20%×（1+情节系数）</w:t>
            </w:r>
          </w:p>
        </w:tc>
        <w:tc>
          <w:tcPr>
            <w:tcW w:w="1973" w:type="dxa"/>
            <w:gridSpan w:val="2"/>
            <w:tcBorders>
              <w:top w:val="nil"/>
              <w:left w:val="nil"/>
              <w:bottom w:val="single" w:color="auto" w:sz="4" w:space="0"/>
              <w:right w:val="single" w:color="auto" w:sz="4" w:space="0"/>
            </w:tcBorders>
            <w:noWrap w:val="0"/>
            <w:vAlign w:val="center"/>
          </w:tcPr>
          <w:p w14:paraId="395294F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w:t>
            </w:r>
          </w:p>
        </w:tc>
      </w:tr>
      <w:tr w14:paraId="3D27C91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2045929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16</w:t>
            </w:r>
          </w:p>
        </w:tc>
        <w:tc>
          <w:tcPr>
            <w:tcW w:w="1811" w:type="dxa"/>
            <w:tcBorders>
              <w:top w:val="nil"/>
              <w:left w:val="nil"/>
              <w:bottom w:val="single" w:color="auto" w:sz="4" w:space="0"/>
              <w:right w:val="single" w:color="auto" w:sz="4" w:space="0"/>
            </w:tcBorders>
            <w:noWrap w:val="0"/>
            <w:vAlign w:val="center"/>
          </w:tcPr>
          <w:p w14:paraId="6520C8B7">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施工单位施工前未对有关安全施工的技术要求作出详细说明</w:t>
            </w:r>
          </w:p>
        </w:tc>
        <w:tc>
          <w:tcPr>
            <w:tcW w:w="2793" w:type="dxa"/>
            <w:gridSpan w:val="2"/>
            <w:tcBorders>
              <w:top w:val="nil"/>
              <w:left w:val="nil"/>
              <w:bottom w:val="single" w:color="auto" w:sz="4" w:space="0"/>
              <w:right w:val="single" w:color="auto" w:sz="4" w:space="0"/>
            </w:tcBorders>
            <w:noWrap w:val="0"/>
            <w:vAlign w:val="center"/>
          </w:tcPr>
          <w:p w14:paraId="294CFAE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处罚条款：《条例》第六十四条第一款第（一）项，责令限期改正；逾期未改正的，责令停业整顿，并处5万元以上10万元以下的罚款。</w:t>
            </w:r>
          </w:p>
        </w:tc>
        <w:tc>
          <w:tcPr>
            <w:tcW w:w="864" w:type="dxa"/>
            <w:gridSpan w:val="2"/>
            <w:tcBorders>
              <w:top w:val="nil"/>
              <w:left w:val="nil"/>
              <w:bottom w:val="single" w:color="auto" w:sz="4" w:space="0"/>
              <w:right w:val="single" w:color="auto" w:sz="4" w:space="0"/>
            </w:tcBorders>
            <w:noWrap w:val="0"/>
            <w:vAlign w:val="center"/>
          </w:tcPr>
          <w:p w14:paraId="57CCE84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14:paraId="6434E80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7D90395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0C5A20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14:paraId="4D7B180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14:paraId="26AC9CE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26043D6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17</w:t>
            </w:r>
          </w:p>
        </w:tc>
        <w:tc>
          <w:tcPr>
            <w:tcW w:w="1811" w:type="dxa"/>
            <w:tcBorders>
              <w:top w:val="nil"/>
              <w:left w:val="nil"/>
              <w:bottom w:val="single" w:color="auto" w:sz="4" w:space="0"/>
              <w:right w:val="single" w:color="auto" w:sz="4" w:space="0"/>
            </w:tcBorders>
            <w:noWrap w:val="0"/>
            <w:vAlign w:val="center"/>
          </w:tcPr>
          <w:p w14:paraId="2D68BA6A">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施工单位在尚未竣工的建筑物内设置员工集体宿舍</w:t>
            </w:r>
          </w:p>
        </w:tc>
        <w:tc>
          <w:tcPr>
            <w:tcW w:w="2793" w:type="dxa"/>
            <w:gridSpan w:val="2"/>
            <w:tcBorders>
              <w:top w:val="nil"/>
              <w:left w:val="nil"/>
              <w:bottom w:val="single" w:color="auto" w:sz="4" w:space="0"/>
              <w:right w:val="single" w:color="auto" w:sz="4" w:space="0"/>
            </w:tcBorders>
            <w:noWrap w:val="0"/>
            <w:vAlign w:val="center"/>
          </w:tcPr>
          <w:p w14:paraId="2BB57FE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处罚条款：《条例》第六十四条第一款第（三）项，责令限期改正；逾期未改正的，责令停业整顿，并处5万元以上10万元以下的罚款。</w:t>
            </w:r>
          </w:p>
        </w:tc>
        <w:tc>
          <w:tcPr>
            <w:tcW w:w="864" w:type="dxa"/>
            <w:gridSpan w:val="2"/>
            <w:tcBorders>
              <w:top w:val="nil"/>
              <w:left w:val="nil"/>
              <w:bottom w:val="single" w:color="auto" w:sz="4" w:space="0"/>
              <w:right w:val="single" w:color="auto" w:sz="4" w:space="0"/>
            </w:tcBorders>
            <w:noWrap w:val="0"/>
            <w:vAlign w:val="center"/>
          </w:tcPr>
          <w:p w14:paraId="46F039E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14:paraId="2B4CA1DD">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01AC3CA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0AF389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14:paraId="0D855C8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14:paraId="79C3261B">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0"/>
            <w:vAlign w:val="center"/>
          </w:tcPr>
          <w:p w14:paraId="347F471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18</w:t>
            </w:r>
          </w:p>
        </w:tc>
        <w:tc>
          <w:tcPr>
            <w:tcW w:w="1811" w:type="dxa"/>
            <w:tcBorders>
              <w:top w:val="nil"/>
              <w:left w:val="nil"/>
              <w:bottom w:val="single" w:color="auto" w:sz="4" w:space="0"/>
              <w:right w:val="single" w:color="auto" w:sz="4" w:space="0"/>
            </w:tcBorders>
            <w:noWrap w:val="0"/>
            <w:vAlign w:val="center"/>
          </w:tcPr>
          <w:p w14:paraId="2DD3A68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对施工单位未根据不同施工阶段和周围环境及季节、气候的变化，在施工现场采取相应的安全施工措施，或者在城市市区内的建设工程的施工现场未实行封闭围挡的</w:t>
            </w:r>
          </w:p>
        </w:tc>
        <w:tc>
          <w:tcPr>
            <w:tcW w:w="2793" w:type="dxa"/>
            <w:gridSpan w:val="2"/>
            <w:tcBorders>
              <w:top w:val="nil"/>
              <w:left w:val="nil"/>
              <w:bottom w:val="single" w:color="auto" w:sz="4" w:space="0"/>
              <w:right w:val="single" w:color="auto" w:sz="4" w:space="0"/>
            </w:tcBorders>
            <w:noWrap w:val="0"/>
            <w:vAlign w:val="center"/>
          </w:tcPr>
          <w:p w14:paraId="652D6D8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违反条款：《条例》第二十八条第二款、第三十条第三款；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处罚条款：《条例》第六十四条第一款第（二）项，责令限期改正；逾期未改正的，责令停业整顿，并处5万元以上10万元以下的罚款。</w:t>
            </w:r>
          </w:p>
        </w:tc>
        <w:tc>
          <w:tcPr>
            <w:tcW w:w="864" w:type="dxa"/>
            <w:gridSpan w:val="2"/>
            <w:tcBorders>
              <w:top w:val="nil"/>
              <w:left w:val="nil"/>
              <w:bottom w:val="single" w:color="auto" w:sz="4" w:space="0"/>
              <w:right w:val="single" w:color="auto" w:sz="4" w:space="0"/>
            </w:tcBorders>
            <w:noWrap/>
            <w:vAlign w:val="center"/>
          </w:tcPr>
          <w:p w14:paraId="0311E0B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50000</w:t>
            </w:r>
          </w:p>
        </w:tc>
        <w:tc>
          <w:tcPr>
            <w:tcW w:w="840" w:type="dxa"/>
            <w:tcBorders>
              <w:top w:val="nil"/>
              <w:left w:val="nil"/>
              <w:bottom w:val="single" w:color="auto" w:sz="4" w:space="0"/>
              <w:right w:val="single" w:color="auto" w:sz="4" w:space="0"/>
            </w:tcBorders>
            <w:noWrap/>
            <w:vAlign w:val="center"/>
          </w:tcPr>
          <w:p w14:paraId="185A7F4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07ACFE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72336D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14:paraId="62AABB1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14:paraId="6EC8EA1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1E72F05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19</w:t>
            </w:r>
          </w:p>
        </w:tc>
        <w:tc>
          <w:tcPr>
            <w:tcW w:w="1811" w:type="dxa"/>
            <w:tcBorders>
              <w:top w:val="nil"/>
              <w:left w:val="nil"/>
              <w:bottom w:val="single" w:color="auto" w:sz="4" w:space="0"/>
              <w:right w:val="single" w:color="auto" w:sz="4" w:space="0"/>
            </w:tcBorders>
            <w:noWrap w:val="0"/>
            <w:vAlign w:val="center"/>
          </w:tcPr>
          <w:p w14:paraId="705AA15C">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施工单位施工现场临时搭建的建筑物不符合安全使用要求</w:t>
            </w:r>
          </w:p>
        </w:tc>
        <w:tc>
          <w:tcPr>
            <w:tcW w:w="2793" w:type="dxa"/>
            <w:gridSpan w:val="2"/>
            <w:tcBorders>
              <w:top w:val="nil"/>
              <w:left w:val="nil"/>
              <w:bottom w:val="single" w:color="auto" w:sz="4" w:space="0"/>
              <w:right w:val="single" w:color="auto" w:sz="4" w:space="0"/>
            </w:tcBorders>
            <w:noWrap w:val="0"/>
            <w:vAlign w:val="center"/>
          </w:tcPr>
          <w:p w14:paraId="25DE65A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违反条款：《条例》第二十九条第二款；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处罚条款：《条例》第六十四条第一款第（四）项，责令限期改正；逾期未改正的，责令停业整顿，并处5万元以上10万元以下的罚款。</w:t>
            </w:r>
          </w:p>
        </w:tc>
        <w:tc>
          <w:tcPr>
            <w:tcW w:w="864" w:type="dxa"/>
            <w:gridSpan w:val="2"/>
            <w:tcBorders>
              <w:top w:val="nil"/>
              <w:left w:val="nil"/>
              <w:bottom w:val="single" w:color="auto" w:sz="4" w:space="0"/>
              <w:right w:val="single" w:color="auto" w:sz="4" w:space="0"/>
            </w:tcBorders>
            <w:noWrap w:val="0"/>
            <w:vAlign w:val="center"/>
          </w:tcPr>
          <w:p w14:paraId="2BC7670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14:paraId="4B570786">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2771A3D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A022C1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14:paraId="5885990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14:paraId="5D09D08C">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157E83D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20</w:t>
            </w:r>
          </w:p>
        </w:tc>
        <w:tc>
          <w:tcPr>
            <w:tcW w:w="1811" w:type="dxa"/>
            <w:tcBorders>
              <w:top w:val="nil"/>
              <w:left w:val="nil"/>
              <w:bottom w:val="single" w:color="auto" w:sz="4" w:space="0"/>
              <w:right w:val="single" w:color="auto" w:sz="4" w:space="0"/>
            </w:tcBorders>
            <w:noWrap w:val="0"/>
            <w:vAlign w:val="center"/>
          </w:tcPr>
          <w:p w14:paraId="39D0C010">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施工单位未对因建设工程施工可能造成损害的毗邻建筑物、构筑物和地下管线等采取专项防护措施的</w:t>
            </w:r>
          </w:p>
        </w:tc>
        <w:tc>
          <w:tcPr>
            <w:tcW w:w="2793" w:type="dxa"/>
            <w:gridSpan w:val="2"/>
            <w:tcBorders>
              <w:top w:val="nil"/>
              <w:left w:val="nil"/>
              <w:bottom w:val="single" w:color="auto" w:sz="4" w:space="0"/>
              <w:right w:val="single" w:color="auto" w:sz="4" w:space="0"/>
            </w:tcBorders>
            <w:noWrap w:val="0"/>
            <w:vAlign w:val="center"/>
          </w:tcPr>
          <w:p w14:paraId="53B4982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处罚条款：《条例》第六十四条第一款第（五）项，责令限期改正；逾期未改正的，责令停业整顿，并处5万元以上10万元以下的罚款。</w:t>
            </w:r>
          </w:p>
        </w:tc>
        <w:tc>
          <w:tcPr>
            <w:tcW w:w="864" w:type="dxa"/>
            <w:gridSpan w:val="2"/>
            <w:tcBorders>
              <w:top w:val="nil"/>
              <w:left w:val="nil"/>
              <w:bottom w:val="single" w:color="auto" w:sz="4" w:space="0"/>
              <w:right w:val="single" w:color="auto" w:sz="4" w:space="0"/>
            </w:tcBorders>
            <w:noWrap w:val="0"/>
            <w:vAlign w:val="center"/>
          </w:tcPr>
          <w:p w14:paraId="1907F544">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14:paraId="60AE706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20151823">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1.未造成生产安全事故，系数为0；2.造成一般生产安全事故，系数为0.5；3.造成较大及以上生产安全事故，系数为1。4.存在基准2.1.3规定情形的，系数按照相关规定确定（基准2.1.3.5不适用）。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2F84841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14:paraId="21D020FA">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14:paraId="37EA280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78E944F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21</w:t>
            </w:r>
          </w:p>
        </w:tc>
        <w:tc>
          <w:tcPr>
            <w:tcW w:w="1811" w:type="dxa"/>
            <w:tcBorders>
              <w:top w:val="nil"/>
              <w:left w:val="nil"/>
              <w:bottom w:val="single" w:color="auto" w:sz="4" w:space="0"/>
              <w:right w:val="single" w:color="auto" w:sz="4" w:space="0"/>
            </w:tcBorders>
            <w:noWrap w:val="0"/>
            <w:vAlign w:val="center"/>
          </w:tcPr>
          <w:p w14:paraId="26B36840">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施工单位安全防护用具、机械设备、施工机具及配件在进入施工现场前未经查验或者查验不合格即投入使用的</w:t>
            </w:r>
          </w:p>
        </w:tc>
        <w:tc>
          <w:tcPr>
            <w:tcW w:w="2793" w:type="dxa"/>
            <w:gridSpan w:val="2"/>
            <w:tcBorders>
              <w:top w:val="nil"/>
              <w:left w:val="nil"/>
              <w:bottom w:val="single" w:color="auto" w:sz="4" w:space="0"/>
              <w:right w:val="single" w:color="auto" w:sz="4" w:space="0"/>
            </w:tcBorders>
            <w:noWrap w:val="0"/>
            <w:vAlign w:val="center"/>
          </w:tcPr>
          <w:p w14:paraId="5628F69F">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违反条款：《条例》第三十四条第一款；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处罚条款：《条例》第六十五条第（一）项，责令限期改正；逾期未改正的，责令停业整顿，并处10万元以上30万元以下的罚款；情节严重的，降低资质等级，直至吊销资质证书。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14:paraId="07F891B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14:paraId="0AF96B1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7967454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经查验或者查验不合格＜5件，系数为0；2.5件≤未经查验或查验不合格的件数＜7件，系数为0.4；3.7件≤未经查验或查验不合格的件数＜9件，系数为0.8；4.9件≤未经查验或查验不合格的件数＜11件，系数为1.2；5.11件≤未经查验或查验不合格的件数＜13件，系数为1.6；6.13件≤未经查验或查验不合格的件数，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6FF8317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60C23B0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3A3BE3F0">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4879373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22</w:t>
            </w:r>
          </w:p>
        </w:tc>
        <w:tc>
          <w:tcPr>
            <w:tcW w:w="1811" w:type="dxa"/>
            <w:tcBorders>
              <w:top w:val="nil"/>
              <w:left w:val="nil"/>
              <w:bottom w:val="single" w:color="auto" w:sz="4" w:space="0"/>
              <w:right w:val="single" w:color="auto" w:sz="4" w:space="0"/>
            </w:tcBorders>
            <w:noWrap w:val="0"/>
            <w:vAlign w:val="center"/>
          </w:tcPr>
          <w:p w14:paraId="7EE5FB7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施工单位使用未经验收或者验收不合格的施工起重机械和整体提升脚手架、模板等自升式架设设施</w:t>
            </w:r>
          </w:p>
        </w:tc>
        <w:tc>
          <w:tcPr>
            <w:tcW w:w="2793" w:type="dxa"/>
            <w:gridSpan w:val="2"/>
            <w:tcBorders>
              <w:top w:val="nil"/>
              <w:left w:val="nil"/>
              <w:bottom w:val="single" w:color="auto" w:sz="4" w:space="0"/>
              <w:right w:val="single" w:color="auto" w:sz="4" w:space="0"/>
            </w:tcBorders>
            <w:noWrap w:val="0"/>
            <w:vAlign w:val="center"/>
          </w:tcPr>
          <w:p w14:paraId="16E84FF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违反条款：《条例》第三十五条第一款；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处罚条款：《条例》第六十五条第（二）项，责令限期改正；逾期未改正的，责令停业整顿，并处10万元以上30万元以下的罚款；情节严重的，降低资质等级，直至吊销资质证书。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14:paraId="5BB2639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14:paraId="3A3F6F6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02083074">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使用1台（处），系数为0；2.使用2台（处），系数为0.4；3.使用3台（处），系数为0.8；4.使用4台（处），系数为1.2；5.使用5台（处），系数为1.6；6.使用6台（处）及以上，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4DA42B2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5B42F08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07338479">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788E6D8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23</w:t>
            </w:r>
          </w:p>
        </w:tc>
        <w:tc>
          <w:tcPr>
            <w:tcW w:w="1811" w:type="dxa"/>
            <w:tcBorders>
              <w:top w:val="nil"/>
              <w:left w:val="nil"/>
              <w:bottom w:val="single" w:color="auto" w:sz="4" w:space="0"/>
              <w:right w:val="single" w:color="auto" w:sz="4" w:space="0"/>
            </w:tcBorders>
            <w:noWrap w:val="0"/>
            <w:vAlign w:val="center"/>
          </w:tcPr>
          <w:p w14:paraId="0621EBE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施工单位委托不具有相应资质的单位承担施工现场安装、拆卸施工起重机械和整体提升脚手架、模板等自升式架设设施</w:t>
            </w:r>
          </w:p>
        </w:tc>
        <w:tc>
          <w:tcPr>
            <w:tcW w:w="2793" w:type="dxa"/>
            <w:gridSpan w:val="2"/>
            <w:tcBorders>
              <w:top w:val="nil"/>
              <w:left w:val="nil"/>
              <w:bottom w:val="single" w:color="auto" w:sz="4" w:space="0"/>
              <w:right w:val="single" w:color="auto" w:sz="4" w:space="0"/>
            </w:tcBorders>
            <w:noWrap w:val="0"/>
            <w:vAlign w:val="center"/>
          </w:tcPr>
          <w:p w14:paraId="22951C9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违反条款：《条例》第十七条第一款；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处罚条款：《条例》第六十五条第（三）项，责令限期改正；逾期未改正的，责令停业整顿，并处10万元以上30万元以下的罚款；情节严重的，降低资质等级，直至吊销资质证书。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14:paraId="0078E8D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14:paraId="10A31D5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33A353F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安装或拆卸1台（处），系数为0；2.安装或拆卸2台（处），系数为0.4；3.安装或拆卸3台（处），系数为0.8；4.安装或拆卸4台（处），系数为1.2；5.安装或拆卸5台（处），系数为1.6；6.安装或拆卸6台（处）及以上，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C5BE98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5AF71D4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795DA5DF">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14167FA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24</w:t>
            </w:r>
          </w:p>
        </w:tc>
        <w:tc>
          <w:tcPr>
            <w:tcW w:w="1811" w:type="dxa"/>
            <w:tcBorders>
              <w:top w:val="nil"/>
              <w:left w:val="nil"/>
              <w:bottom w:val="single" w:color="auto" w:sz="4" w:space="0"/>
              <w:right w:val="single" w:color="auto" w:sz="4" w:space="0"/>
            </w:tcBorders>
            <w:noWrap w:val="0"/>
            <w:vAlign w:val="center"/>
          </w:tcPr>
          <w:p w14:paraId="17E15348">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施工单位在施工组织设计中未编制安全技术措施、施工现场临时用电方案或者专项施工方案</w:t>
            </w:r>
          </w:p>
        </w:tc>
        <w:tc>
          <w:tcPr>
            <w:tcW w:w="2793" w:type="dxa"/>
            <w:gridSpan w:val="2"/>
            <w:tcBorders>
              <w:top w:val="nil"/>
              <w:left w:val="nil"/>
              <w:bottom w:val="single" w:color="auto" w:sz="4" w:space="0"/>
              <w:right w:val="single" w:color="auto" w:sz="4" w:space="0"/>
            </w:tcBorders>
            <w:noWrap w:val="0"/>
            <w:vAlign w:val="center"/>
          </w:tcPr>
          <w:p w14:paraId="6C1D761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违反条款：《条例》第二十六条；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处罚条款：《条例》第六十五条第（四）项，责令限期改正；逾期未改正的，责令停业整顿，并处10万元以上30万元以下的罚款；情节严重的，降低资质等级，直至吊销资质证书。</w:t>
            </w:r>
          </w:p>
        </w:tc>
        <w:tc>
          <w:tcPr>
            <w:tcW w:w="864" w:type="dxa"/>
            <w:gridSpan w:val="2"/>
            <w:tcBorders>
              <w:top w:val="nil"/>
              <w:left w:val="nil"/>
              <w:bottom w:val="single" w:color="auto" w:sz="4" w:space="0"/>
              <w:right w:val="single" w:color="auto" w:sz="4" w:space="0"/>
            </w:tcBorders>
            <w:noWrap w:val="0"/>
            <w:vAlign w:val="center"/>
          </w:tcPr>
          <w:p w14:paraId="7E05799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100000</w:t>
            </w:r>
          </w:p>
        </w:tc>
        <w:tc>
          <w:tcPr>
            <w:tcW w:w="840" w:type="dxa"/>
            <w:tcBorders>
              <w:top w:val="nil"/>
              <w:left w:val="nil"/>
              <w:bottom w:val="single" w:color="auto" w:sz="4" w:space="0"/>
              <w:right w:val="single" w:color="auto" w:sz="4" w:space="0"/>
            </w:tcBorders>
            <w:noWrap w:val="0"/>
            <w:vAlign w:val="center"/>
          </w:tcPr>
          <w:p w14:paraId="04C2A4E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w:t>
            </w:r>
          </w:p>
        </w:tc>
        <w:tc>
          <w:tcPr>
            <w:tcW w:w="3430" w:type="dxa"/>
            <w:gridSpan w:val="2"/>
            <w:tcBorders>
              <w:top w:val="nil"/>
              <w:left w:val="nil"/>
              <w:bottom w:val="single" w:color="auto" w:sz="4" w:space="0"/>
              <w:right w:val="single" w:color="auto" w:sz="4" w:space="0"/>
            </w:tcBorders>
            <w:noWrap w:val="0"/>
            <w:vAlign w:val="center"/>
          </w:tcPr>
          <w:p w14:paraId="5A767BD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涉及1类专项施工方案，系数为0；2.涉及2类专项施工方案，系数为0.4；3.涉及3类专项施工方案，系数为0.8；4.涉及4类专项施工方案，系数为1.2；5.涉及5类专项施工方案，系数为1.6；6.涉及6类及以上专项施工方案，系数为2；7.造成生产安全事故，系数为2。8.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3291DC7D">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罚款金额=100000×（1+情节系数）</w:t>
            </w:r>
          </w:p>
        </w:tc>
        <w:tc>
          <w:tcPr>
            <w:tcW w:w="1973" w:type="dxa"/>
            <w:gridSpan w:val="2"/>
            <w:tcBorders>
              <w:top w:val="nil"/>
              <w:left w:val="nil"/>
              <w:bottom w:val="single" w:color="auto" w:sz="4" w:space="0"/>
              <w:right w:val="single" w:color="auto" w:sz="4" w:space="0"/>
            </w:tcBorders>
            <w:noWrap w:val="0"/>
            <w:vAlign w:val="center"/>
          </w:tcPr>
          <w:p w14:paraId="26B18067">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5765947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73D54B2C">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25</w:t>
            </w:r>
          </w:p>
        </w:tc>
        <w:tc>
          <w:tcPr>
            <w:tcW w:w="1811" w:type="dxa"/>
            <w:tcBorders>
              <w:top w:val="nil"/>
              <w:left w:val="nil"/>
              <w:bottom w:val="single" w:color="auto" w:sz="4" w:space="0"/>
              <w:right w:val="single" w:color="auto" w:sz="4" w:space="0"/>
            </w:tcBorders>
            <w:noWrap w:val="0"/>
            <w:vAlign w:val="center"/>
          </w:tcPr>
          <w:p w14:paraId="12741AA6">
            <w:pPr>
              <w:widowControl/>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施工单位的主要负责人、项目负责人未履行安全生产管理职责，尚未构成犯罪</w:t>
            </w:r>
          </w:p>
        </w:tc>
        <w:tc>
          <w:tcPr>
            <w:tcW w:w="2793" w:type="dxa"/>
            <w:gridSpan w:val="2"/>
            <w:tcBorders>
              <w:top w:val="nil"/>
              <w:left w:val="nil"/>
              <w:bottom w:val="single" w:color="auto" w:sz="4" w:space="0"/>
              <w:right w:val="single" w:color="auto" w:sz="4" w:space="0"/>
            </w:tcBorders>
            <w:noWrap w:val="0"/>
            <w:vAlign w:val="center"/>
          </w:tcPr>
          <w:p w14:paraId="0580E7F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违反条款：《条例》第二十一条；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处罚条款：《条例》第六十六条第一款，责令限期改正；逾期未改正的，责令施工单位停业整顿；第六十六条第三款，处2万元以上20万元以下的罚款。</w:t>
            </w:r>
          </w:p>
        </w:tc>
        <w:tc>
          <w:tcPr>
            <w:tcW w:w="864" w:type="dxa"/>
            <w:gridSpan w:val="2"/>
            <w:tcBorders>
              <w:top w:val="nil"/>
              <w:left w:val="nil"/>
              <w:bottom w:val="single" w:color="auto" w:sz="4" w:space="0"/>
              <w:right w:val="single" w:color="auto" w:sz="4" w:space="0"/>
            </w:tcBorders>
            <w:noWrap w:val="0"/>
            <w:vAlign w:val="center"/>
          </w:tcPr>
          <w:p w14:paraId="40C46A77">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20000 </w:t>
            </w:r>
          </w:p>
        </w:tc>
        <w:tc>
          <w:tcPr>
            <w:tcW w:w="840" w:type="dxa"/>
            <w:tcBorders>
              <w:top w:val="nil"/>
              <w:left w:val="nil"/>
              <w:bottom w:val="single" w:color="auto" w:sz="4" w:space="0"/>
              <w:right w:val="single" w:color="auto" w:sz="4" w:space="0"/>
            </w:tcBorders>
            <w:noWrap w:val="0"/>
            <w:vAlign w:val="center"/>
          </w:tcPr>
          <w:p w14:paraId="1BFF761A">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70517B9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未履行1项安全生产管理职责，系数为0；每增加1项，系数加1；未履行安全生产管理职责≥10项，系数为9；2.造成生产安全事故，系数为9。3.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082724B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罚款金额=20000×（1+情节系数）</w:t>
            </w:r>
          </w:p>
        </w:tc>
        <w:tc>
          <w:tcPr>
            <w:tcW w:w="1973" w:type="dxa"/>
            <w:gridSpan w:val="2"/>
            <w:tcBorders>
              <w:top w:val="nil"/>
              <w:left w:val="nil"/>
              <w:bottom w:val="single" w:color="auto" w:sz="4" w:space="0"/>
              <w:right w:val="single" w:color="auto" w:sz="4" w:space="0"/>
            </w:tcBorders>
            <w:noWrap w:val="0"/>
            <w:vAlign w:val="center"/>
          </w:tcPr>
          <w:p w14:paraId="2554C85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r w14:paraId="68C756B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140" w:hRule="atLeast"/>
        </w:trPr>
        <w:tc>
          <w:tcPr>
            <w:tcW w:w="612" w:type="dxa"/>
            <w:gridSpan w:val="2"/>
            <w:tcBorders>
              <w:top w:val="nil"/>
              <w:left w:val="single" w:color="auto" w:sz="4" w:space="0"/>
              <w:bottom w:val="single" w:color="auto" w:sz="4" w:space="0"/>
              <w:right w:val="single" w:color="auto" w:sz="4" w:space="0"/>
            </w:tcBorders>
            <w:noWrap/>
            <w:vAlign w:val="center"/>
          </w:tcPr>
          <w:p w14:paraId="770161B9">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26</w:t>
            </w:r>
          </w:p>
        </w:tc>
        <w:tc>
          <w:tcPr>
            <w:tcW w:w="1811" w:type="dxa"/>
            <w:tcBorders>
              <w:top w:val="nil"/>
              <w:left w:val="nil"/>
              <w:bottom w:val="single" w:color="auto" w:sz="4" w:space="0"/>
              <w:right w:val="single" w:color="auto" w:sz="4" w:space="0"/>
            </w:tcBorders>
            <w:noWrap w:val="0"/>
            <w:vAlign w:val="center"/>
          </w:tcPr>
          <w:p w14:paraId="7B9EE38C">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施工单位取得资质证书后，降低安全生产条件，经整改仍未达到与其资质等级相适应的安全生产条件</w:t>
            </w:r>
          </w:p>
        </w:tc>
        <w:tc>
          <w:tcPr>
            <w:tcW w:w="2793" w:type="dxa"/>
            <w:gridSpan w:val="2"/>
            <w:tcBorders>
              <w:top w:val="nil"/>
              <w:left w:val="nil"/>
              <w:bottom w:val="single" w:color="auto" w:sz="4" w:space="0"/>
              <w:right w:val="single" w:color="auto" w:sz="4" w:space="0"/>
            </w:tcBorders>
            <w:noWrap w:val="0"/>
            <w:vAlign w:val="center"/>
          </w:tcPr>
          <w:p w14:paraId="5A4D2071">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违反条款：《条例》第六十七条；</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处罚条款：《条例》第六十七条，责令限期改正；经整改仍未达到与其资质等级相适应的安全生产条件的，责令停业整顿，降低其资质等级直至吊销资质证书。</w:t>
            </w:r>
          </w:p>
        </w:tc>
        <w:tc>
          <w:tcPr>
            <w:tcW w:w="864" w:type="dxa"/>
            <w:gridSpan w:val="2"/>
            <w:tcBorders>
              <w:top w:val="nil"/>
              <w:left w:val="nil"/>
              <w:bottom w:val="single" w:color="auto" w:sz="4" w:space="0"/>
              <w:right w:val="single" w:color="auto" w:sz="4" w:space="0"/>
            </w:tcBorders>
            <w:noWrap w:val="0"/>
            <w:vAlign w:val="center"/>
          </w:tcPr>
          <w:p w14:paraId="738C06BB">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840" w:type="dxa"/>
            <w:tcBorders>
              <w:top w:val="nil"/>
              <w:left w:val="nil"/>
              <w:bottom w:val="single" w:color="auto" w:sz="4" w:space="0"/>
              <w:right w:val="single" w:color="auto" w:sz="4" w:space="0"/>
            </w:tcBorders>
            <w:noWrap w:val="0"/>
            <w:vAlign w:val="center"/>
          </w:tcPr>
          <w:p w14:paraId="7C05C03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65173D6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703FCB0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3699627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拟作出停业整顿、降低资质等级、吊销资质证书的，在作出处罚决定前，要邀请行业主管部门共同会商。</w:t>
            </w:r>
          </w:p>
        </w:tc>
      </w:tr>
      <w:tr w14:paraId="046012BD">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950" w:hRule="atLeast"/>
        </w:trPr>
        <w:tc>
          <w:tcPr>
            <w:tcW w:w="612" w:type="dxa"/>
            <w:gridSpan w:val="2"/>
            <w:tcBorders>
              <w:top w:val="nil"/>
              <w:left w:val="single" w:color="auto" w:sz="4" w:space="0"/>
              <w:bottom w:val="single" w:color="auto" w:sz="4" w:space="0"/>
              <w:right w:val="single" w:color="auto" w:sz="4" w:space="0"/>
            </w:tcBorders>
            <w:noWrap/>
            <w:vAlign w:val="center"/>
          </w:tcPr>
          <w:p w14:paraId="3FBDCE82">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27</w:t>
            </w:r>
          </w:p>
        </w:tc>
        <w:tc>
          <w:tcPr>
            <w:tcW w:w="1811" w:type="dxa"/>
            <w:tcBorders>
              <w:top w:val="nil"/>
              <w:left w:val="nil"/>
              <w:bottom w:val="single" w:color="auto" w:sz="4" w:space="0"/>
              <w:right w:val="single" w:color="auto" w:sz="4" w:space="0"/>
            </w:tcBorders>
            <w:noWrap w:val="0"/>
            <w:vAlign w:val="center"/>
          </w:tcPr>
          <w:p w14:paraId="3F22160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建设单位未将保证安全施工的措施或者拆除工程的有关资料报送有关部门备案</w:t>
            </w:r>
          </w:p>
        </w:tc>
        <w:tc>
          <w:tcPr>
            <w:tcW w:w="2793" w:type="dxa"/>
            <w:gridSpan w:val="2"/>
            <w:tcBorders>
              <w:top w:val="nil"/>
              <w:left w:val="nil"/>
              <w:bottom w:val="single" w:color="auto" w:sz="4" w:space="0"/>
              <w:right w:val="single" w:color="auto" w:sz="4" w:space="0"/>
            </w:tcBorders>
            <w:noWrap w:val="0"/>
            <w:vAlign w:val="center"/>
          </w:tcPr>
          <w:p w14:paraId="79C83EB6">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违反条款：《条例》第十条第二款、第十一条第二款第（一）项、第（二）项；</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处罚条款：《条例》第五十四条第二款，责令限期改正，给予警告。</w:t>
            </w:r>
          </w:p>
        </w:tc>
        <w:tc>
          <w:tcPr>
            <w:tcW w:w="864" w:type="dxa"/>
            <w:gridSpan w:val="2"/>
            <w:tcBorders>
              <w:top w:val="nil"/>
              <w:left w:val="nil"/>
              <w:bottom w:val="single" w:color="auto" w:sz="4" w:space="0"/>
              <w:right w:val="single" w:color="auto" w:sz="4" w:space="0"/>
            </w:tcBorders>
            <w:noWrap w:val="0"/>
            <w:vAlign w:val="center"/>
          </w:tcPr>
          <w:p w14:paraId="293B9978">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 /</w:t>
            </w:r>
          </w:p>
        </w:tc>
        <w:tc>
          <w:tcPr>
            <w:tcW w:w="840" w:type="dxa"/>
            <w:tcBorders>
              <w:top w:val="nil"/>
              <w:left w:val="nil"/>
              <w:bottom w:val="single" w:color="auto" w:sz="4" w:space="0"/>
              <w:right w:val="single" w:color="auto" w:sz="4" w:space="0"/>
            </w:tcBorders>
            <w:noWrap w:val="0"/>
            <w:vAlign w:val="center"/>
          </w:tcPr>
          <w:p w14:paraId="2FFA124E">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3430" w:type="dxa"/>
            <w:gridSpan w:val="2"/>
            <w:tcBorders>
              <w:top w:val="nil"/>
              <w:left w:val="nil"/>
              <w:bottom w:val="single" w:color="auto" w:sz="4" w:space="0"/>
              <w:right w:val="single" w:color="auto" w:sz="4" w:space="0"/>
            </w:tcBorders>
            <w:noWrap w:val="0"/>
            <w:vAlign w:val="center"/>
          </w:tcPr>
          <w:p w14:paraId="01694035">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881" w:type="dxa"/>
            <w:gridSpan w:val="2"/>
            <w:tcBorders>
              <w:top w:val="nil"/>
              <w:left w:val="nil"/>
              <w:bottom w:val="single" w:color="auto" w:sz="4" w:space="0"/>
              <w:right w:val="single" w:color="auto" w:sz="4" w:space="0"/>
            </w:tcBorders>
            <w:noWrap w:val="0"/>
            <w:vAlign w:val="center"/>
          </w:tcPr>
          <w:p w14:paraId="51C342CB">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c>
          <w:tcPr>
            <w:tcW w:w="1973" w:type="dxa"/>
            <w:gridSpan w:val="2"/>
            <w:tcBorders>
              <w:top w:val="nil"/>
              <w:left w:val="nil"/>
              <w:bottom w:val="single" w:color="auto" w:sz="4" w:space="0"/>
              <w:right w:val="single" w:color="auto" w:sz="4" w:space="0"/>
            </w:tcBorders>
            <w:noWrap w:val="0"/>
            <w:vAlign w:val="center"/>
          </w:tcPr>
          <w:p w14:paraId="00DC9EF5">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w:t>
            </w:r>
          </w:p>
        </w:tc>
      </w:tr>
      <w:tr w14:paraId="36ECE3F2">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33" w:type="dxa"/>
          <w:trHeight w:val="1330" w:hRule="atLeast"/>
        </w:trPr>
        <w:tc>
          <w:tcPr>
            <w:tcW w:w="612" w:type="dxa"/>
            <w:gridSpan w:val="2"/>
            <w:tcBorders>
              <w:top w:val="nil"/>
              <w:left w:val="single" w:color="auto" w:sz="4" w:space="0"/>
              <w:bottom w:val="single" w:color="auto" w:sz="4" w:space="0"/>
              <w:right w:val="single" w:color="auto" w:sz="4" w:space="0"/>
            </w:tcBorders>
            <w:noWrap/>
            <w:vAlign w:val="center"/>
          </w:tcPr>
          <w:p w14:paraId="54EFF033">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28</w:t>
            </w:r>
          </w:p>
        </w:tc>
        <w:tc>
          <w:tcPr>
            <w:tcW w:w="1811" w:type="dxa"/>
            <w:tcBorders>
              <w:top w:val="nil"/>
              <w:left w:val="nil"/>
              <w:bottom w:val="single" w:color="auto" w:sz="4" w:space="0"/>
              <w:right w:val="single" w:color="auto" w:sz="4" w:space="0"/>
            </w:tcBorders>
            <w:noWrap w:val="0"/>
            <w:vAlign w:val="center"/>
          </w:tcPr>
          <w:p w14:paraId="7725E442">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出租单位出租未经安全性能检测或者经检测不合格的机械设备和施工机具及配件</w:t>
            </w:r>
          </w:p>
        </w:tc>
        <w:tc>
          <w:tcPr>
            <w:tcW w:w="2793" w:type="dxa"/>
            <w:gridSpan w:val="2"/>
            <w:tcBorders>
              <w:top w:val="nil"/>
              <w:left w:val="nil"/>
              <w:bottom w:val="single" w:color="auto" w:sz="4" w:space="0"/>
              <w:right w:val="single" w:color="auto" w:sz="4" w:space="0"/>
            </w:tcBorders>
            <w:noWrap w:val="0"/>
            <w:vAlign w:val="center"/>
          </w:tcPr>
          <w:p w14:paraId="702BDC9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违反条款：《条例》第十六条第二款、第十六条第三款；</w:t>
            </w:r>
            <w:r>
              <w:rPr>
                <w:rFonts w:hint="eastAsia" w:ascii="宋体" w:hAnsi="宋体" w:eastAsia="宋体" w:cs="宋体"/>
                <w:color w:val="auto"/>
                <w:kern w:val="0"/>
                <w:sz w:val="15"/>
                <w:szCs w:val="15"/>
                <w:highlight w:val="none"/>
              </w:rPr>
              <w:br w:type="textWrapping"/>
            </w:r>
            <w:r>
              <w:rPr>
                <w:rFonts w:hint="eastAsia" w:ascii="宋体" w:hAnsi="宋体" w:eastAsia="宋体" w:cs="宋体"/>
                <w:color w:val="auto"/>
                <w:kern w:val="0"/>
                <w:sz w:val="15"/>
                <w:szCs w:val="15"/>
                <w:highlight w:val="none"/>
              </w:rPr>
              <w:t>处罚条款：《条例》第六十条，责令停业整顿，并处5万元以上10万元以下的罚款。</w:t>
            </w:r>
          </w:p>
        </w:tc>
        <w:tc>
          <w:tcPr>
            <w:tcW w:w="864" w:type="dxa"/>
            <w:gridSpan w:val="2"/>
            <w:tcBorders>
              <w:top w:val="nil"/>
              <w:left w:val="nil"/>
              <w:bottom w:val="single" w:color="auto" w:sz="4" w:space="0"/>
              <w:right w:val="single" w:color="auto" w:sz="4" w:space="0"/>
            </w:tcBorders>
            <w:noWrap w:val="0"/>
            <w:vAlign w:val="center"/>
          </w:tcPr>
          <w:p w14:paraId="530C782F">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50000 </w:t>
            </w:r>
          </w:p>
        </w:tc>
        <w:tc>
          <w:tcPr>
            <w:tcW w:w="840" w:type="dxa"/>
            <w:tcBorders>
              <w:top w:val="nil"/>
              <w:left w:val="nil"/>
              <w:bottom w:val="single" w:color="auto" w:sz="4" w:space="0"/>
              <w:right w:val="single" w:color="auto" w:sz="4" w:space="0"/>
            </w:tcBorders>
            <w:noWrap w:val="0"/>
            <w:vAlign w:val="center"/>
          </w:tcPr>
          <w:p w14:paraId="0E19C230">
            <w:pPr>
              <w:widowControl/>
              <w:jc w:val="center"/>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 xml:space="preserve">1 </w:t>
            </w:r>
          </w:p>
        </w:tc>
        <w:tc>
          <w:tcPr>
            <w:tcW w:w="3430" w:type="dxa"/>
            <w:gridSpan w:val="2"/>
            <w:tcBorders>
              <w:top w:val="nil"/>
              <w:left w:val="nil"/>
              <w:bottom w:val="single" w:color="auto" w:sz="4" w:space="0"/>
              <w:right w:val="single" w:color="auto" w:sz="4" w:space="0"/>
            </w:tcBorders>
            <w:noWrap w:val="0"/>
            <w:vAlign w:val="center"/>
          </w:tcPr>
          <w:p w14:paraId="36E87889">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1.出租未经安全性能检测或者经检测不合格的机械设备和施工机具及配件数量＜2台（件），系数为0；2.2台（件）≤出租未经安全性能检测或者经检测不合格的机械设备和施工机具及配件数量＜5台（件），系数为0.5；3.5台（件）≤出租未经安全性能检测或者经检测不合格的机械设备和施工机具及配件数量或造成</w:t>
            </w:r>
            <w:r>
              <w:rPr>
                <w:rFonts w:hint="eastAsia" w:ascii="宋体" w:hAnsi="宋体" w:eastAsia="宋体" w:cs="宋体"/>
                <w:color w:val="auto"/>
                <w:kern w:val="0"/>
                <w:sz w:val="15"/>
                <w:szCs w:val="15"/>
                <w:highlight w:val="none"/>
                <w:lang w:eastAsia="zh-CN"/>
              </w:rPr>
              <w:t>其他</w:t>
            </w:r>
            <w:r>
              <w:rPr>
                <w:rFonts w:hint="eastAsia" w:ascii="宋体" w:hAnsi="宋体" w:eastAsia="宋体" w:cs="宋体"/>
                <w:color w:val="auto"/>
                <w:kern w:val="0"/>
                <w:sz w:val="15"/>
                <w:szCs w:val="15"/>
                <w:highlight w:val="none"/>
              </w:rPr>
              <w:t>恶劣影响，系数为1。4.存在基准2.1.3规定情形的，系数按照相关规定确定（基准2.1.3.5不适用）。</w:t>
            </w:r>
          </w:p>
        </w:tc>
        <w:tc>
          <w:tcPr>
            <w:tcW w:w="1881" w:type="dxa"/>
            <w:gridSpan w:val="2"/>
            <w:tcBorders>
              <w:top w:val="nil"/>
              <w:left w:val="nil"/>
              <w:bottom w:val="single" w:color="auto" w:sz="4" w:space="0"/>
              <w:right w:val="single" w:color="auto" w:sz="4" w:space="0"/>
            </w:tcBorders>
            <w:noWrap w:val="0"/>
            <w:vAlign w:val="center"/>
          </w:tcPr>
          <w:p w14:paraId="7E67509E">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罚款金额=50000×（1+情节系数）</w:t>
            </w:r>
          </w:p>
        </w:tc>
        <w:tc>
          <w:tcPr>
            <w:tcW w:w="1973" w:type="dxa"/>
            <w:gridSpan w:val="2"/>
            <w:tcBorders>
              <w:top w:val="nil"/>
              <w:left w:val="nil"/>
              <w:bottom w:val="single" w:color="auto" w:sz="4" w:space="0"/>
              <w:right w:val="single" w:color="auto" w:sz="4" w:space="0"/>
            </w:tcBorders>
            <w:noWrap w:val="0"/>
            <w:vAlign w:val="center"/>
          </w:tcPr>
          <w:p w14:paraId="6FB35EC0">
            <w:pPr>
              <w:widowControl/>
              <w:jc w:val="left"/>
              <w:rPr>
                <w:rFonts w:hint="eastAsia" w:ascii="宋体" w:hAnsi="宋体" w:eastAsia="宋体" w:cs="宋体"/>
                <w:color w:val="auto"/>
                <w:kern w:val="0"/>
                <w:sz w:val="15"/>
                <w:szCs w:val="15"/>
                <w:highlight w:val="none"/>
              </w:rPr>
            </w:pPr>
            <w:r>
              <w:rPr>
                <w:rFonts w:hint="eastAsia" w:ascii="宋体" w:hAnsi="宋体" w:eastAsia="宋体" w:cs="宋体"/>
                <w:color w:val="auto"/>
                <w:kern w:val="0"/>
                <w:sz w:val="15"/>
                <w:szCs w:val="15"/>
                <w:highlight w:val="none"/>
              </w:rPr>
              <w:t>拟作出停业整顿的，在作出处罚决定前，要邀请行业主管部门共同会商。</w:t>
            </w:r>
          </w:p>
        </w:tc>
      </w:tr>
    </w:tbl>
    <w:p w14:paraId="0305EE10">
      <w:pPr>
        <w:pStyle w:val="8"/>
        <w:rPr>
          <w:color w:val="auto"/>
          <w:highlight w:val="none"/>
        </w:rPr>
      </w:pPr>
    </w:p>
    <w:p w14:paraId="525270C2">
      <w:pPr>
        <w:pStyle w:val="22"/>
        <w:rPr>
          <w:color w:val="auto"/>
          <w:highlight w:val="none"/>
        </w:rPr>
      </w:pPr>
    </w:p>
    <w:p w14:paraId="7E6A9B81">
      <w:pPr>
        <w:pStyle w:val="22"/>
        <w:rPr>
          <w:color w:val="auto"/>
          <w:highlight w:val="none"/>
        </w:rPr>
      </w:pPr>
    </w:p>
    <w:sectPr>
      <w:footerReference r:id="rId4" w:type="default"/>
      <w:pgSz w:w="16840" w:h="11850" w:orient="landscape"/>
      <w:pgMar w:top="1134" w:right="1247" w:bottom="1134" w:left="1361" w:header="851" w:footer="624" w:gutter="0"/>
      <w:pgNumType w:fmt="decimal" w:start="1"/>
      <w:cols w:space="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Batang">
    <w:altName w:val="Malgun Gothic"/>
    <w:panose1 w:val="02030600000101010101"/>
    <w:charset w:val="81"/>
    <w:family w:val="roman"/>
    <w:pitch w:val="default"/>
    <w:sig w:usb0="00000000" w:usb1="00000000" w:usb2="00000030" w:usb3="00000000" w:csb0="0008009F" w:csb1="00000000"/>
  </w:font>
  <w:font w:name="Noto Sans CJK KR">
    <w:altName w:val="宋体"/>
    <w:panose1 w:val="020B0500000000000000"/>
    <w:charset w:val="86"/>
    <w:family w:val="auto"/>
    <w:pitch w:val="default"/>
    <w:sig w:usb0="00000000" w:usb1="00000000" w:usb2="00000016" w:usb3="00000000" w:csb0="602E0107" w:csb1="00000000"/>
  </w:font>
  <w:font w:name="Microsoft JhengHei">
    <w:panose1 w:val="020B0604030504040204"/>
    <w:charset w:val="88"/>
    <w:family w:val="swiss"/>
    <w:pitch w:val="default"/>
    <w:sig w:usb0="000002A7" w:usb1="28CF4400" w:usb2="00000016" w:usb3="00000000" w:csb0="00100009"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78794">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E0724C">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6E0724C">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39A88">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C302BD">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8C302BD">
                    <w:pPr>
                      <w:pStyle w:val="1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DEF8A"/>
    <w:multiLevelType w:val="multilevel"/>
    <w:tmpl w:val="85DDEF8A"/>
    <w:lvl w:ilvl="0" w:tentative="0">
      <w:start w:val="1"/>
      <w:numFmt w:val="decimal"/>
      <w:suff w:val="space"/>
      <w:lvlText w:val="%1."/>
      <w:lvlJc w:val="left"/>
    </w:lvl>
    <w:lvl w:ilvl="1" w:tentative="0">
      <w:start w:val="1"/>
      <w:numFmt w:val="decimal"/>
      <w:lvlText w:val="%1.%2."/>
      <w:lvlJc w:val="left"/>
      <w:pPr>
        <w:tabs>
          <w:tab w:val="left" w:pos="312"/>
        </w:tabs>
        <w:ind w:left="0" w:leftChars="0" w:firstLine="0" w:firstLineChars="0"/>
      </w:pPr>
      <w:rPr>
        <w:rFonts w:hint="default"/>
      </w:rPr>
    </w:lvl>
    <w:lvl w:ilvl="2" w:tentative="0">
      <w:start w:val="1"/>
      <w:numFmt w:val="decimal"/>
      <w:lvlText w:val="%1.%2.%3."/>
      <w:lvlJc w:val="left"/>
      <w:pPr>
        <w:tabs>
          <w:tab w:val="left" w:pos="312"/>
        </w:tabs>
        <w:ind w:left="0" w:leftChars="0" w:firstLine="0" w:firstLineChars="0"/>
      </w:pPr>
      <w:rPr>
        <w:rFonts w:hint="default"/>
      </w:rPr>
    </w:lvl>
    <w:lvl w:ilvl="3" w:tentative="0">
      <w:start w:val="1"/>
      <w:numFmt w:val="decimal"/>
      <w:lvlText w:val="%1.%2.%3.%4."/>
      <w:lvlJc w:val="left"/>
      <w:pPr>
        <w:tabs>
          <w:tab w:val="left" w:pos="312"/>
        </w:tabs>
        <w:ind w:left="0" w:leftChars="0" w:firstLine="0" w:firstLineChars="0"/>
      </w:pPr>
      <w:rPr>
        <w:rFonts w:hint="default"/>
      </w:rPr>
    </w:lvl>
    <w:lvl w:ilvl="4" w:tentative="0">
      <w:start w:val="1"/>
      <w:numFmt w:val="decimal"/>
      <w:lvlText w:val="%1.%2.%3.%4.%5."/>
      <w:lvlJc w:val="left"/>
      <w:pPr>
        <w:tabs>
          <w:tab w:val="left" w:pos="312"/>
        </w:tabs>
        <w:ind w:left="0" w:leftChars="0" w:firstLine="0" w:firstLineChars="0"/>
      </w:pPr>
      <w:rPr>
        <w:rFonts w:hint="default"/>
      </w:rPr>
    </w:lvl>
    <w:lvl w:ilvl="5" w:tentative="0">
      <w:start w:val="1"/>
      <w:numFmt w:val="decimal"/>
      <w:lvlText w:val="%1.%2.%3.%4.%5.%6."/>
      <w:lvlJc w:val="left"/>
      <w:pPr>
        <w:tabs>
          <w:tab w:val="left" w:pos="312"/>
        </w:tabs>
        <w:ind w:left="0" w:leftChars="0" w:firstLine="0" w:firstLineChars="0"/>
      </w:pPr>
      <w:rPr>
        <w:rFonts w:hint="default"/>
      </w:rPr>
    </w:lvl>
    <w:lvl w:ilvl="6" w:tentative="0">
      <w:start w:val="1"/>
      <w:numFmt w:val="decimal"/>
      <w:lvlText w:val="%1.%2.%3.%4.%5.%6.%7."/>
      <w:lvlJc w:val="left"/>
      <w:pPr>
        <w:tabs>
          <w:tab w:val="left" w:pos="312"/>
        </w:tabs>
        <w:ind w:left="0" w:leftChars="0" w:firstLine="0" w:firstLineChars="0"/>
      </w:pPr>
      <w:rPr>
        <w:rFonts w:hint="default"/>
      </w:rPr>
    </w:lvl>
    <w:lvl w:ilvl="7" w:tentative="0">
      <w:start w:val="1"/>
      <w:numFmt w:val="decimal"/>
      <w:lvlText w:val="%1.%2.%3.%4.%5.%6.%7.%8."/>
      <w:lvlJc w:val="left"/>
      <w:pPr>
        <w:tabs>
          <w:tab w:val="left" w:pos="312"/>
        </w:tabs>
        <w:ind w:left="0" w:leftChars="0" w:firstLine="0" w:firstLineChars="0"/>
      </w:pPr>
      <w:rPr>
        <w:rFonts w:hint="default"/>
      </w:rPr>
    </w:lvl>
    <w:lvl w:ilvl="8" w:tentative="0">
      <w:start w:val="1"/>
      <w:numFmt w:val="decimal"/>
      <w:lvlText w:val="%1.%2.%3.%4.%5.%6.%7.%8.%9."/>
      <w:lvlJc w:val="left"/>
      <w:pPr>
        <w:tabs>
          <w:tab w:val="left" w:pos="312"/>
        </w:tabs>
        <w:ind w:left="0" w:leftChars="0" w:firstLine="0" w:firstLineChars="0"/>
      </w:pPr>
      <w:rPr>
        <w:rFonts w:hint="default"/>
      </w:rPr>
    </w:lvl>
  </w:abstractNum>
  <w:abstractNum w:abstractNumId="1">
    <w:nsid w:val="A974AF0F"/>
    <w:multiLevelType w:val="singleLevel"/>
    <w:tmpl w:val="A974AF0F"/>
    <w:lvl w:ilvl="0" w:tentative="0">
      <w:start w:val="1"/>
      <w:numFmt w:val="chineseCounting"/>
      <w:suff w:val="nothing"/>
      <w:lvlText w:val="（%1）"/>
      <w:lvlJc w:val="left"/>
      <w:rPr>
        <w:rFonts w:hint="eastAsia"/>
      </w:rPr>
    </w:lvl>
  </w:abstractNum>
  <w:abstractNum w:abstractNumId="2">
    <w:nsid w:val="B7F5427C"/>
    <w:multiLevelType w:val="singleLevel"/>
    <w:tmpl w:val="B7F5427C"/>
    <w:lvl w:ilvl="0" w:tentative="0">
      <w:start w:val="1"/>
      <w:numFmt w:val="decimal"/>
      <w:suff w:val="space"/>
      <w:lvlText w:val="%1."/>
      <w:lvlJc w:val="left"/>
    </w:lvl>
  </w:abstractNum>
  <w:abstractNum w:abstractNumId="3">
    <w:nsid w:val="BF0754D2"/>
    <w:multiLevelType w:val="singleLevel"/>
    <w:tmpl w:val="BF0754D2"/>
    <w:lvl w:ilvl="0" w:tentative="0">
      <w:start w:val="1"/>
      <w:numFmt w:val="decimal"/>
      <w:suff w:val="space"/>
      <w:lvlText w:val="%1."/>
      <w:lvlJc w:val="left"/>
    </w:lvl>
  </w:abstractNum>
  <w:abstractNum w:abstractNumId="4">
    <w:nsid w:val="BFE2BC99"/>
    <w:multiLevelType w:val="singleLevel"/>
    <w:tmpl w:val="BFE2BC99"/>
    <w:lvl w:ilvl="0" w:tentative="0">
      <w:start w:val="1"/>
      <w:numFmt w:val="chineseCounting"/>
      <w:suff w:val="nothing"/>
      <w:lvlText w:val="（%1）"/>
      <w:lvlJc w:val="left"/>
      <w:rPr>
        <w:rFonts w:hint="eastAsia"/>
      </w:rPr>
    </w:lvl>
  </w:abstractNum>
  <w:abstractNum w:abstractNumId="5">
    <w:nsid w:val="DFDE10FF"/>
    <w:multiLevelType w:val="singleLevel"/>
    <w:tmpl w:val="DFDE10FF"/>
    <w:lvl w:ilvl="0" w:tentative="0">
      <w:start w:val="1"/>
      <w:numFmt w:val="decimal"/>
      <w:suff w:val="space"/>
      <w:lvlText w:val="%1."/>
      <w:lvlJc w:val="left"/>
    </w:lvl>
  </w:abstractNum>
  <w:abstractNum w:abstractNumId="6">
    <w:nsid w:val="EFFE277D"/>
    <w:multiLevelType w:val="singleLevel"/>
    <w:tmpl w:val="EFFE277D"/>
    <w:lvl w:ilvl="0" w:tentative="0">
      <w:start w:val="1"/>
      <w:numFmt w:val="decimal"/>
      <w:suff w:val="space"/>
      <w:lvlText w:val="%1."/>
      <w:lvlJc w:val="left"/>
    </w:lvl>
  </w:abstractNum>
  <w:abstractNum w:abstractNumId="7">
    <w:nsid w:val="FEDAE7DC"/>
    <w:multiLevelType w:val="singleLevel"/>
    <w:tmpl w:val="FEDAE7DC"/>
    <w:lvl w:ilvl="0" w:tentative="0">
      <w:start w:val="1"/>
      <w:numFmt w:val="decimal"/>
      <w:suff w:val="space"/>
      <w:lvlText w:val="%1."/>
      <w:lvlJc w:val="left"/>
    </w:lvl>
  </w:abstractNum>
  <w:abstractNum w:abstractNumId="8">
    <w:nsid w:val="FEEDE682"/>
    <w:multiLevelType w:val="singleLevel"/>
    <w:tmpl w:val="FEEDE682"/>
    <w:lvl w:ilvl="0" w:tentative="0">
      <w:start w:val="1"/>
      <w:numFmt w:val="chineseCounting"/>
      <w:suff w:val="nothing"/>
      <w:lvlText w:val="（%1）"/>
      <w:lvlJc w:val="left"/>
      <w:rPr>
        <w:rFonts w:hint="eastAsia"/>
      </w:rPr>
    </w:lvl>
  </w:abstractNum>
  <w:abstractNum w:abstractNumId="9">
    <w:nsid w:val="FEFE7387"/>
    <w:multiLevelType w:val="singleLevel"/>
    <w:tmpl w:val="FEFE7387"/>
    <w:lvl w:ilvl="0" w:tentative="0">
      <w:start w:val="1"/>
      <w:numFmt w:val="chineseCounting"/>
      <w:suff w:val="nothing"/>
      <w:lvlText w:val="（%1）"/>
      <w:lvlJc w:val="left"/>
      <w:rPr>
        <w:rFonts w:hint="eastAsia"/>
      </w:rPr>
    </w:lvl>
  </w:abstractNum>
  <w:abstractNum w:abstractNumId="10">
    <w:nsid w:val="FFD1728C"/>
    <w:multiLevelType w:val="singleLevel"/>
    <w:tmpl w:val="FFD1728C"/>
    <w:lvl w:ilvl="0" w:tentative="0">
      <w:start w:val="1"/>
      <w:numFmt w:val="chineseCounting"/>
      <w:suff w:val="nothing"/>
      <w:lvlText w:val="（%1）"/>
      <w:lvlJc w:val="left"/>
      <w:rPr>
        <w:rFonts w:hint="eastAsia"/>
      </w:rPr>
    </w:lvl>
  </w:abstractNum>
  <w:abstractNum w:abstractNumId="11">
    <w:nsid w:val="5FDEA46E"/>
    <w:multiLevelType w:val="singleLevel"/>
    <w:tmpl w:val="5FDEA46E"/>
    <w:lvl w:ilvl="0" w:tentative="0">
      <w:start w:val="1"/>
      <w:numFmt w:val="chineseCounting"/>
      <w:suff w:val="nothing"/>
      <w:lvlText w:val="（%1）"/>
      <w:lvlJc w:val="left"/>
      <w:rPr>
        <w:rFonts w:hint="eastAsia"/>
      </w:rPr>
    </w:lvl>
  </w:abstractNum>
  <w:abstractNum w:abstractNumId="12">
    <w:nsid w:val="6BEE3C38"/>
    <w:multiLevelType w:val="singleLevel"/>
    <w:tmpl w:val="6BEE3C38"/>
    <w:lvl w:ilvl="0" w:tentative="0">
      <w:start w:val="1"/>
      <w:numFmt w:val="decimal"/>
      <w:suff w:val="space"/>
      <w:lvlText w:val="%1."/>
      <w:lvlJc w:val="left"/>
    </w:lvl>
  </w:abstractNum>
  <w:num w:numId="1">
    <w:abstractNumId w:val="5"/>
  </w:num>
  <w:num w:numId="2">
    <w:abstractNumId w:val="6"/>
  </w:num>
  <w:num w:numId="3">
    <w:abstractNumId w:val="7"/>
  </w:num>
  <w:num w:numId="4">
    <w:abstractNumId w:val="12"/>
  </w:num>
  <w:num w:numId="5">
    <w:abstractNumId w:val="3"/>
  </w:num>
  <w:num w:numId="6">
    <w:abstractNumId w:val="2"/>
  </w:num>
  <w:num w:numId="7">
    <w:abstractNumId w:val="0"/>
  </w:num>
  <w:num w:numId="8">
    <w:abstractNumId w:val="1"/>
  </w:num>
  <w:num w:numId="9">
    <w:abstractNumId w:val="11"/>
  </w:num>
  <w:num w:numId="10">
    <w:abstractNumId w:val="9"/>
  </w:num>
  <w:num w:numId="11">
    <w:abstractNumId w:val="10"/>
  </w:num>
  <w:num w:numId="12">
    <w:abstractNumId w:val="4"/>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hideSpellingErrors/>
  <w:documentProtection w:enforcement="0"/>
  <w:defaultTabStop w:val="42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yZmRlNjE4MWQyYWU5Mzg4NzNjM2NhNzA3YTQzYTI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67634CC"/>
    <w:rsid w:val="06E5FA60"/>
    <w:rsid w:val="09F64F97"/>
    <w:rsid w:val="0A0D460E"/>
    <w:rsid w:val="0AEF46DA"/>
    <w:rsid w:val="0B9F92F6"/>
    <w:rsid w:val="0BB55F0B"/>
    <w:rsid w:val="0BF216FD"/>
    <w:rsid w:val="0BFBDC50"/>
    <w:rsid w:val="0C14055E"/>
    <w:rsid w:val="0D7E46F1"/>
    <w:rsid w:val="0DB203EF"/>
    <w:rsid w:val="0EA6FEA5"/>
    <w:rsid w:val="0EC7610D"/>
    <w:rsid w:val="0EEE2A65"/>
    <w:rsid w:val="0EFBC5A6"/>
    <w:rsid w:val="0F260DF9"/>
    <w:rsid w:val="0FAD61F6"/>
    <w:rsid w:val="0FBFF7C9"/>
    <w:rsid w:val="0FC138D0"/>
    <w:rsid w:val="0FD550EB"/>
    <w:rsid w:val="0FDE9848"/>
    <w:rsid w:val="0FEFC186"/>
    <w:rsid w:val="1126007C"/>
    <w:rsid w:val="11443462"/>
    <w:rsid w:val="11AE7893"/>
    <w:rsid w:val="11BB0CCA"/>
    <w:rsid w:val="12EF1C78"/>
    <w:rsid w:val="13391315"/>
    <w:rsid w:val="139C4A79"/>
    <w:rsid w:val="139F60FB"/>
    <w:rsid w:val="13EE4AF4"/>
    <w:rsid w:val="142313E0"/>
    <w:rsid w:val="15BBDD74"/>
    <w:rsid w:val="15BFBDD0"/>
    <w:rsid w:val="15D74C1C"/>
    <w:rsid w:val="15F589D8"/>
    <w:rsid w:val="15FBD6F7"/>
    <w:rsid w:val="15FEFF7A"/>
    <w:rsid w:val="15FF6BF6"/>
    <w:rsid w:val="16AFC733"/>
    <w:rsid w:val="16BC7E7D"/>
    <w:rsid w:val="17515270"/>
    <w:rsid w:val="17746151"/>
    <w:rsid w:val="17893B6A"/>
    <w:rsid w:val="178B26DA"/>
    <w:rsid w:val="17CEEBA9"/>
    <w:rsid w:val="17D3217B"/>
    <w:rsid w:val="17F5BC6F"/>
    <w:rsid w:val="17FEE426"/>
    <w:rsid w:val="17FFDA05"/>
    <w:rsid w:val="18747E96"/>
    <w:rsid w:val="19376D81"/>
    <w:rsid w:val="1ADCBA5F"/>
    <w:rsid w:val="1AEE8DC9"/>
    <w:rsid w:val="1AFF4782"/>
    <w:rsid w:val="1B0BDA71"/>
    <w:rsid w:val="1B644773"/>
    <w:rsid w:val="1B7D324B"/>
    <w:rsid w:val="1BEF7657"/>
    <w:rsid w:val="1BF35E59"/>
    <w:rsid w:val="1BFE9E91"/>
    <w:rsid w:val="1C0F2D2D"/>
    <w:rsid w:val="1C4C4F36"/>
    <w:rsid w:val="1CD3427C"/>
    <w:rsid w:val="1CDEA6F5"/>
    <w:rsid w:val="1CEDBEA8"/>
    <w:rsid w:val="1D56F24F"/>
    <w:rsid w:val="1D916302"/>
    <w:rsid w:val="1DF7C2DA"/>
    <w:rsid w:val="1E3C30A0"/>
    <w:rsid w:val="1E3DAADE"/>
    <w:rsid w:val="1E3F8C2A"/>
    <w:rsid w:val="1E3F93AF"/>
    <w:rsid w:val="1E7236B6"/>
    <w:rsid w:val="1E9BF98F"/>
    <w:rsid w:val="1EC60A0F"/>
    <w:rsid w:val="1EC77D42"/>
    <w:rsid w:val="1ECB3ED3"/>
    <w:rsid w:val="1ECEB824"/>
    <w:rsid w:val="1ED33082"/>
    <w:rsid w:val="1EFD25F9"/>
    <w:rsid w:val="1F56FFA1"/>
    <w:rsid w:val="1F7E0EE0"/>
    <w:rsid w:val="1FA61EEB"/>
    <w:rsid w:val="1FAF9374"/>
    <w:rsid w:val="1FBD9899"/>
    <w:rsid w:val="1FBFF6EA"/>
    <w:rsid w:val="1FCF9E2A"/>
    <w:rsid w:val="1FD9E9C8"/>
    <w:rsid w:val="1FDF0654"/>
    <w:rsid w:val="1FE716A2"/>
    <w:rsid w:val="1FEC0A29"/>
    <w:rsid w:val="1FEF8B73"/>
    <w:rsid w:val="1FF061BE"/>
    <w:rsid w:val="1FFFD3DA"/>
    <w:rsid w:val="22C62F3A"/>
    <w:rsid w:val="23415B68"/>
    <w:rsid w:val="23F10D53"/>
    <w:rsid w:val="23F6AEF3"/>
    <w:rsid w:val="23FF2E7D"/>
    <w:rsid w:val="23FFEB2E"/>
    <w:rsid w:val="245E2EB0"/>
    <w:rsid w:val="24AA73A6"/>
    <w:rsid w:val="24D3A756"/>
    <w:rsid w:val="24E81237"/>
    <w:rsid w:val="24FEEDB8"/>
    <w:rsid w:val="261563B9"/>
    <w:rsid w:val="26E75257"/>
    <w:rsid w:val="271E9C29"/>
    <w:rsid w:val="272E548B"/>
    <w:rsid w:val="273F7E17"/>
    <w:rsid w:val="27532774"/>
    <w:rsid w:val="27720C4C"/>
    <w:rsid w:val="27B6DF63"/>
    <w:rsid w:val="27C70235"/>
    <w:rsid w:val="27D30408"/>
    <w:rsid w:val="27DEC9A5"/>
    <w:rsid w:val="27EE77CF"/>
    <w:rsid w:val="27FAFE75"/>
    <w:rsid w:val="284B6909"/>
    <w:rsid w:val="286379F8"/>
    <w:rsid w:val="2959155B"/>
    <w:rsid w:val="298FF876"/>
    <w:rsid w:val="29CE0AFE"/>
    <w:rsid w:val="2A050A46"/>
    <w:rsid w:val="2A6D712E"/>
    <w:rsid w:val="2A9BAECF"/>
    <w:rsid w:val="2AA74037"/>
    <w:rsid w:val="2AFDAF60"/>
    <w:rsid w:val="2B9EE5ED"/>
    <w:rsid w:val="2BD27518"/>
    <w:rsid w:val="2BF7CC53"/>
    <w:rsid w:val="2BFA0AF0"/>
    <w:rsid w:val="2BFD14DB"/>
    <w:rsid w:val="2BFE9CF9"/>
    <w:rsid w:val="2BFEB9B3"/>
    <w:rsid w:val="2BFFA8A5"/>
    <w:rsid w:val="2C555706"/>
    <w:rsid w:val="2C7DBA9F"/>
    <w:rsid w:val="2D7CE878"/>
    <w:rsid w:val="2D860E5E"/>
    <w:rsid w:val="2D88708D"/>
    <w:rsid w:val="2D9E7B63"/>
    <w:rsid w:val="2DA489B3"/>
    <w:rsid w:val="2DB91642"/>
    <w:rsid w:val="2DBF8C46"/>
    <w:rsid w:val="2DDBB70C"/>
    <w:rsid w:val="2DE79E48"/>
    <w:rsid w:val="2DF1864B"/>
    <w:rsid w:val="2DF77DAF"/>
    <w:rsid w:val="2DF8EFDA"/>
    <w:rsid w:val="2E04154E"/>
    <w:rsid w:val="2E39630E"/>
    <w:rsid w:val="2E3F64C0"/>
    <w:rsid w:val="2E6DCBCF"/>
    <w:rsid w:val="2E6F47F6"/>
    <w:rsid w:val="2E9B49AF"/>
    <w:rsid w:val="2EB70BE4"/>
    <w:rsid w:val="2EBF45EA"/>
    <w:rsid w:val="2EEE6647"/>
    <w:rsid w:val="2EF515A8"/>
    <w:rsid w:val="2EFB4327"/>
    <w:rsid w:val="2F54530E"/>
    <w:rsid w:val="2F776DEB"/>
    <w:rsid w:val="2F8215FD"/>
    <w:rsid w:val="2F8D0557"/>
    <w:rsid w:val="2F9FED17"/>
    <w:rsid w:val="2FB7E173"/>
    <w:rsid w:val="2FBD08A7"/>
    <w:rsid w:val="2FBD937F"/>
    <w:rsid w:val="2FBF4E4B"/>
    <w:rsid w:val="2FBF6FB8"/>
    <w:rsid w:val="2FD88657"/>
    <w:rsid w:val="2FDF2FBB"/>
    <w:rsid w:val="2FE1EA2D"/>
    <w:rsid w:val="2FF78CBA"/>
    <w:rsid w:val="2FF85BCB"/>
    <w:rsid w:val="2FFD1DA2"/>
    <w:rsid w:val="30921B85"/>
    <w:rsid w:val="32D103B5"/>
    <w:rsid w:val="335F5F1A"/>
    <w:rsid w:val="335FA238"/>
    <w:rsid w:val="3377848B"/>
    <w:rsid w:val="337F4580"/>
    <w:rsid w:val="337FEAF9"/>
    <w:rsid w:val="33AD165B"/>
    <w:rsid w:val="33BE9CD5"/>
    <w:rsid w:val="33C02300"/>
    <w:rsid w:val="33E7DEB3"/>
    <w:rsid w:val="33EFA73C"/>
    <w:rsid w:val="33F5E36A"/>
    <w:rsid w:val="33FF701F"/>
    <w:rsid w:val="3475285E"/>
    <w:rsid w:val="34790FFC"/>
    <w:rsid w:val="34DFCC51"/>
    <w:rsid w:val="353F41D3"/>
    <w:rsid w:val="357513AA"/>
    <w:rsid w:val="357DCF0A"/>
    <w:rsid w:val="357F2124"/>
    <w:rsid w:val="35913FBB"/>
    <w:rsid w:val="35B768EC"/>
    <w:rsid w:val="35DF3AB2"/>
    <w:rsid w:val="35EBEF8A"/>
    <w:rsid w:val="35EFA8B9"/>
    <w:rsid w:val="362B56C3"/>
    <w:rsid w:val="363FA653"/>
    <w:rsid w:val="36BA8AD2"/>
    <w:rsid w:val="36DCBF6A"/>
    <w:rsid w:val="36EDADB4"/>
    <w:rsid w:val="372FEB04"/>
    <w:rsid w:val="373F77D0"/>
    <w:rsid w:val="375EA094"/>
    <w:rsid w:val="3777F3BA"/>
    <w:rsid w:val="379234A4"/>
    <w:rsid w:val="379E6A40"/>
    <w:rsid w:val="37A661F3"/>
    <w:rsid w:val="37BEE8F8"/>
    <w:rsid w:val="37BFE79D"/>
    <w:rsid w:val="37CC04CE"/>
    <w:rsid w:val="37DF2DD6"/>
    <w:rsid w:val="37DF700B"/>
    <w:rsid w:val="37EE409E"/>
    <w:rsid w:val="37F2F170"/>
    <w:rsid w:val="37F31E21"/>
    <w:rsid w:val="37F46EF3"/>
    <w:rsid w:val="37FB87C7"/>
    <w:rsid w:val="38F3C42B"/>
    <w:rsid w:val="38FBB1AF"/>
    <w:rsid w:val="39A91B73"/>
    <w:rsid w:val="39B23F7D"/>
    <w:rsid w:val="39B345ED"/>
    <w:rsid w:val="39D7FC96"/>
    <w:rsid w:val="39F9FF79"/>
    <w:rsid w:val="39FF8104"/>
    <w:rsid w:val="3AB7A37F"/>
    <w:rsid w:val="3AB89792"/>
    <w:rsid w:val="3AEDF30C"/>
    <w:rsid w:val="3AEF7D57"/>
    <w:rsid w:val="3AF2A20F"/>
    <w:rsid w:val="3AFB607E"/>
    <w:rsid w:val="3AFF2AC7"/>
    <w:rsid w:val="3B2F6A62"/>
    <w:rsid w:val="3B2FF963"/>
    <w:rsid w:val="3B4448CF"/>
    <w:rsid w:val="3B4CE5B0"/>
    <w:rsid w:val="3B5FDE51"/>
    <w:rsid w:val="3B75BF38"/>
    <w:rsid w:val="3B76AC7B"/>
    <w:rsid w:val="3B7B2E0D"/>
    <w:rsid w:val="3B7F89B9"/>
    <w:rsid w:val="3B8A0DC3"/>
    <w:rsid w:val="3BA443B8"/>
    <w:rsid w:val="3BB1D3AC"/>
    <w:rsid w:val="3BB9F82F"/>
    <w:rsid w:val="3BCF19F8"/>
    <w:rsid w:val="3BD35445"/>
    <w:rsid w:val="3BD3A284"/>
    <w:rsid w:val="3BDF39C1"/>
    <w:rsid w:val="3BDF8995"/>
    <w:rsid w:val="3BE7BB5B"/>
    <w:rsid w:val="3BE9ECFC"/>
    <w:rsid w:val="3BEC33D1"/>
    <w:rsid w:val="3BEFA896"/>
    <w:rsid w:val="3BF1F4CB"/>
    <w:rsid w:val="3BF96EE7"/>
    <w:rsid w:val="3BFA26FF"/>
    <w:rsid w:val="3BFBF558"/>
    <w:rsid w:val="3BFD2A30"/>
    <w:rsid w:val="3BFE3B7E"/>
    <w:rsid w:val="3BFF34DA"/>
    <w:rsid w:val="3BFF979F"/>
    <w:rsid w:val="3BFFE858"/>
    <w:rsid w:val="3C5D639A"/>
    <w:rsid w:val="3C6E3153"/>
    <w:rsid w:val="3C9EB686"/>
    <w:rsid w:val="3CBF46D4"/>
    <w:rsid w:val="3CDE5245"/>
    <w:rsid w:val="3CEDDB4E"/>
    <w:rsid w:val="3CEF330A"/>
    <w:rsid w:val="3D1D3248"/>
    <w:rsid w:val="3D323C74"/>
    <w:rsid w:val="3D3531B2"/>
    <w:rsid w:val="3D6D1F84"/>
    <w:rsid w:val="3D7E3DA3"/>
    <w:rsid w:val="3D7F81D5"/>
    <w:rsid w:val="3DBB99B1"/>
    <w:rsid w:val="3DBF1DAB"/>
    <w:rsid w:val="3DBF7AC8"/>
    <w:rsid w:val="3DDF7D69"/>
    <w:rsid w:val="3DE75B65"/>
    <w:rsid w:val="3DED0E18"/>
    <w:rsid w:val="3DEF54A2"/>
    <w:rsid w:val="3DEFACC2"/>
    <w:rsid w:val="3DFC7DDF"/>
    <w:rsid w:val="3E1FAF72"/>
    <w:rsid w:val="3E457745"/>
    <w:rsid w:val="3E4A84CF"/>
    <w:rsid w:val="3E6B0E7A"/>
    <w:rsid w:val="3E6C5DD9"/>
    <w:rsid w:val="3E7CD3F2"/>
    <w:rsid w:val="3E7F1755"/>
    <w:rsid w:val="3E8F2131"/>
    <w:rsid w:val="3EAE9719"/>
    <w:rsid w:val="3EAF6F38"/>
    <w:rsid w:val="3EB0A816"/>
    <w:rsid w:val="3EB542D6"/>
    <w:rsid w:val="3EBF469E"/>
    <w:rsid w:val="3ED22BCD"/>
    <w:rsid w:val="3ED728FC"/>
    <w:rsid w:val="3ED75668"/>
    <w:rsid w:val="3EE37829"/>
    <w:rsid w:val="3EEA43EE"/>
    <w:rsid w:val="3EEB4BED"/>
    <w:rsid w:val="3EEC4AB3"/>
    <w:rsid w:val="3EF11695"/>
    <w:rsid w:val="3EF30518"/>
    <w:rsid w:val="3EF7BD61"/>
    <w:rsid w:val="3EF968EE"/>
    <w:rsid w:val="3EFC0F1E"/>
    <w:rsid w:val="3EFF20E1"/>
    <w:rsid w:val="3EFFC066"/>
    <w:rsid w:val="3EFFD3E1"/>
    <w:rsid w:val="3F1EA5F2"/>
    <w:rsid w:val="3F36279F"/>
    <w:rsid w:val="3F4F4430"/>
    <w:rsid w:val="3F4F5A12"/>
    <w:rsid w:val="3F571877"/>
    <w:rsid w:val="3F65688F"/>
    <w:rsid w:val="3F7492D0"/>
    <w:rsid w:val="3F769E93"/>
    <w:rsid w:val="3F7751FA"/>
    <w:rsid w:val="3F7B1D7D"/>
    <w:rsid w:val="3F7BD41F"/>
    <w:rsid w:val="3F7E694B"/>
    <w:rsid w:val="3F7F326C"/>
    <w:rsid w:val="3F7F7C26"/>
    <w:rsid w:val="3F7F7E61"/>
    <w:rsid w:val="3F7FA6F9"/>
    <w:rsid w:val="3F7FF3A7"/>
    <w:rsid w:val="3F800E58"/>
    <w:rsid w:val="3F8CBFBD"/>
    <w:rsid w:val="3F9BE200"/>
    <w:rsid w:val="3F9F7977"/>
    <w:rsid w:val="3F9FBC91"/>
    <w:rsid w:val="3FAD292E"/>
    <w:rsid w:val="3FB640C1"/>
    <w:rsid w:val="3FBB5827"/>
    <w:rsid w:val="3FBBDC6F"/>
    <w:rsid w:val="3FBF5D2C"/>
    <w:rsid w:val="3FD391DE"/>
    <w:rsid w:val="3FDA01DD"/>
    <w:rsid w:val="3FDD87DF"/>
    <w:rsid w:val="3FDDEA02"/>
    <w:rsid w:val="3FDF16C2"/>
    <w:rsid w:val="3FDF830E"/>
    <w:rsid w:val="3FDFAE19"/>
    <w:rsid w:val="3FDFBFB3"/>
    <w:rsid w:val="3FE3037B"/>
    <w:rsid w:val="3FE64F5F"/>
    <w:rsid w:val="3FE9E51A"/>
    <w:rsid w:val="3FEA575E"/>
    <w:rsid w:val="3FEB33DD"/>
    <w:rsid w:val="3FEF1047"/>
    <w:rsid w:val="3FEF1726"/>
    <w:rsid w:val="3FEF2682"/>
    <w:rsid w:val="3FEF3A59"/>
    <w:rsid w:val="3FEF617D"/>
    <w:rsid w:val="3FF200B2"/>
    <w:rsid w:val="3FF7092F"/>
    <w:rsid w:val="3FF7FB14"/>
    <w:rsid w:val="3FF91D4E"/>
    <w:rsid w:val="3FFABA1D"/>
    <w:rsid w:val="3FFAE55B"/>
    <w:rsid w:val="3FFC8C28"/>
    <w:rsid w:val="3FFE6B5A"/>
    <w:rsid w:val="3FFF1AD8"/>
    <w:rsid w:val="3FFFA0C9"/>
    <w:rsid w:val="3FFFC148"/>
    <w:rsid w:val="3FFFFFF3"/>
    <w:rsid w:val="40286339"/>
    <w:rsid w:val="40A34EF9"/>
    <w:rsid w:val="41094798"/>
    <w:rsid w:val="42B2E90B"/>
    <w:rsid w:val="43EFAB43"/>
    <w:rsid w:val="43FE609C"/>
    <w:rsid w:val="44DC6497"/>
    <w:rsid w:val="44DE5A4E"/>
    <w:rsid w:val="454D2DE0"/>
    <w:rsid w:val="45D16686"/>
    <w:rsid w:val="462F5951"/>
    <w:rsid w:val="4697B0EC"/>
    <w:rsid w:val="46A5E501"/>
    <w:rsid w:val="479F083A"/>
    <w:rsid w:val="47BA6DDE"/>
    <w:rsid w:val="47BE0AB6"/>
    <w:rsid w:val="47E5BD3C"/>
    <w:rsid w:val="47FEB713"/>
    <w:rsid w:val="47FEEA0C"/>
    <w:rsid w:val="47FFB319"/>
    <w:rsid w:val="48DFBCE1"/>
    <w:rsid w:val="49FF1354"/>
    <w:rsid w:val="4A0B2A82"/>
    <w:rsid w:val="4AD50DA1"/>
    <w:rsid w:val="4B240373"/>
    <w:rsid w:val="4B5C669F"/>
    <w:rsid w:val="4B5FD1C2"/>
    <w:rsid w:val="4B7E4857"/>
    <w:rsid w:val="4BBFB59F"/>
    <w:rsid w:val="4BD95C3D"/>
    <w:rsid w:val="4BF9659A"/>
    <w:rsid w:val="4BFF0375"/>
    <w:rsid w:val="4BFF6F01"/>
    <w:rsid w:val="4C9630E6"/>
    <w:rsid w:val="4CF7683F"/>
    <w:rsid w:val="4D796D4B"/>
    <w:rsid w:val="4DA78014"/>
    <w:rsid w:val="4DD29871"/>
    <w:rsid w:val="4DEF0CAE"/>
    <w:rsid w:val="4DEFFB07"/>
    <w:rsid w:val="4DFF9C1C"/>
    <w:rsid w:val="4E7FD645"/>
    <w:rsid w:val="4E9D1594"/>
    <w:rsid w:val="4EBF4AED"/>
    <w:rsid w:val="4ED5FB2D"/>
    <w:rsid w:val="4EE40807"/>
    <w:rsid w:val="4EFEE3CF"/>
    <w:rsid w:val="4EFFCC04"/>
    <w:rsid w:val="4EFFD058"/>
    <w:rsid w:val="4F4DC02C"/>
    <w:rsid w:val="4F4E3BCE"/>
    <w:rsid w:val="4F4F56C9"/>
    <w:rsid w:val="4F6715EE"/>
    <w:rsid w:val="4F7FAC37"/>
    <w:rsid w:val="4FA32AE8"/>
    <w:rsid w:val="4FA6572E"/>
    <w:rsid w:val="4FAB1773"/>
    <w:rsid w:val="4FB77DE6"/>
    <w:rsid w:val="4FBBE42B"/>
    <w:rsid w:val="4FBD579C"/>
    <w:rsid w:val="4FBF8279"/>
    <w:rsid w:val="4FEF7BC4"/>
    <w:rsid w:val="4FFB8451"/>
    <w:rsid w:val="4FFB8E16"/>
    <w:rsid w:val="4FFF3983"/>
    <w:rsid w:val="4FFFB35D"/>
    <w:rsid w:val="50450572"/>
    <w:rsid w:val="51624E8A"/>
    <w:rsid w:val="51DF7224"/>
    <w:rsid w:val="521F3E4B"/>
    <w:rsid w:val="523FA006"/>
    <w:rsid w:val="52EFBDB1"/>
    <w:rsid w:val="52F6FAD5"/>
    <w:rsid w:val="53BD7D95"/>
    <w:rsid w:val="53DE26C8"/>
    <w:rsid w:val="53E7DABE"/>
    <w:rsid w:val="53EE158E"/>
    <w:rsid w:val="53FDFCAE"/>
    <w:rsid w:val="548B2661"/>
    <w:rsid w:val="54F115E0"/>
    <w:rsid w:val="55447A06"/>
    <w:rsid w:val="555BA0AF"/>
    <w:rsid w:val="557F36C1"/>
    <w:rsid w:val="55DF30E4"/>
    <w:rsid w:val="55FA15B7"/>
    <w:rsid w:val="562D8241"/>
    <w:rsid w:val="567F357A"/>
    <w:rsid w:val="567F53D9"/>
    <w:rsid w:val="56B5692E"/>
    <w:rsid w:val="56BEE398"/>
    <w:rsid w:val="56FD9F13"/>
    <w:rsid w:val="57014352"/>
    <w:rsid w:val="5739D327"/>
    <w:rsid w:val="573D63DA"/>
    <w:rsid w:val="576E940A"/>
    <w:rsid w:val="577DEDDA"/>
    <w:rsid w:val="57AFC138"/>
    <w:rsid w:val="57BD67C8"/>
    <w:rsid w:val="57BFE285"/>
    <w:rsid w:val="57D5B179"/>
    <w:rsid w:val="57DBE7AC"/>
    <w:rsid w:val="57DD41C0"/>
    <w:rsid w:val="57DFF4BD"/>
    <w:rsid w:val="57E70F57"/>
    <w:rsid w:val="57EF46D5"/>
    <w:rsid w:val="57EFA361"/>
    <w:rsid w:val="57F5FB92"/>
    <w:rsid w:val="57FBCD8A"/>
    <w:rsid w:val="57FDC686"/>
    <w:rsid w:val="57FFE8DD"/>
    <w:rsid w:val="582A60AC"/>
    <w:rsid w:val="58841836"/>
    <w:rsid w:val="58BFC293"/>
    <w:rsid w:val="58D96099"/>
    <w:rsid w:val="594F9F96"/>
    <w:rsid w:val="597E1BC4"/>
    <w:rsid w:val="598F29B3"/>
    <w:rsid w:val="599FD232"/>
    <w:rsid w:val="59CD9A52"/>
    <w:rsid w:val="59EF0511"/>
    <w:rsid w:val="59FF62C8"/>
    <w:rsid w:val="5A7F463C"/>
    <w:rsid w:val="5ABBDF2B"/>
    <w:rsid w:val="5AEC2D3D"/>
    <w:rsid w:val="5AF956D6"/>
    <w:rsid w:val="5B075C16"/>
    <w:rsid w:val="5B3336B2"/>
    <w:rsid w:val="5B3E2C04"/>
    <w:rsid w:val="5B5642E6"/>
    <w:rsid w:val="5B6F5E56"/>
    <w:rsid w:val="5B7E9F71"/>
    <w:rsid w:val="5B9467C0"/>
    <w:rsid w:val="5B9A48BE"/>
    <w:rsid w:val="5BAFF1B8"/>
    <w:rsid w:val="5BBBAF0A"/>
    <w:rsid w:val="5BD7D220"/>
    <w:rsid w:val="5BDDF1F8"/>
    <w:rsid w:val="5BE9C4AE"/>
    <w:rsid w:val="5BEE8154"/>
    <w:rsid w:val="5BEF28C6"/>
    <w:rsid w:val="5BF3A74E"/>
    <w:rsid w:val="5BF68CF6"/>
    <w:rsid w:val="5BF8AA04"/>
    <w:rsid w:val="5BFC5027"/>
    <w:rsid w:val="5BFD1224"/>
    <w:rsid w:val="5BFD3CB7"/>
    <w:rsid w:val="5BFDB7EC"/>
    <w:rsid w:val="5BFF147D"/>
    <w:rsid w:val="5C6FBA19"/>
    <w:rsid w:val="5C7EB9DA"/>
    <w:rsid w:val="5C9B734C"/>
    <w:rsid w:val="5CD78333"/>
    <w:rsid w:val="5CEBCAD6"/>
    <w:rsid w:val="5CF1226C"/>
    <w:rsid w:val="5CF3E376"/>
    <w:rsid w:val="5CFF2307"/>
    <w:rsid w:val="5D177A7A"/>
    <w:rsid w:val="5D7F530F"/>
    <w:rsid w:val="5D8CAEE6"/>
    <w:rsid w:val="5D953CD4"/>
    <w:rsid w:val="5DB3473A"/>
    <w:rsid w:val="5DBF23B5"/>
    <w:rsid w:val="5DC67B8B"/>
    <w:rsid w:val="5DC89EF4"/>
    <w:rsid w:val="5DCD2524"/>
    <w:rsid w:val="5DCF3F99"/>
    <w:rsid w:val="5DDB479A"/>
    <w:rsid w:val="5DDD4563"/>
    <w:rsid w:val="5DDD5F91"/>
    <w:rsid w:val="5DED387C"/>
    <w:rsid w:val="5DF5385C"/>
    <w:rsid w:val="5DF7A785"/>
    <w:rsid w:val="5DFDEB58"/>
    <w:rsid w:val="5DFE02C1"/>
    <w:rsid w:val="5DFFBE50"/>
    <w:rsid w:val="5DFFD3FE"/>
    <w:rsid w:val="5DFFFDD5"/>
    <w:rsid w:val="5E2FF403"/>
    <w:rsid w:val="5E336754"/>
    <w:rsid w:val="5E3B697E"/>
    <w:rsid w:val="5E60746C"/>
    <w:rsid w:val="5E7594B2"/>
    <w:rsid w:val="5E937489"/>
    <w:rsid w:val="5EBDBC12"/>
    <w:rsid w:val="5EBE7485"/>
    <w:rsid w:val="5EBFB65F"/>
    <w:rsid w:val="5ECB379A"/>
    <w:rsid w:val="5ECD2796"/>
    <w:rsid w:val="5ED152C2"/>
    <w:rsid w:val="5ED2EC84"/>
    <w:rsid w:val="5EF31FF9"/>
    <w:rsid w:val="5EF7A60A"/>
    <w:rsid w:val="5EFAFDD7"/>
    <w:rsid w:val="5EFD709E"/>
    <w:rsid w:val="5EFDA5E9"/>
    <w:rsid w:val="5EFEADE1"/>
    <w:rsid w:val="5EFFC456"/>
    <w:rsid w:val="5EFFE663"/>
    <w:rsid w:val="5F0D925A"/>
    <w:rsid w:val="5F1F1CEB"/>
    <w:rsid w:val="5F1F70DF"/>
    <w:rsid w:val="5F3EB388"/>
    <w:rsid w:val="5F3F32A1"/>
    <w:rsid w:val="5F3F4069"/>
    <w:rsid w:val="5F3FD55E"/>
    <w:rsid w:val="5F585F83"/>
    <w:rsid w:val="5F5E768E"/>
    <w:rsid w:val="5F5F1521"/>
    <w:rsid w:val="5F771048"/>
    <w:rsid w:val="5F777236"/>
    <w:rsid w:val="5F7D9EDD"/>
    <w:rsid w:val="5F7E2721"/>
    <w:rsid w:val="5F7E5599"/>
    <w:rsid w:val="5F7E7540"/>
    <w:rsid w:val="5F7EDD90"/>
    <w:rsid w:val="5F7F9418"/>
    <w:rsid w:val="5F9D7187"/>
    <w:rsid w:val="5FAA78F5"/>
    <w:rsid w:val="5FAEC1A2"/>
    <w:rsid w:val="5FB621AB"/>
    <w:rsid w:val="5FB9847B"/>
    <w:rsid w:val="5FD5BB1B"/>
    <w:rsid w:val="5FD699A8"/>
    <w:rsid w:val="5FD77564"/>
    <w:rsid w:val="5FD9895F"/>
    <w:rsid w:val="5FDB01DB"/>
    <w:rsid w:val="5FDC4B56"/>
    <w:rsid w:val="5FDF4DD1"/>
    <w:rsid w:val="5FE744AA"/>
    <w:rsid w:val="5FEA9E8D"/>
    <w:rsid w:val="5FEB83AD"/>
    <w:rsid w:val="5FEDD748"/>
    <w:rsid w:val="5FEE3BB2"/>
    <w:rsid w:val="5FEEFD8E"/>
    <w:rsid w:val="5FEF519A"/>
    <w:rsid w:val="5FEF96F0"/>
    <w:rsid w:val="5FEFD330"/>
    <w:rsid w:val="5FF33712"/>
    <w:rsid w:val="5FF58A5E"/>
    <w:rsid w:val="5FF728E5"/>
    <w:rsid w:val="5FF79CF0"/>
    <w:rsid w:val="5FF980EC"/>
    <w:rsid w:val="5FF98146"/>
    <w:rsid w:val="5FF999D4"/>
    <w:rsid w:val="5FFA2044"/>
    <w:rsid w:val="5FFA3473"/>
    <w:rsid w:val="5FFB2E47"/>
    <w:rsid w:val="5FFBE073"/>
    <w:rsid w:val="5FFC2FA4"/>
    <w:rsid w:val="5FFD8E6B"/>
    <w:rsid w:val="5FFDD2DA"/>
    <w:rsid w:val="5FFDEB2B"/>
    <w:rsid w:val="5FFE4EE5"/>
    <w:rsid w:val="5FFF5029"/>
    <w:rsid w:val="5FFF8A47"/>
    <w:rsid w:val="5FFFCE94"/>
    <w:rsid w:val="5FFFFC6E"/>
    <w:rsid w:val="617D4A6A"/>
    <w:rsid w:val="61B31169"/>
    <w:rsid w:val="61D35B82"/>
    <w:rsid w:val="62C73DF1"/>
    <w:rsid w:val="62CF0EFF"/>
    <w:rsid w:val="62FFDDCB"/>
    <w:rsid w:val="6336CD9B"/>
    <w:rsid w:val="638377A8"/>
    <w:rsid w:val="63BCDF9D"/>
    <w:rsid w:val="63BEF7C9"/>
    <w:rsid w:val="63EB71E8"/>
    <w:rsid w:val="63EBA89B"/>
    <w:rsid w:val="63FC607C"/>
    <w:rsid w:val="63FF7A03"/>
    <w:rsid w:val="6417516A"/>
    <w:rsid w:val="641F4EE6"/>
    <w:rsid w:val="645D6ED9"/>
    <w:rsid w:val="648835C7"/>
    <w:rsid w:val="653B7765"/>
    <w:rsid w:val="655B3FD7"/>
    <w:rsid w:val="657FC189"/>
    <w:rsid w:val="65C37738"/>
    <w:rsid w:val="65DE580D"/>
    <w:rsid w:val="65E46921"/>
    <w:rsid w:val="65F83F2F"/>
    <w:rsid w:val="6632E133"/>
    <w:rsid w:val="665F4048"/>
    <w:rsid w:val="665F83AD"/>
    <w:rsid w:val="66DF7671"/>
    <w:rsid w:val="66F7AB21"/>
    <w:rsid w:val="670C1F82"/>
    <w:rsid w:val="671E9133"/>
    <w:rsid w:val="67755F3D"/>
    <w:rsid w:val="677DC604"/>
    <w:rsid w:val="677DF9AF"/>
    <w:rsid w:val="677FE90B"/>
    <w:rsid w:val="678E41F3"/>
    <w:rsid w:val="67AFF102"/>
    <w:rsid w:val="67B5A5C7"/>
    <w:rsid w:val="67B7B560"/>
    <w:rsid w:val="67BF44E4"/>
    <w:rsid w:val="67CE9F02"/>
    <w:rsid w:val="67D28279"/>
    <w:rsid w:val="67D3E0DC"/>
    <w:rsid w:val="67DD8961"/>
    <w:rsid w:val="67DE850A"/>
    <w:rsid w:val="67EAE887"/>
    <w:rsid w:val="67EDA0B6"/>
    <w:rsid w:val="67EF26A7"/>
    <w:rsid w:val="67F31207"/>
    <w:rsid w:val="67FB8170"/>
    <w:rsid w:val="67FDC720"/>
    <w:rsid w:val="68742EAC"/>
    <w:rsid w:val="687A614C"/>
    <w:rsid w:val="694D1DDC"/>
    <w:rsid w:val="69774823"/>
    <w:rsid w:val="697E3C46"/>
    <w:rsid w:val="697EDE9E"/>
    <w:rsid w:val="69BC06BD"/>
    <w:rsid w:val="69F6C613"/>
    <w:rsid w:val="69FE0A5F"/>
    <w:rsid w:val="6A3D2095"/>
    <w:rsid w:val="6A4515FF"/>
    <w:rsid w:val="6A723F09"/>
    <w:rsid w:val="6A7D6FBC"/>
    <w:rsid w:val="6A860352"/>
    <w:rsid w:val="6A8B0F56"/>
    <w:rsid w:val="6ABF683F"/>
    <w:rsid w:val="6ABFCBE9"/>
    <w:rsid w:val="6AEC4A2D"/>
    <w:rsid w:val="6AF57D44"/>
    <w:rsid w:val="6AFDA55A"/>
    <w:rsid w:val="6B574B82"/>
    <w:rsid w:val="6B77957B"/>
    <w:rsid w:val="6B7BBC6F"/>
    <w:rsid w:val="6B9F2A24"/>
    <w:rsid w:val="6BBE8DC3"/>
    <w:rsid w:val="6BCF1E9A"/>
    <w:rsid w:val="6BDB9361"/>
    <w:rsid w:val="6BDC5CA0"/>
    <w:rsid w:val="6BDCF144"/>
    <w:rsid w:val="6BDE3CD0"/>
    <w:rsid w:val="6BDFF9FD"/>
    <w:rsid w:val="6BE73003"/>
    <w:rsid w:val="6BEE4A2F"/>
    <w:rsid w:val="6BEF9CDD"/>
    <w:rsid w:val="6BEFAF24"/>
    <w:rsid w:val="6BEFFBC2"/>
    <w:rsid w:val="6BF37B8F"/>
    <w:rsid w:val="6BF3BB87"/>
    <w:rsid w:val="6BF73D79"/>
    <w:rsid w:val="6BFD7552"/>
    <w:rsid w:val="6BFE00A3"/>
    <w:rsid w:val="6BFF6CCC"/>
    <w:rsid w:val="6CBB95F6"/>
    <w:rsid w:val="6CBCFB11"/>
    <w:rsid w:val="6CDFFCE1"/>
    <w:rsid w:val="6CED3A7E"/>
    <w:rsid w:val="6CF6358A"/>
    <w:rsid w:val="6CF6948C"/>
    <w:rsid w:val="6CF7D0E3"/>
    <w:rsid w:val="6CFEDE13"/>
    <w:rsid w:val="6CFFEDFD"/>
    <w:rsid w:val="6D3FBD47"/>
    <w:rsid w:val="6D4ED2B5"/>
    <w:rsid w:val="6D57DC9A"/>
    <w:rsid w:val="6D5D17A2"/>
    <w:rsid w:val="6D6B4986"/>
    <w:rsid w:val="6D6E17C5"/>
    <w:rsid w:val="6D7FA425"/>
    <w:rsid w:val="6DB17249"/>
    <w:rsid w:val="6DD73512"/>
    <w:rsid w:val="6DEF69F8"/>
    <w:rsid w:val="6DFAEC05"/>
    <w:rsid w:val="6DFB684D"/>
    <w:rsid w:val="6DFCE492"/>
    <w:rsid w:val="6DFD965B"/>
    <w:rsid w:val="6DFF3DA8"/>
    <w:rsid w:val="6DFF8FE4"/>
    <w:rsid w:val="6DFF93EE"/>
    <w:rsid w:val="6DFFFF41"/>
    <w:rsid w:val="6E182A45"/>
    <w:rsid w:val="6E34AC6A"/>
    <w:rsid w:val="6E4E3658"/>
    <w:rsid w:val="6E5969EA"/>
    <w:rsid w:val="6E65A335"/>
    <w:rsid w:val="6E72127E"/>
    <w:rsid w:val="6E77D2C4"/>
    <w:rsid w:val="6E8EB219"/>
    <w:rsid w:val="6EAB7BCC"/>
    <w:rsid w:val="6EB56785"/>
    <w:rsid w:val="6EBBEFC4"/>
    <w:rsid w:val="6EDF3A8D"/>
    <w:rsid w:val="6EEEA5EE"/>
    <w:rsid w:val="6EEF3DBB"/>
    <w:rsid w:val="6EEF5774"/>
    <w:rsid w:val="6EEFD9AE"/>
    <w:rsid w:val="6EF1815E"/>
    <w:rsid w:val="6EF789A8"/>
    <w:rsid w:val="6EF7BA2F"/>
    <w:rsid w:val="6EFEF699"/>
    <w:rsid w:val="6F070AEF"/>
    <w:rsid w:val="6F2F60A1"/>
    <w:rsid w:val="6F5BAD55"/>
    <w:rsid w:val="6F5E201F"/>
    <w:rsid w:val="6F5ECC87"/>
    <w:rsid w:val="6F5FEB6B"/>
    <w:rsid w:val="6F6B7400"/>
    <w:rsid w:val="6F6FA804"/>
    <w:rsid w:val="6F7723CE"/>
    <w:rsid w:val="6F7D2977"/>
    <w:rsid w:val="6F7DEA2B"/>
    <w:rsid w:val="6F7E0090"/>
    <w:rsid w:val="6F7FF651"/>
    <w:rsid w:val="6F85C0E4"/>
    <w:rsid w:val="6F9A6F50"/>
    <w:rsid w:val="6F9B5ADC"/>
    <w:rsid w:val="6F9BDB6C"/>
    <w:rsid w:val="6F9D25AC"/>
    <w:rsid w:val="6F9FCFB9"/>
    <w:rsid w:val="6FA58BCC"/>
    <w:rsid w:val="6FA773DB"/>
    <w:rsid w:val="6FAF19E1"/>
    <w:rsid w:val="6FAFF182"/>
    <w:rsid w:val="6FB9C0B3"/>
    <w:rsid w:val="6FBF8E07"/>
    <w:rsid w:val="6FBF955A"/>
    <w:rsid w:val="6FC7935B"/>
    <w:rsid w:val="6FCF9412"/>
    <w:rsid w:val="6FD788F5"/>
    <w:rsid w:val="6FDBE1F6"/>
    <w:rsid w:val="6FDCC4E3"/>
    <w:rsid w:val="6FDD26D2"/>
    <w:rsid w:val="6FDEFEF9"/>
    <w:rsid w:val="6FDF767E"/>
    <w:rsid w:val="6FE644E1"/>
    <w:rsid w:val="6FEB6673"/>
    <w:rsid w:val="6FEB7021"/>
    <w:rsid w:val="6FEB91EC"/>
    <w:rsid w:val="6FF1418F"/>
    <w:rsid w:val="6FF4CBE6"/>
    <w:rsid w:val="6FF5597F"/>
    <w:rsid w:val="6FF76FE9"/>
    <w:rsid w:val="6FFB0603"/>
    <w:rsid w:val="6FFB67C7"/>
    <w:rsid w:val="6FFDC0A3"/>
    <w:rsid w:val="6FFED52C"/>
    <w:rsid w:val="6FFF3CE2"/>
    <w:rsid w:val="6FFFF469"/>
    <w:rsid w:val="706536E9"/>
    <w:rsid w:val="7077A43F"/>
    <w:rsid w:val="707F5F26"/>
    <w:rsid w:val="708B3515"/>
    <w:rsid w:val="70DE537D"/>
    <w:rsid w:val="70F7E6E5"/>
    <w:rsid w:val="70F9B025"/>
    <w:rsid w:val="70FBCB2C"/>
    <w:rsid w:val="712B3822"/>
    <w:rsid w:val="715FC76C"/>
    <w:rsid w:val="71692C8E"/>
    <w:rsid w:val="717DD7B3"/>
    <w:rsid w:val="71844044"/>
    <w:rsid w:val="71884B08"/>
    <w:rsid w:val="719DC92F"/>
    <w:rsid w:val="71BF9D7B"/>
    <w:rsid w:val="71CF8CC8"/>
    <w:rsid w:val="71EF1ABB"/>
    <w:rsid w:val="71F07391"/>
    <w:rsid w:val="71FB4449"/>
    <w:rsid w:val="7273247D"/>
    <w:rsid w:val="72C07827"/>
    <w:rsid w:val="72F87E26"/>
    <w:rsid w:val="72FEEB10"/>
    <w:rsid w:val="72FFC369"/>
    <w:rsid w:val="72FFCBAB"/>
    <w:rsid w:val="72FFCF7B"/>
    <w:rsid w:val="73774FB1"/>
    <w:rsid w:val="737B0ED8"/>
    <w:rsid w:val="737EE920"/>
    <w:rsid w:val="73A7572A"/>
    <w:rsid w:val="73AB40F7"/>
    <w:rsid w:val="73B51EF9"/>
    <w:rsid w:val="73BB12E0"/>
    <w:rsid w:val="73BF3439"/>
    <w:rsid w:val="73C3ABAF"/>
    <w:rsid w:val="73CEB6F5"/>
    <w:rsid w:val="73D3A7D2"/>
    <w:rsid w:val="73D68846"/>
    <w:rsid w:val="73D71F7F"/>
    <w:rsid w:val="73DB7784"/>
    <w:rsid w:val="73ED6581"/>
    <w:rsid w:val="73EFF68F"/>
    <w:rsid w:val="73F31CE6"/>
    <w:rsid w:val="73F67713"/>
    <w:rsid w:val="73FB821A"/>
    <w:rsid w:val="73FEF627"/>
    <w:rsid w:val="73FF54A1"/>
    <w:rsid w:val="73FFEA90"/>
    <w:rsid w:val="7474F750"/>
    <w:rsid w:val="7495FE01"/>
    <w:rsid w:val="74D487E0"/>
    <w:rsid w:val="75150BCE"/>
    <w:rsid w:val="754D1B9A"/>
    <w:rsid w:val="757D7A13"/>
    <w:rsid w:val="757DC1AF"/>
    <w:rsid w:val="757F6864"/>
    <w:rsid w:val="758BCED1"/>
    <w:rsid w:val="75AC1E99"/>
    <w:rsid w:val="75B784BA"/>
    <w:rsid w:val="75BBBC97"/>
    <w:rsid w:val="75BFA760"/>
    <w:rsid w:val="75C441C0"/>
    <w:rsid w:val="75E74A0A"/>
    <w:rsid w:val="75F16A70"/>
    <w:rsid w:val="75F6C1F4"/>
    <w:rsid w:val="75FAB8AE"/>
    <w:rsid w:val="75FE53C8"/>
    <w:rsid w:val="75FF384B"/>
    <w:rsid w:val="76206228"/>
    <w:rsid w:val="7639CDBB"/>
    <w:rsid w:val="763C6BA9"/>
    <w:rsid w:val="767D9B7C"/>
    <w:rsid w:val="767E4401"/>
    <w:rsid w:val="767FD516"/>
    <w:rsid w:val="76BB9CA5"/>
    <w:rsid w:val="76BF2308"/>
    <w:rsid w:val="76CB8259"/>
    <w:rsid w:val="76EBB770"/>
    <w:rsid w:val="76EEBDD0"/>
    <w:rsid w:val="76EFB9C9"/>
    <w:rsid w:val="76FBD766"/>
    <w:rsid w:val="76FDA80E"/>
    <w:rsid w:val="76FEFD5E"/>
    <w:rsid w:val="76FF2F91"/>
    <w:rsid w:val="76FF95AE"/>
    <w:rsid w:val="76FFE499"/>
    <w:rsid w:val="7729B9CA"/>
    <w:rsid w:val="775F8ADC"/>
    <w:rsid w:val="776B273C"/>
    <w:rsid w:val="776D9425"/>
    <w:rsid w:val="776EFD4D"/>
    <w:rsid w:val="776FDA2F"/>
    <w:rsid w:val="777ED7C6"/>
    <w:rsid w:val="777F8A55"/>
    <w:rsid w:val="7789629F"/>
    <w:rsid w:val="778BA3BB"/>
    <w:rsid w:val="7797CA11"/>
    <w:rsid w:val="779C1564"/>
    <w:rsid w:val="779F6AA7"/>
    <w:rsid w:val="77B2FF19"/>
    <w:rsid w:val="77BE5ECA"/>
    <w:rsid w:val="77BF26A7"/>
    <w:rsid w:val="77C7E874"/>
    <w:rsid w:val="77CB89BE"/>
    <w:rsid w:val="77CE719C"/>
    <w:rsid w:val="77CF7D19"/>
    <w:rsid w:val="77D0BF8E"/>
    <w:rsid w:val="77D72C19"/>
    <w:rsid w:val="77DB3ADC"/>
    <w:rsid w:val="77DB4BD1"/>
    <w:rsid w:val="77DE42AA"/>
    <w:rsid w:val="77DE9A0D"/>
    <w:rsid w:val="77DEEFAB"/>
    <w:rsid w:val="77DFA61D"/>
    <w:rsid w:val="77EDB1F1"/>
    <w:rsid w:val="77F26746"/>
    <w:rsid w:val="77F58A90"/>
    <w:rsid w:val="77F75A6E"/>
    <w:rsid w:val="77F775FB"/>
    <w:rsid w:val="77F7AFA9"/>
    <w:rsid w:val="77F7F1BE"/>
    <w:rsid w:val="77F95BD2"/>
    <w:rsid w:val="77FB0BBC"/>
    <w:rsid w:val="77FB3E98"/>
    <w:rsid w:val="77FBE5FA"/>
    <w:rsid w:val="77FCA16E"/>
    <w:rsid w:val="77FCAE37"/>
    <w:rsid w:val="77FDBB8B"/>
    <w:rsid w:val="77FE7B4F"/>
    <w:rsid w:val="77FF077B"/>
    <w:rsid w:val="77FF0D06"/>
    <w:rsid w:val="77FF5B7A"/>
    <w:rsid w:val="77FF7AB8"/>
    <w:rsid w:val="77FFCE46"/>
    <w:rsid w:val="77FFDFF9"/>
    <w:rsid w:val="782B57A7"/>
    <w:rsid w:val="786C74ED"/>
    <w:rsid w:val="78AA05C8"/>
    <w:rsid w:val="78BFC3B0"/>
    <w:rsid w:val="78DF136F"/>
    <w:rsid w:val="78F74BF5"/>
    <w:rsid w:val="78FB78D2"/>
    <w:rsid w:val="78FBA2ED"/>
    <w:rsid w:val="78FD27C7"/>
    <w:rsid w:val="78FE5A63"/>
    <w:rsid w:val="791668EE"/>
    <w:rsid w:val="79516EBF"/>
    <w:rsid w:val="795E8D68"/>
    <w:rsid w:val="795F75BD"/>
    <w:rsid w:val="7965877D"/>
    <w:rsid w:val="798FDD30"/>
    <w:rsid w:val="79AD4284"/>
    <w:rsid w:val="79BB5570"/>
    <w:rsid w:val="79BB5D66"/>
    <w:rsid w:val="79BE15F1"/>
    <w:rsid w:val="79CF6152"/>
    <w:rsid w:val="79D516B2"/>
    <w:rsid w:val="79D945A5"/>
    <w:rsid w:val="79DD9490"/>
    <w:rsid w:val="79DF37F9"/>
    <w:rsid w:val="79E99839"/>
    <w:rsid w:val="79EBD908"/>
    <w:rsid w:val="79F11DD0"/>
    <w:rsid w:val="79F346E7"/>
    <w:rsid w:val="79FBE1F7"/>
    <w:rsid w:val="79FF3494"/>
    <w:rsid w:val="79FFF4D1"/>
    <w:rsid w:val="7A41D3E7"/>
    <w:rsid w:val="7A69D201"/>
    <w:rsid w:val="7A7F267E"/>
    <w:rsid w:val="7A9F2409"/>
    <w:rsid w:val="7AB7FBA4"/>
    <w:rsid w:val="7ABD431C"/>
    <w:rsid w:val="7AC92DCB"/>
    <w:rsid w:val="7ACFF7E7"/>
    <w:rsid w:val="7ADF8D06"/>
    <w:rsid w:val="7AF1E608"/>
    <w:rsid w:val="7AF49052"/>
    <w:rsid w:val="7AF5429E"/>
    <w:rsid w:val="7AF6C64A"/>
    <w:rsid w:val="7AF719A5"/>
    <w:rsid w:val="7AFA1354"/>
    <w:rsid w:val="7AFE99B2"/>
    <w:rsid w:val="7AFF82D2"/>
    <w:rsid w:val="7B15E767"/>
    <w:rsid w:val="7B1E9879"/>
    <w:rsid w:val="7B1EA66F"/>
    <w:rsid w:val="7B27FE01"/>
    <w:rsid w:val="7B3BAE17"/>
    <w:rsid w:val="7B3FD99F"/>
    <w:rsid w:val="7B473DF7"/>
    <w:rsid w:val="7B583579"/>
    <w:rsid w:val="7B5E6D67"/>
    <w:rsid w:val="7B757168"/>
    <w:rsid w:val="7B75AA39"/>
    <w:rsid w:val="7B771657"/>
    <w:rsid w:val="7B776EEE"/>
    <w:rsid w:val="7B7966EE"/>
    <w:rsid w:val="7B7B0273"/>
    <w:rsid w:val="7B7CC2A8"/>
    <w:rsid w:val="7B7D0951"/>
    <w:rsid w:val="7B7D4325"/>
    <w:rsid w:val="7B7F93E2"/>
    <w:rsid w:val="7B7FBFEB"/>
    <w:rsid w:val="7B8751BD"/>
    <w:rsid w:val="7BB22958"/>
    <w:rsid w:val="7BB411C3"/>
    <w:rsid w:val="7BB59F4D"/>
    <w:rsid w:val="7BB793CE"/>
    <w:rsid w:val="7BBA1DF7"/>
    <w:rsid w:val="7BBB13C9"/>
    <w:rsid w:val="7BBB924A"/>
    <w:rsid w:val="7BBE0C6B"/>
    <w:rsid w:val="7BBF08EE"/>
    <w:rsid w:val="7BBF1625"/>
    <w:rsid w:val="7BBFB027"/>
    <w:rsid w:val="7BBFFAA8"/>
    <w:rsid w:val="7BC3E1CB"/>
    <w:rsid w:val="7BCF2D92"/>
    <w:rsid w:val="7BCFC438"/>
    <w:rsid w:val="7BD734A3"/>
    <w:rsid w:val="7BDD7B37"/>
    <w:rsid w:val="7BDDA73C"/>
    <w:rsid w:val="7BE3C2A5"/>
    <w:rsid w:val="7BE44CF8"/>
    <w:rsid w:val="7BEA6A05"/>
    <w:rsid w:val="7BEB247B"/>
    <w:rsid w:val="7BED58E8"/>
    <w:rsid w:val="7BEE472A"/>
    <w:rsid w:val="7BEFE6DA"/>
    <w:rsid w:val="7BF3BF39"/>
    <w:rsid w:val="7BF5B9F7"/>
    <w:rsid w:val="7BF70AB0"/>
    <w:rsid w:val="7BF767AD"/>
    <w:rsid w:val="7BFA25E7"/>
    <w:rsid w:val="7BFA4229"/>
    <w:rsid w:val="7BFC3C65"/>
    <w:rsid w:val="7BFD167E"/>
    <w:rsid w:val="7BFD75AE"/>
    <w:rsid w:val="7BFDFC56"/>
    <w:rsid w:val="7BFE72B7"/>
    <w:rsid w:val="7BFEEFEC"/>
    <w:rsid w:val="7BFF41CF"/>
    <w:rsid w:val="7BFF8793"/>
    <w:rsid w:val="7C1FED41"/>
    <w:rsid w:val="7C67BD8A"/>
    <w:rsid w:val="7C7F6893"/>
    <w:rsid w:val="7C8D80B5"/>
    <w:rsid w:val="7C9E0C08"/>
    <w:rsid w:val="7CA3D42B"/>
    <w:rsid w:val="7CD098CE"/>
    <w:rsid w:val="7CD9AB98"/>
    <w:rsid w:val="7CDDC547"/>
    <w:rsid w:val="7CDFF093"/>
    <w:rsid w:val="7CE42760"/>
    <w:rsid w:val="7CF55430"/>
    <w:rsid w:val="7CF5A78E"/>
    <w:rsid w:val="7CFEE297"/>
    <w:rsid w:val="7CFF5F62"/>
    <w:rsid w:val="7CFFB96F"/>
    <w:rsid w:val="7D1F3A6B"/>
    <w:rsid w:val="7D2F8632"/>
    <w:rsid w:val="7D3275AD"/>
    <w:rsid w:val="7D3B2FB6"/>
    <w:rsid w:val="7D3E12FF"/>
    <w:rsid w:val="7D57E2C2"/>
    <w:rsid w:val="7D63146B"/>
    <w:rsid w:val="7D6B8EE6"/>
    <w:rsid w:val="7D6FC3E5"/>
    <w:rsid w:val="7D75143C"/>
    <w:rsid w:val="7D76FDE5"/>
    <w:rsid w:val="7D7B8096"/>
    <w:rsid w:val="7D7C255C"/>
    <w:rsid w:val="7D7F0B43"/>
    <w:rsid w:val="7D7F7F4D"/>
    <w:rsid w:val="7D9E65B5"/>
    <w:rsid w:val="7DA39A1C"/>
    <w:rsid w:val="7DAF3E8B"/>
    <w:rsid w:val="7DBBB1D2"/>
    <w:rsid w:val="7DBD57AF"/>
    <w:rsid w:val="7DBDC376"/>
    <w:rsid w:val="7DBF5AA7"/>
    <w:rsid w:val="7DBFBEF4"/>
    <w:rsid w:val="7DCCA112"/>
    <w:rsid w:val="7DDD376A"/>
    <w:rsid w:val="7DDD9B08"/>
    <w:rsid w:val="7DDF7960"/>
    <w:rsid w:val="7DDF9BC5"/>
    <w:rsid w:val="7DDFF113"/>
    <w:rsid w:val="7DDFF21F"/>
    <w:rsid w:val="7DE5B451"/>
    <w:rsid w:val="7DEB8C11"/>
    <w:rsid w:val="7DEB9A91"/>
    <w:rsid w:val="7DEF78AE"/>
    <w:rsid w:val="7DF4A9F5"/>
    <w:rsid w:val="7DF5F05D"/>
    <w:rsid w:val="7DF74725"/>
    <w:rsid w:val="7DF790F9"/>
    <w:rsid w:val="7DF84455"/>
    <w:rsid w:val="7DF9B896"/>
    <w:rsid w:val="7DFA3791"/>
    <w:rsid w:val="7DFA7BD2"/>
    <w:rsid w:val="7DFB0C88"/>
    <w:rsid w:val="7DFB4881"/>
    <w:rsid w:val="7DFB7837"/>
    <w:rsid w:val="7DFDF357"/>
    <w:rsid w:val="7DFE5EBD"/>
    <w:rsid w:val="7DFEA849"/>
    <w:rsid w:val="7DFF289B"/>
    <w:rsid w:val="7DFF3F9C"/>
    <w:rsid w:val="7DFF5F42"/>
    <w:rsid w:val="7DFF8CEA"/>
    <w:rsid w:val="7DFFB292"/>
    <w:rsid w:val="7DFFB7A9"/>
    <w:rsid w:val="7DFFE009"/>
    <w:rsid w:val="7DFFE626"/>
    <w:rsid w:val="7DFFEF6C"/>
    <w:rsid w:val="7E07355D"/>
    <w:rsid w:val="7E131720"/>
    <w:rsid w:val="7E5F4FAD"/>
    <w:rsid w:val="7E5F86EE"/>
    <w:rsid w:val="7E5FDE9C"/>
    <w:rsid w:val="7E5FE693"/>
    <w:rsid w:val="7E652F5C"/>
    <w:rsid w:val="7E6DB550"/>
    <w:rsid w:val="7E6F514E"/>
    <w:rsid w:val="7E73B2F5"/>
    <w:rsid w:val="7E7949F8"/>
    <w:rsid w:val="7E7B84EB"/>
    <w:rsid w:val="7E7BA5F5"/>
    <w:rsid w:val="7E884CE2"/>
    <w:rsid w:val="7E88EDCB"/>
    <w:rsid w:val="7E8F5D39"/>
    <w:rsid w:val="7E8F6586"/>
    <w:rsid w:val="7EAD171A"/>
    <w:rsid w:val="7EB9FE92"/>
    <w:rsid w:val="7EBA6A5F"/>
    <w:rsid w:val="7EBD3167"/>
    <w:rsid w:val="7EC7E795"/>
    <w:rsid w:val="7ECF2C7D"/>
    <w:rsid w:val="7ECF8344"/>
    <w:rsid w:val="7ED6FB3E"/>
    <w:rsid w:val="7EDB602D"/>
    <w:rsid w:val="7EDF0B49"/>
    <w:rsid w:val="7EDFEC24"/>
    <w:rsid w:val="7EE9AFF2"/>
    <w:rsid w:val="7EEA44C7"/>
    <w:rsid w:val="7EED2D5B"/>
    <w:rsid w:val="7EEDC4AF"/>
    <w:rsid w:val="7EEE9E16"/>
    <w:rsid w:val="7EF2E440"/>
    <w:rsid w:val="7EF34A6F"/>
    <w:rsid w:val="7EF5BD95"/>
    <w:rsid w:val="7EF7E87F"/>
    <w:rsid w:val="7EF7FB43"/>
    <w:rsid w:val="7EFB70CE"/>
    <w:rsid w:val="7EFBDC7D"/>
    <w:rsid w:val="7EFDB6A1"/>
    <w:rsid w:val="7EFDE50D"/>
    <w:rsid w:val="7EFE2D74"/>
    <w:rsid w:val="7EFE5105"/>
    <w:rsid w:val="7EFF1433"/>
    <w:rsid w:val="7EFF16F6"/>
    <w:rsid w:val="7EFF213A"/>
    <w:rsid w:val="7EFF4143"/>
    <w:rsid w:val="7EFF4A0D"/>
    <w:rsid w:val="7EFF5EBE"/>
    <w:rsid w:val="7EFF7889"/>
    <w:rsid w:val="7EFF8A06"/>
    <w:rsid w:val="7EFFCE13"/>
    <w:rsid w:val="7F1FDF33"/>
    <w:rsid w:val="7F26DC41"/>
    <w:rsid w:val="7F2B508F"/>
    <w:rsid w:val="7F2C2F13"/>
    <w:rsid w:val="7F2DF10F"/>
    <w:rsid w:val="7F2E0F84"/>
    <w:rsid w:val="7F2E263F"/>
    <w:rsid w:val="7F37D14E"/>
    <w:rsid w:val="7F3BB3B8"/>
    <w:rsid w:val="7F3E124F"/>
    <w:rsid w:val="7F3E61DB"/>
    <w:rsid w:val="7F3FBDFD"/>
    <w:rsid w:val="7F3FD4AB"/>
    <w:rsid w:val="7F3FD6CF"/>
    <w:rsid w:val="7F4E9C05"/>
    <w:rsid w:val="7F532DA4"/>
    <w:rsid w:val="7F59FBAD"/>
    <w:rsid w:val="7F5A1869"/>
    <w:rsid w:val="7F5D4CA1"/>
    <w:rsid w:val="7F5DCCCD"/>
    <w:rsid w:val="7F62A758"/>
    <w:rsid w:val="7F651B6B"/>
    <w:rsid w:val="7F66564B"/>
    <w:rsid w:val="7F6ECA34"/>
    <w:rsid w:val="7F736BB3"/>
    <w:rsid w:val="7F752089"/>
    <w:rsid w:val="7F759B80"/>
    <w:rsid w:val="7F770235"/>
    <w:rsid w:val="7F7A0D5A"/>
    <w:rsid w:val="7F7D6F11"/>
    <w:rsid w:val="7F7D72E0"/>
    <w:rsid w:val="7F7E62FE"/>
    <w:rsid w:val="7F7F4081"/>
    <w:rsid w:val="7F7F8BA7"/>
    <w:rsid w:val="7F7FD706"/>
    <w:rsid w:val="7F7FE757"/>
    <w:rsid w:val="7F7FEA65"/>
    <w:rsid w:val="7F8DE414"/>
    <w:rsid w:val="7F9509F6"/>
    <w:rsid w:val="7F979FD3"/>
    <w:rsid w:val="7F9A9519"/>
    <w:rsid w:val="7F9BBFCF"/>
    <w:rsid w:val="7F9F12B9"/>
    <w:rsid w:val="7FA73241"/>
    <w:rsid w:val="7FA7E5AA"/>
    <w:rsid w:val="7FA906A8"/>
    <w:rsid w:val="7FAD262F"/>
    <w:rsid w:val="7FADB99B"/>
    <w:rsid w:val="7FAF0973"/>
    <w:rsid w:val="7FAF8336"/>
    <w:rsid w:val="7FB7CA20"/>
    <w:rsid w:val="7FB7DD35"/>
    <w:rsid w:val="7FBC285B"/>
    <w:rsid w:val="7FBDFD35"/>
    <w:rsid w:val="7FBE3F1A"/>
    <w:rsid w:val="7FBEBEB0"/>
    <w:rsid w:val="7FBF0F57"/>
    <w:rsid w:val="7FBF1CE7"/>
    <w:rsid w:val="7FBF505F"/>
    <w:rsid w:val="7FBF919F"/>
    <w:rsid w:val="7FBFB947"/>
    <w:rsid w:val="7FBFE2FD"/>
    <w:rsid w:val="7FCBA216"/>
    <w:rsid w:val="7FCD55B3"/>
    <w:rsid w:val="7FCF1763"/>
    <w:rsid w:val="7FD0EDE2"/>
    <w:rsid w:val="7FD232CF"/>
    <w:rsid w:val="7FD39406"/>
    <w:rsid w:val="7FD500EF"/>
    <w:rsid w:val="7FD5DB77"/>
    <w:rsid w:val="7FD5F6B2"/>
    <w:rsid w:val="7FD71EF4"/>
    <w:rsid w:val="7FD76ED5"/>
    <w:rsid w:val="7FD7DCD4"/>
    <w:rsid w:val="7FD9A709"/>
    <w:rsid w:val="7FDA9C1E"/>
    <w:rsid w:val="7FDB5414"/>
    <w:rsid w:val="7FDB6A15"/>
    <w:rsid w:val="7FDD2849"/>
    <w:rsid w:val="7FDD30B5"/>
    <w:rsid w:val="7FDDDA05"/>
    <w:rsid w:val="7FDE0154"/>
    <w:rsid w:val="7FDE2D03"/>
    <w:rsid w:val="7FDF0374"/>
    <w:rsid w:val="7FDF4554"/>
    <w:rsid w:val="7FDF6165"/>
    <w:rsid w:val="7FDF62F6"/>
    <w:rsid w:val="7FDF6EEC"/>
    <w:rsid w:val="7FDF9878"/>
    <w:rsid w:val="7FDFF71C"/>
    <w:rsid w:val="7FE1423F"/>
    <w:rsid w:val="7FE5EE83"/>
    <w:rsid w:val="7FE7A13B"/>
    <w:rsid w:val="7FE7D156"/>
    <w:rsid w:val="7FE81F85"/>
    <w:rsid w:val="7FEA437C"/>
    <w:rsid w:val="7FEAB617"/>
    <w:rsid w:val="7FEB981D"/>
    <w:rsid w:val="7FEB9FD7"/>
    <w:rsid w:val="7FEBC153"/>
    <w:rsid w:val="7FECD89D"/>
    <w:rsid w:val="7FED05D8"/>
    <w:rsid w:val="7FED2FE7"/>
    <w:rsid w:val="7FEE5EC0"/>
    <w:rsid w:val="7FEEA687"/>
    <w:rsid w:val="7FEEA765"/>
    <w:rsid w:val="7FEF3DB7"/>
    <w:rsid w:val="7FEF4DB0"/>
    <w:rsid w:val="7FEF5E61"/>
    <w:rsid w:val="7FEF779A"/>
    <w:rsid w:val="7FEF8320"/>
    <w:rsid w:val="7FEFE316"/>
    <w:rsid w:val="7FEFF3CE"/>
    <w:rsid w:val="7FEFF988"/>
    <w:rsid w:val="7FF3054E"/>
    <w:rsid w:val="7FF3C790"/>
    <w:rsid w:val="7FF3D4B4"/>
    <w:rsid w:val="7FF49BA0"/>
    <w:rsid w:val="7FF57E64"/>
    <w:rsid w:val="7FF59EF7"/>
    <w:rsid w:val="7FF6014E"/>
    <w:rsid w:val="7FF70A8D"/>
    <w:rsid w:val="7FF7841C"/>
    <w:rsid w:val="7FF79A2F"/>
    <w:rsid w:val="7FF79E0F"/>
    <w:rsid w:val="7FF7AD73"/>
    <w:rsid w:val="7FF7AE27"/>
    <w:rsid w:val="7FF95C95"/>
    <w:rsid w:val="7FF9E5DC"/>
    <w:rsid w:val="7FFADCB3"/>
    <w:rsid w:val="7FFB0B36"/>
    <w:rsid w:val="7FFBB955"/>
    <w:rsid w:val="7FFBC8F2"/>
    <w:rsid w:val="7FFBE6EF"/>
    <w:rsid w:val="7FFBECDA"/>
    <w:rsid w:val="7FFC5E41"/>
    <w:rsid w:val="7FFD15EA"/>
    <w:rsid w:val="7FFD647B"/>
    <w:rsid w:val="7FFE0EB7"/>
    <w:rsid w:val="7FFE2D43"/>
    <w:rsid w:val="7FFE3F1F"/>
    <w:rsid w:val="7FFE6059"/>
    <w:rsid w:val="7FFE6B32"/>
    <w:rsid w:val="7FFE90E5"/>
    <w:rsid w:val="7FFEABF9"/>
    <w:rsid w:val="7FFEADFE"/>
    <w:rsid w:val="7FFEDEBC"/>
    <w:rsid w:val="7FFEE11D"/>
    <w:rsid w:val="7FFF38E2"/>
    <w:rsid w:val="7FFF4344"/>
    <w:rsid w:val="7FFF4553"/>
    <w:rsid w:val="7FFF7D41"/>
    <w:rsid w:val="7FFF950B"/>
    <w:rsid w:val="7FFFB338"/>
    <w:rsid w:val="7FFFB69F"/>
    <w:rsid w:val="7FFFE0A9"/>
    <w:rsid w:val="7FFFE917"/>
    <w:rsid w:val="7FFFEF51"/>
    <w:rsid w:val="856769F1"/>
    <w:rsid w:val="878BBF5A"/>
    <w:rsid w:val="886741FE"/>
    <w:rsid w:val="89CF1D98"/>
    <w:rsid w:val="8BBF9311"/>
    <w:rsid w:val="8BDE3ED4"/>
    <w:rsid w:val="8DFBC842"/>
    <w:rsid w:val="8ED7C19A"/>
    <w:rsid w:val="8EEEF1E8"/>
    <w:rsid w:val="8F5527E8"/>
    <w:rsid w:val="8F738877"/>
    <w:rsid w:val="8F7E7D85"/>
    <w:rsid w:val="8FCFEC67"/>
    <w:rsid w:val="8FFB6887"/>
    <w:rsid w:val="8FFF5A4D"/>
    <w:rsid w:val="8FFFEB91"/>
    <w:rsid w:val="92DEA558"/>
    <w:rsid w:val="92FDB425"/>
    <w:rsid w:val="9379CC95"/>
    <w:rsid w:val="93B96D56"/>
    <w:rsid w:val="93DE452D"/>
    <w:rsid w:val="95B9AA5C"/>
    <w:rsid w:val="96DF0BAC"/>
    <w:rsid w:val="972F6CFF"/>
    <w:rsid w:val="97BBDB9E"/>
    <w:rsid w:val="97E51B79"/>
    <w:rsid w:val="97E5F67E"/>
    <w:rsid w:val="97FDE061"/>
    <w:rsid w:val="99B9F37C"/>
    <w:rsid w:val="99E67E59"/>
    <w:rsid w:val="9B2BF831"/>
    <w:rsid w:val="9B6A78A1"/>
    <w:rsid w:val="9B7F74AA"/>
    <w:rsid w:val="9B7FA5B5"/>
    <w:rsid w:val="9B9ECE6A"/>
    <w:rsid w:val="9BCF3212"/>
    <w:rsid w:val="9BD700FA"/>
    <w:rsid w:val="9BDAE751"/>
    <w:rsid w:val="9BFA4877"/>
    <w:rsid w:val="9BFDA9B9"/>
    <w:rsid w:val="9BFFCE5E"/>
    <w:rsid w:val="9CDD68BD"/>
    <w:rsid w:val="9CF258E2"/>
    <w:rsid w:val="9CFDB1E6"/>
    <w:rsid w:val="9D1D3CE9"/>
    <w:rsid w:val="9DBE0C4A"/>
    <w:rsid w:val="9DED8F43"/>
    <w:rsid w:val="9DEF4AD5"/>
    <w:rsid w:val="9DF9C5D1"/>
    <w:rsid w:val="9DFBB23B"/>
    <w:rsid w:val="9E993BF0"/>
    <w:rsid w:val="9ECCC3CE"/>
    <w:rsid w:val="9EEBC2FA"/>
    <w:rsid w:val="9EECD5E1"/>
    <w:rsid w:val="9EED0E5E"/>
    <w:rsid w:val="9EFF63D0"/>
    <w:rsid w:val="9F33322C"/>
    <w:rsid w:val="9F370502"/>
    <w:rsid w:val="9F5BFDD6"/>
    <w:rsid w:val="9F7DC8E1"/>
    <w:rsid w:val="9F9D467E"/>
    <w:rsid w:val="9FD5BB96"/>
    <w:rsid w:val="9FD7768C"/>
    <w:rsid w:val="9FE36AE0"/>
    <w:rsid w:val="9FEF9D75"/>
    <w:rsid w:val="9FF7D87B"/>
    <w:rsid w:val="9FF7F80E"/>
    <w:rsid w:val="9FFD6819"/>
    <w:rsid w:val="9FFF9EED"/>
    <w:rsid w:val="A38E863A"/>
    <w:rsid w:val="A3DFCF16"/>
    <w:rsid w:val="A575634D"/>
    <w:rsid w:val="A57EDA5E"/>
    <w:rsid w:val="A5ADD129"/>
    <w:rsid w:val="A5FF95BE"/>
    <w:rsid w:val="A75C611E"/>
    <w:rsid w:val="A7974C99"/>
    <w:rsid w:val="A7ED053A"/>
    <w:rsid w:val="A7F7032C"/>
    <w:rsid w:val="A7FF35F6"/>
    <w:rsid w:val="A7FF913D"/>
    <w:rsid w:val="A9BD1F60"/>
    <w:rsid w:val="A9DBD770"/>
    <w:rsid w:val="A9F63E89"/>
    <w:rsid w:val="AAD7EF30"/>
    <w:rsid w:val="AAFD4DA8"/>
    <w:rsid w:val="AB1F4437"/>
    <w:rsid w:val="AB4FFB16"/>
    <w:rsid w:val="AB8B1C07"/>
    <w:rsid w:val="AB9F2C54"/>
    <w:rsid w:val="ABBFA497"/>
    <w:rsid w:val="ABC79617"/>
    <w:rsid w:val="ABE31758"/>
    <w:rsid w:val="ABF73216"/>
    <w:rsid w:val="ABFE4843"/>
    <w:rsid w:val="ABFF44BA"/>
    <w:rsid w:val="ACDB6D13"/>
    <w:rsid w:val="ACDD5308"/>
    <w:rsid w:val="ACDF8080"/>
    <w:rsid w:val="AD7DD8B5"/>
    <w:rsid w:val="AD7F38A2"/>
    <w:rsid w:val="AD7FBA59"/>
    <w:rsid w:val="AD970582"/>
    <w:rsid w:val="ADBB73F3"/>
    <w:rsid w:val="ADC358B8"/>
    <w:rsid w:val="ADFA229E"/>
    <w:rsid w:val="ADFBC9D7"/>
    <w:rsid w:val="ADFFBFB8"/>
    <w:rsid w:val="AE066B85"/>
    <w:rsid w:val="AE752BEC"/>
    <w:rsid w:val="AE7F9559"/>
    <w:rsid w:val="AEF50F84"/>
    <w:rsid w:val="AEFA1BCF"/>
    <w:rsid w:val="AF6CC4AE"/>
    <w:rsid w:val="AF6F6C5F"/>
    <w:rsid w:val="AF79B496"/>
    <w:rsid w:val="AF7F4095"/>
    <w:rsid w:val="AFAFBBDE"/>
    <w:rsid w:val="AFD7123F"/>
    <w:rsid w:val="AFEA9A4C"/>
    <w:rsid w:val="AFEFFB0A"/>
    <w:rsid w:val="AFFB00C9"/>
    <w:rsid w:val="AFFB2892"/>
    <w:rsid w:val="AFFD34CA"/>
    <w:rsid w:val="AFFD6E8F"/>
    <w:rsid w:val="AFFD6EFB"/>
    <w:rsid w:val="AFFED56E"/>
    <w:rsid w:val="AFFF8A59"/>
    <w:rsid w:val="AFFFD2AB"/>
    <w:rsid w:val="AFFFED7B"/>
    <w:rsid w:val="B1E91F22"/>
    <w:rsid w:val="B1FA728C"/>
    <w:rsid w:val="B2DF8DD8"/>
    <w:rsid w:val="B2F47022"/>
    <w:rsid w:val="B33C0D29"/>
    <w:rsid w:val="B3C458EF"/>
    <w:rsid w:val="B3E984D7"/>
    <w:rsid w:val="B3EFAFEC"/>
    <w:rsid w:val="B3F148B5"/>
    <w:rsid w:val="B3FE2263"/>
    <w:rsid w:val="B4FF9ACA"/>
    <w:rsid w:val="B5B576AC"/>
    <w:rsid w:val="B69BA5DD"/>
    <w:rsid w:val="B6F7CE56"/>
    <w:rsid w:val="B6F7EEC1"/>
    <w:rsid w:val="B6FEDD84"/>
    <w:rsid w:val="B733BC76"/>
    <w:rsid w:val="B747879A"/>
    <w:rsid w:val="B763EBBC"/>
    <w:rsid w:val="B76E694E"/>
    <w:rsid w:val="B76EFA11"/>
    <w:rsid w:val="B77ABF78"/>
    <w:rsid w:val="B77FC831"/>
    <w:rsid w:val="B78F7E39"/>
    <w:rsid w:val="B797D9A9"/>
    <w:rsid w:val="B79CE169"/>
    <w:rsid w:val="B79FF465"/>
    <w:rsid w:val="B7DFD8DF"/>
    <w:rsid w:val="B7EAB405"/>
    <w:rsid w:val="B7EDC966"/>
    <w:rsid w:val="B7F386E3"/>
    <w:rsid w:val="B7FB4C34"/>
    <w:rsid w:val="B7FC70DB"/>
    <w:rsid w:val="B7FF314F"/>
    <w:rsid w:val="B7FFB16E"/>
    <w:rsid w:val="B7FFD648"/>
    <w:rsid w:val="B8E7C6C0"/>
    <w:rsid w:val="B97FDCA6"/>
    <w:rsid w:val="B9BEC646"/>
    <w:rsid w:val="B9DE29B9"/>
    <w:rsid w:val="B9FA9178"/>
    <w:rsid w:val="B9FCE0B5"/>
    <w:rsid w:val="B9FF7F8E"/>
    <w:rsid w:val="B9FFB879"/>
    <w:rsid w:val="BA791E88"/>
    <w:rsid w:val="BAD603D9"/>
    <w:rsid w:val="BAEE8A21"/>
    <w:rsid w:val="BAEF907E"/>
    <w:rsid w:val="BAF9BF7C"/>
    <w:rsid w:val="BAFD707E"/>
    <w:rsid w:val="BB5D2838"/>
    <w:rsid w:val="BB7BF0F9"/>
    <w:rsid w:val="BB7D94EC"/>
    <w:rsid w:val="BB9F79A6"/>
    <w:rsid w:val="BBBC522F"/>
    <w:rsid w:val="BBBF8519"/>
    <w:rsid w:val="BBDA4C2A"/>
    <w:rsid w:val="BBDE722F"/>
    <w:rsid w:val="BBE69964"/>
    <w:rsid w:val="BBEF346B"/>
    <w:rsid w:val="BBEFF16C"/>
    <w:rsid w:val="BBF74192"/>
    <w:rsid w:val="BBFFE190"/>
    <w:rsid w:val="BC7F820E"/>
    <w:rsid w:val="BCB96F65"/>
    <w:rsid w:val="BCEF1F60"/>
    <w:rsid w:val="BCF70CED"/>
    <w:rsid w:val="BCF786A8"/>
    <w:rsid w:val="BCFFFB96"/>
    <w:rsid w:val="BD3710E7"/>
    <w:rsid w:val="BD3F42D7"/>
    <w:rsid w:val="BD4F02D5"/>
    <w:rsid w:val="BD5DDE85"/>
    <w:rsid w:val="BD7F915C"/>
    <w:rsid w:val="BDB98D7B"/>
    <w:rsid w:val="BDBD2207"/>
    <w:rsid w:val="BDBF922D"/>
    <w:rsid w:val="BDBFD108"/>
    <w:rsid w:val="BDD09CDB"/>
    <w:rsid w:val="BDD3C732"/>
    <w:rsid w:val="BDDB8DED"/>
    <w:rsid w:val="BDED2E20"/>
    <w:rsid w:val="BDF278CE"/>
    <w:rsid w:val="BDF62023"/>
    <w:rsid w:val="BDF78910"/>
    <w:rsid w:val="BDFBC3F4"/>
    <w:rsid w:val="BDFFAC50"/>
    <w:rsid w:val="BE0F68B4"/>
    <w:rsid w:val="BE16CC4E"/>
    <w:rsid w:val="BE3BE464"/>
    <w:rsid w:val="BE5F612F"/>
    <w:rsid w:val="BE5FDFDF"/>
    <w:rsid w:val="BE6F8172"/>
    <w:rsid w:val="BE6FD314"/>
    <w:rsid w:val="BE7F5975"/>
    <w:rsid w:val="BE963ED3"/>
    <w:rsid w:val="BE9A7990"/>
    <w:rsid w:val="BEB746B8"/>
    <w:rsid w:val="BEBB3B93"/>
    <w:rsid w:val="BEC63099"/>
    <w:rsid w:val="BEDCFFDE"/>
    <w:rsid w:val="BEDE62FB"/>
    <w:rsid w:val="BEED22AE"/>
    <w:rsid w:val="BEEFA20C"/>
    <w:rsid w:val="BEEFB08B"/>
    <w:rsid w:val="BEEFD233"/>
    <w:rsid w:val="BEF89F54"/>
    <w:rsid w:val="BEFD56AD"/>
    <w:rsid w:val="BEFD774F"/>
    <w:rsid w:val="BEFD8481"/>
    <w:rsid w:val="BF192104"/>
    <w:rsid w:val="BF1AA928"/>
    <w:rsid w:val="BF3BCDCD"/>
    <w:rsid w:val="BF3F0BF6"/>
    <w:rsid w:val="BF675C6D"/>
    <w:rsid w:val="BF6E6610"/>
    <w:rsid w:val="BF757860"/>
    <w:rsid w:val="BF76CF20"/>
    <w:rsid w:val="BF79BC79"/>
    <w:rsid w:val="BF7F3043"/>
    <w:rsid w:val="BF8B6E62"/>
    <w:rsid w:val="BF8F42E7"/>
    <w:rsid w:val="BFAF6BEA"/>
    <w:rsid w:val="BFB3220D"/>
    <w:rsid w:val="BFB71D93"/>
    <w:rsid w:val="BFB7BE07"/>
    <w:rsid w:val="BFBBE20F"/>
    <w:rsid w:val="BFBE9210"/>
    <w:rsid w:val="BFBE9B55"/>
    <w:rsid w:val="BFBED6FD"/>
    <w:rsid w:val="BFBFC2B5"/>
    <w:rsid w:val="BFC5A207"/>
    <w:rsid w:val="BFC70874"/>
    <w:rsid w:val="BFD64240"/>
    <w:rsid w:val="BFD7EC7E"/>
    <w:rsid w:val="BFD99681"/>
    <w:rsid w:val="BFDBAB17"/>
    <w:rsid w:val="BFED66DB"/>
    <w:rsid w:val="BFEF1CF0"/>
    <w:rsid w:val="BFEFCAFA"/>
    <w:rsid w:val="BFF211F5"/>
    <w:rsid w:val="BFF2FED5"/>
    <w:rsid w:val="BFF6098A"/>
    <w:rsid w:val="BFF6ABA0"/>
    <w:rsid w:val="BFF79ED1"/>
    <w:rsid w:val="BFF7F2DC"/>
    <w:rsid w:val="BFFA9525"/>
    <w:rsid w:val="BFFABA5D"/>
    <w:rsid w:val="BFFBC0B7"/>
    <w:rsid w:val="BFFDB49D"/>
    <w:rsid w:val="BFFDD965"/>
    <w:rsid w:val="BFFE9173"/>
    <w:rsid w:val="BFFF05AA"/>
    <w:rsid w:val="BFFF2794"/>
    <w:rsid w:val="BFFF2E6D"/>
    <w:rsid w:val="BFFFD7C6"/>
    <w:rsid w:val="BFFFDD6C"/>
    <w:rsid w:val="C175FC02"/>
    <w:rsid w:val="C22D1432"/>
    <w:rsid w:val="C377D33E"/>
    <w:rsid w:val="C3817AF8"/>
    <w:rsid w:val="C45F861A"/>
    <w:rsid w:val="C57F61B2"/>
    <w:rsid w:val="C6BF8044"/>
    <w:rsid w:val="C6F79AA3"/>
    <w:rsid w:val="C6FF5552"/>
    <w:rsid w:val="C74F1025"/>
    <w:rsid w:val="C7A6E0C6"/>
    <w:rsid w:val="C7D5E229"/>
    <w:rsid w:val="C7DF748C"/>
    <w:rsid w:val="C8DC7459"/>
    <w:rsid w:val="C9269BA7"/>
    <w:rsid w:val="C97B931B"/>
    <w:rsid w:val="C9F79D00"/>
    <w:rsid w:val="CADC6933"/>
    <w:rsid w:val="CADFB2B8"/>
    <w:rsid w:val="CAFAA37E"/>
    <w:rsid w:val="CAFF248B"/>
    <w:rsid w:val="CB3F4CF6"/>
    <w:rsid w:val="CB75B92C"/>
    <w:rsid w:val="CBB7F621"/>
    <w:rsid w:val="CBD7FC94"/>
    <w:rsid w:val="CC4EC24D"/>
    <w:rsid w:val="CCDEA039"/>
    <w:rsid w:val="CD2F8F6B"/>
    <w:rsid w:val="CD3FEDD1"/>
    <w:rsid w:val="CD43FCA8"/>
    <w:rsid w:val="CDB6A013"/>
    <w:rsid w:val="CDD794E5"/>
    <w:rsid w:val="CDE3ACC7"/>
    <w:rsid w:val="CDEF313F"/>
    <w:rsid w:val="CE59865A"/>
    <w:rsid w:val="CEE3C93B"/>
    <w:rsid w:val="CEEF2283"/>
    <w:rsid w:val="CEEF9173"/>
    <w:rsid w:val="CEF962AC"/>
    <w:rsid w:val="CF3D4C14"/>
    <w:rsid w:val="CF6FEB97"/>
    <w:rsid w:val="CF7ACD1D"/>
    <w:rsid w:val="CF7BCA57"/>
    <w:rsid w:val="CF9FE00B"/>
    <w:rsid w:val="CFB3E3C7"/>
    <w:rsid w:val="CFB439D7"/>
    <w:rsid w:val="CFB62C4F"/>
    <w:rsid w:val="CFB765EE"/>
    <w:rsid w:val="CFCF5FAD"/>
    <w:rsid w:val="CFD4E29C"/>
    <w:rsid w:val="CFD744CA"/>
    <w:rsid w:val="CFFB8D17"/>
    <w:rsid w:val="CFFD05AF"/>
    <w:rsid w:val="CFFF309A"/>
    <w:rsid w:val="CFFF87B9"/>
    <w:rsid w:val="CFFF9A12"/>
    <w:rsid w:val="CFFFD98E"/>
    <w:rsid w:val="D0F8E025"/>
    <w:rsid w:val="D1AC3D17"/>
    <w:rsid w:val="D1F2D687"/>
    <w:rsid w:val="D2E7FAF9"/>
    <w:rsid w:val="D36F8E10"/>
    <w:rsid w:val="D3AF74CA"/>
    <w:rsid w:val="D3B189C1"/>
    <w:rsid w:val="D3BB345C"/>
    <w:rsid w:val="D3F1EEC3"/>
    <w:rsid w:val="D3F76A6F"/>
    <w:rsid w:val="D427A4B1"/>
    <w:rsid w:val="D4BF6AC9"/>
    <w:rsid w:val="D5080E33"/>
    <w:rsid w:val="D57A9E7B"/>
    <w:rsid w:val="D5E8B31C"/>
    <w:rsid w:val="D5E8D377"/>
    <w:rsid w:val="D5FB38B5"/>
    <w:rsid w:val="D5FE677E"/>
    <w:rsid w:val="D657661F"/>
    <w:rsid w:val="D67F4E7E"/>
    <w:rsid w:val="D6DF4AEF"/>
    <w:rsid w:val="D6EB6563"/>
    <w:rsid w:val="D73E3470"/>
    <w:rsid w:val="D75F352F"/>
    <w:rsid w:val="D75FED38"/>
    <w:rsid w:val="D76B9FBD"/>
    <w:rsid w:val="D7762C20"/>
    <w:rsid w:val="D77D4576"/>
    <w:rsid w:val="D787430D"/>
    <w:rsid w:val="D79D7F56"/>
    <w:rsid w:val="D7A7460B"/>
    <w:rsid w:val="D7A9E1F3"/>
    <w:rsid w:val="D7DBC2D6"/>
    <w:rsid w:val="D7DF94DA"/>
    <w:rsid w:val="D7E7FDB1"/>
    <w:rsid w:val="D7EB2526"/>
    <w:rsid w:val="D7EBD1A5"/>
    <w:rsid w:val="D7EED989"/>
    <w:rsid w:val="D7EF7522"/>
    <w:rsid w:val="D7F62A5C"/>
    <w:rsid w:val="D7F6EC94"/>
    <w:rsid w:val="D7FB7081"/>
    <w:rsid w:val="D7FB92C9"/>
    <w:rsid w:val="D7FD752F"/>
    <w:rsid w:val="D7FDE049"/>
    <w:rsid w:val="D7FE3BC1"/>
    <w:rsid w:val="D7FF623E"/>
    <w:rsid w:val="D8FD8BAE"/>
    <w:rsid w:val="D9DB3543"/>
    <w:rsid w:val="D9EFD876"/>
    <w:rsid w:val="D9F6D5BA"/>
    <w:rsid w:val="DA1E7371"/>
    <w:rsid w:val="DA9DC0C0"/>
    <w:rsid w:val="DA9FB462"/>
    <w:rsid w:val="DABFE3D1"/>
    <w:rsid w:val="DACDB64B"/>
    <w:rsid w:val="DADB344B"/>
    <w:rsid w:val="DAE7EB47"/>
    <w:rsid w:val="DB370689"/>
    <w:rsid w:val="DB3F8FB7"/>
    <w:rsid w:val="DB5D723C"/>
    <w:rsid w:val="DB5FD143"/>
    <w:rsid w:val="DB65D867"/>
    <w:rsid w:val="DB6FB61A"/>
    <w:rsid w:val="DB73D7DF"/>
    <w:rsid w:val="DB7920D3"/>
    <w:rsid w:val="DB7DAEAA"/>
    <w:rsid w:val="DB7E8835"/>
    <w:rsid w:val="DBBD03E2"/>
    <w:rsid w:val="DBBF8FCF"/>
    <w:rsid w:val="DBBFE949"/>
    <w:rsid w:val="DBD34663"/>
    <w:rsid w:val="DBE6FA4B"/>
    <w:rsid w:val="DBEAF5C3"/>
    <w:rsid w:val="DBEAFEFE"/>
    <w:rsid w:val="DBEB2DA7"/>
    <w:rsid w:val="DBEB7774"/>
    <w:rsid w:val="DBEF9235"/>
    <w:rsid w:val="DBF51F05"/>
    <w:rsid w:val="DBFBF72A"/>
    <w:rsid w:val="DBFFA3A0"/>
    <w:rsid w:val="DBFFE62A"/>
    <w:rsid w:val="DCA61F6F"/>
    <w:rsid w:val="DCBE0BF0"/>
    <w:rsid w:val="DCEFDE86"/>
    <w:rsid w:val="DD36A020"/>
    <w:rsid w:val="DD7DD9E1"/>
    <w:rsid w:val="DD7F06CB"/>
    <w:rsid w:val="DD7F2E4B"/>
    <w:rsid w:val="DDA3173A"/>
    <w:rsid w:val="DDBB2901"/>
    <w:rsid w:val="DDBF6199"/>
    <w:rsid w:val="DDDDC088"/>
    <w:rsid w:val="DDEBBDBE"/>
    <w:rsid w:val="DDEF4DF2"/>
    <w:rsid w:val="DDF7B4D3"/>
    <w:rsid w:val="DDF95F57"/>
    <w:rsid w:val="DDFA1386"/>
    <w:rsid w:val="DDFCBE8A"/>
    <w:rsid w:val="DDFF957E"/>
    <w:rsid w:val="DDFFF738"/>
    <w:rsid w:val="DE4F234D"/>
    <w:rsid w:val="DE6F166E"/>
    <w:rsid w:val="DE7BBBFD"/>
    <w:rsid w:val="DE7EE9F8"/>
    <w:rsid w:val="DE9B9269"/>
    <w:rsid w:val="DEA70FC3"/>
    <w:rsid w:val="DEA71920"/>
    <w:rsid w:val="DEDD4511"/>
    <w:rsid w:val="DEED798E"/>
    <w:rsid w:val="DEEE2340"/>
    <w:rsid w:val="DEF5439C"/>
    <w:rsid w:val="DEF773E0"/>
    <w:rsid w:val="DEF7B618"/>
    <w:rsid w:val="DEFA25C8"/>
    <w:rsid w:val="DEFBAEFB"/>
    <w:rsid w:val="DEFD88FB"/>
    <w:rsid w:val="DEFD9079"/>
    <w:rsid w:val="DEFFC765"/>
    <w:rsid w:val="DEFFF55F"/>
    <w:rsid w:val="DF1E23E0"/>
    <w:rsid w:val="DF1FFAD4"/>
    <w:rsid w:val="DF2BE63B"/>
    <w:rsid w:val="DF2C3AB6"/>
    <w:rsid w:val="DF55E0BC"/>
    <w:rsid w:val="DF56764C"/>
    <w:rsid w:val="DF5758BD"/>
    <w:rsid w:val="DF752FFD"/>
    <w:rsid w:val="DF758D7C"/>
    <w:rsid w:val="DF7748EA"/>
    <w:rsid w:val="DF7D6912"/>
    <w:rsid w:val="DF7DECCB"/>
    <w:rsid w:val="DF7E224E"/>
    <w:rsid w:val="DF7F5067"/>
    <w:rsid w:val="DF7FB3AB"/>
    <w:rsid w:val="DF7FE7C4"/>
    <w:rsid w:val="DF9EA8A9"/>
    <w:rsid w:val="DF9EDCB7"/>
    <w:rsid w:val="DFA77D30"/>
    <w:rsid w:val="DFAB3F56"/>
    <w:rsid w:val="DFAB9A55"/>
    <w:rsid w:val="DFADB1E4"/>
    <w:rsid w:val="DFB7D4DA"/>
    <w:rsid w:val="DFBF3DB0"/>
    <w:rsid w:val="DFBFB69D"/>
    <w:rsid w:val="DFD5D6FB"/>
    <w:rsid w:val="DFDB6BDD"/>
    <w:rsid w:val="DFDCBDA7"/>
    <w:rsid w:val="DFDD2D3B"/>
    <w:rsid w:val="DFDF25CB"/>
    <w:rsid w:val="DFE3D864"/>
    <w:rsid w:val="DFE71C10"/>
    <w:rsid w:val="DFE734D9"/>
    <w:rsid w:val="DFEAD540"/>
    <w:rsid w:val="DFEDD5D1"/>
    <w:rsid w:val="DFEF9143"/>
    <w:rsid w:val="DFEFBEAE"/>
    <w:rsid w:val="DFEFC296"/>
    <w:rsid w:val="DFF51B9C"/>
    <w:rsid w:val="DFF57B4B"/>
    <w:rsid w:val="DFF70781"/>
    <w:rsid w:val="DFF7BB33"/>
    <w:rsid w:val="DFF7D1B1"/>
    <w:rsid w:val="DFFA0F0D"/>
    <w:rsid w:val="DFFA2D74"/>
    <w:rsid w:val="DFFAE45C"/>
    <w:rsid w:val="DFFB920F"/>
    <w:rsid w:val="DFFBDD6E"/>
    <w:rsid w:val="DFFD987D"/>
    <w:rsid w:val="DFFDA77F"/>
    <w:rsid w:val="DFFDB25B"/>
    <w:rsid w:val="DFFF1FED"/>
    <w:rsid w:val="DFFF5D80"/>
    <w:rsid w:val="DFFF7A38"/>
    <w:rsid w:val="DFFFDC09"/>
    <w:rsid w:val="E19F74C6"/>
    <w:rsid w:val="E1BE4097"/>
    <w:rsid w:val="E1F7CD63"/>
    <w:rsid w:val="E1FDD30A"/>
    <w:rsid w:val="E22E61CF"/>
    <w:rsid w:val="E297809D"/>
    <w:rsid w:val="E2F57C1B"/>
    <w:rsid w:val="E2FF1653"/>
    <w:rsid w:val="E35CC2CE"/>
    <w:rsid w:val="E37FE289"/>
    <w:rsid w:val="E385F030"/>
    <w:rsid w:val="E3D9B64D"/>
    <w:rsid w:val="E3EBB47D"/>
    <w:rsid w:val="E3EE2D82"/>
    <w:rsid w:val="E5B5433D"/>
    <w:rsid w:val="E5D8E41E"/>
    <w:rsid w:val="E5DBD33F"/>
    <w:rsid w:val="E5EF2851"/>
    <w:rsid w:val="E5F7D947"/>
    <w:rsid w:val="E66BF51E"/>
    <w:rsid w:val="E6BF21F0"/>
    <w:rsid w:val="E6BF619F"/>
    <w:rsid w:val="E6E3C5F0"/>
    <w:rsid w:val="E6EFE6BD"/>
    <w:rsid w:val="E6F30116"/>
    <w:rsid w:val="E6FEFB7B"/>
    <w:rsid w:val="E6FF0D20"/>
    <w:rsid w:val="E6FF1BD9"/>
    <w:rsid w:val="E72B99B6"/>
    <w:rsid w:val="E7785746"/>
    <w:rsid w:val="E779E75A"/>
    <w:rsid w:val="E78FF6AA"/>
    <w:rsid w:val="E7AFCCAB"/>
    <w:rsid w:val="E7BBBE69"/>
    <w:rsid w:val="E7CFD029"/>
    <w:rsid w:val="E7EF5D44"/>
    <w:rsid w:val="E7EFD7B3"/>
    <w:rsid w:val="E7F1DFBF"/>
    <w:rsid w:val="E7F47F0E"/>
    <w:rsid w:val="E7FB6BAA"/>
    <w:rsid w:val="E7FBC160"/>
    <w:rsid w:val="E7FD447C"/>
    <w:rsid w:val="E7FE694C"/>
    <w:rsid w:val="E7FF9A1A"/>
    <w:rsid w:val="E7FFC760"/>
    <w:rsid w:val="E7FFCEF3"/>
    <w:rsid w:val="E879A845"/>
    <w:rsid w:val="E8EF498B"/>
    <w:rsid w:val="E8FAACB0"/>
    <w:rsid w:val="E97B7F01"/>
    <w:rsid w:val="E97F6AF6"/>
    <w:rsid w:val="E9B838B1"/>
    <w:rsid w:val="E9D36EAE"/>
    <w:rsid w:val="E9D78029"/>
    <w:rsid w:val="E9E62B3C"/>
    <w:rsid w:val="E9EF6A48"/>
    <w:rsid w:val="E9F410F8"/>
    <w:rsid w:val="E9FCF86D"/>
    <w:rsid w:val="E9FD3D14"/>
    <w:rsid w:val="E9FEB65B"/>
    <w:rsid w:val="E9FF567C"/>
    <w:rsid w:val="EA5F8B2D"/>
    <w:rsid w:val="EA7A1829"/>
    <w:rsid w:val="EA7FE300"/>
    <w:rsid w:val="EAAEE141"/>
    <w:rsid w:val="EAB7969D"/>
    <w:rsid w:val="EABFA8D8"/>
    <w:rsid w:val="EAE6EC88"/>
    <w:rsid w:val="EAF627E0"/>
    <w:rsid w:val="EAF66968"/>
    <w:rsid w:val="EAF74962"/>
    <w:rsid w:val="EAFDA722"/>
    <w:rsid w:val="EAFF4BEE"/>
    <w:rsid w:val="EB1750F4"/>
    <w:rsid w:val="EB317784"/>
    <w:rsid w:val="EB3937BB"/>
    <w:rsid w:val="EB3DA1F8"/>
    <w:rsid w:val="EB4D66A3"/>
    <w:rsid w:val="EB560F3D"/>
    <w:rsid w:val="EB6EB4A9"/>
    <w:rsid w:val="EB7781B6"/>
    <w:rsid w:val="EB7A728C"/>
    <w:rsid w:val="EBABBC6B"/>
    <w:rsid w:val="EBBF0073"/>
    <w:rsid w:val="EBBF6C36"/>
    <w:rsid w:val="EBD7AB46"/>
    <w:rsid w:val="EBDB6EAD"/>
    <w:rsid w:val="EBDD4880"/>
    <w:rsid w:val="EBDD5028"/>
    <w:rsid w:val="EBE98177"/>
    <w:rsid w:val="EBF5DABD"/>
    <w:rsid w:val="EBF725E6"/>
    <w:rsid w:val="EBF7F250"/>
    <w:rsid w:val="EBFD5800"/>
    <w:rsid w:val="EBFF99F0"/>
    <w:rsid w:val="EBFFED65"/>
    <w:rsid w:val="EC3F4107"/>
    <w:rsid w:val="ECBE870D"/>
    <w:rsid w:val="ECCFCABF"/>
    <w:rsid w:val="ECF68357"/>
    <w:rsid w:val="ED3AF84A"/>
    <w:rsid w:val="ED3E8DCE"/>
    <w:rsid w:val="ED457A82"/>
    <w:rsid w:val="ED5E20C3"/>
    <w:rsid w:val="ED5E5821"/>
    <w:rsid w:val="ED77F700"/>
    <w:rsid w:val="ED7D5FB0"/>
    <w:rsid w:val="ED7EBBBE"/>
    <w:rsid w:val="ED7F9B2E"/>
    <w:rsid w:val="ED7FFD62"/>
    <w:rsid w:val="ED994E17"/>
    <w:rsid w:val="EDBDE35A"/>
    <w:rsid w:val="EDC7B50C"/>
    <w:rsid w:val="EDDA24FC"/>
    <w:rsid w:val="EDFB7A63"/>
    <w:rsid w:val="EDFB834E"/>
    <w:rsid w:val="EDFBC016"/>
    <w:rsid w:val="EDFBF0DA"/>
    <w:rsid w:val="EDFDFC5A"/>
    <w:rsid w:val="EDFF379D"/>
    <w:rsid w:val="EDFFAE75"/>
    <w:rsid w:val="EDFFB065"/>
    <w:rsid w:val="EE1E7BE7"/>
    <w:rsid w:val="EE579B44"/>
    <w:rsid w:val="EE6AFA59"/>
    <w:rsid w:val="EE758774"/>
    <w:rsid w:val="EE8E1C73"/>
    <w:rsid w:val="EE994E30"/>
    <w:rsid w:val="EEC79FA8"/>
    <w:rsid w:val="EED7DF33"/>
    <w:rsid w:val="EEE7829C"/>
    <w:rsid w:val="EEF3B7B9"/>
    <w:rsid w:val="EEFB9D6E"/>
    <w:rsid w:val="EEFCD448"/>
    <w:rsid w:val="EEFD4566"/>
    <w:rsid w:val="EEFF5EDE"/>
    <w:rsid w:val="EEFFBB87"/>
    <w:rsid w:val="EF3F75F6"/>
    <w:rsid w:val="EF5BBB3E"/>
    <w:rsid w:val="EF5C3C20"/>
    <w:rsid w:val="EF675FF1"/>
    <w:rsid w:val="EF76C74D"/>
    <w:rsid w:val="EF780C29"/>
    <w:rsid w:val="EF792A50"/>
    <w:rsid w:val="EF7B671B"/>
    <w:rsid w:val="EF7BA553"/>
    <w:rsid w:val="EF7D3048"/>
    <w:rsid w:val="EF7E6D7C"/>
    <w:rsid w:val="EF7EF8DA"/>
    <w:rsid w:val="EF7F4021"/>
    <w:rsid w:val="EF7FBE4D"/>
    <w:rsid w:val="EFA59F96"/>
    <w:rsid w:val="EFABE406"/>
    <w:rsid w:val="EFAF001D"/>
    <w:rsid w:val="EFB747A0"/>
    <w:rsid w:val="EFBBA7C0"/>
    <w:rsid w:val="EFBE49D2"/>
    <w:rsid w:val="EFBF197E"/>
    <w:rsid w:val="EFBFA87B"/>
    <w:rsid w:val="EFBFE406"/>
    <w:rsid w:val="EFC924B6"/>
    <w:rsid w:val="EFCA3BB0"/>
    <w:rsid w:val="EFD62B0C"/>
    <w:rsid w:val="EFD9A1D8"/>
    <w:rsid w:val="EFDA80BF"/>
    <w:rsid w:val="EFDDE47A"/>
    <w:rsid w:val="EFDE9B51"/>
    <w:rsid w:val="EFDEB539"/>
    <w:rsid w:val="EFE6ECB7"/>
    <w:rsid w:val="EFE7B998"/>
    <w:rsid w:val="EFE7E5EC"/>
    <w:rsid w:val="EFEA7D5B"/>
    <w:rsid w:val="EFED498C"/>
    <w:rsid w:val="EFED99BF"/>
    <w:rsid w:val="EFEF2906"/>
    <w:rsid w:val="EFEF6CDC"/>
    <w:rsid w:val="EFEF72BD"/>
    <w:rsid w:val="EFEFF34A"/>
    <w:rsid w:val="EFF3BFB7"/>
    <w:rsid w:val="EFF68A98"/>
    <w:rsid w:val="EFF7934C"/>
    <w:rsid w:val="EFF7DFA3"/>
    <w:rsid w:val="EFF934BE"/>
    <w:rsid w:val="EFFA70B7"/>
    <w:rsid w:val="EFFD145C"/>
    <w:rsid w:val="EFFDB996"/>
    <w:rsid w:val="EFFF2C9B"/>
    <w:rsid w:val="EFFF3F43"/>
    <w:rsid w:val="EFFF6748"/>
    <w:rsid w:val="EFFF6840"/>
    <w:rsid w:val="EFFF7A1B"/>
    <w:rsid w:val="EFFF9B30"/>
    <w:rsid w:val="EFFFB189"/>
    <w:rsid w:val="EFFFE599"/>
    <w:rsid w:val="F0F94EE3"/>
    <w:rsid w:val="F0FB4779"/>
    <w:rsid w:val="F14E68EB"/>
    <w:rsid w:val="F17F8C07"/>
    <w:rsid w:val="F18C82C3"/>
    <w:rsid w:val="F1BA25BA"/>
    <w:rsid w:val="F1BF1234"/>
    <w:rsid w:val="F1BFDF14"/>
    <w:rsid w:val="F1DFCCE8"/>
    <w:rsid w:val="F1EAAB38"/>
    <w:rsid w:val="F1FC4347"/>
    <w:rsid w:val="F1FFB93C"/>
    <w:rsid w:val="F21FBA6B"/>
    <w:rsid w:val="F27B7141"/>
    <w:rsid w:val="F27FA38A"/>
    <w:rsid w:val="F2BB2614"/>
    <w:rsid w:val="F2CFD35C"/>
    <w:rsid w:val="F2DF6F80"/>
    <w:rsid w:val="F2F83809"/>
    <w:rsid w:val="F2FB1ABA"/>
    <w:rsid w:val="F2FD2B9E"/>
    <w:rsid w:val="F2FF12B4"/>
    <w:rsid w:val="F2FF721A"/>
    <w:rsid w:val="F36F20A8"/>
    <w:rsid w:val="F3724F2C"/>
    <w:rsid w:val="F37D22E1"/>
    <w:rsid w:val="F37D89A6"/>
    <w:rsid w:val="F37F4A1B"/>
    <w:rsid w:val="F37F60F1"/>
    <w:rsid w:val="F3B2C41A"/>
    <w:rsid w:val="F3B57471"/>
    <w:rsid w:val="F3BE45FB"/>
    <w:rsid w:val="F3C7602B"/>
    <w:rsid w:val="F3CEB86F"/>
    <w:rsid w:val="F3D294D4"/>
    <w:rsid w:val="F3D9CD8D"/>
    <w:rsid w:val="F3DB2C35"/>
    <w:rsid w:val="F3EB7093"/>
    <w:rsid w:val="F3F7D134"/>
    <w:rsid w:val="F3F7F6B9"/>
    <w:rsid w:val="F3FBEC53"/>
    <w:rsid w:val="F3FE868E"/>
    <w:rsid w:val="F3FEA41B"/>
    <w:rsid w:val="F3FEF4FE"/>
    <w:rsid w:val="F46DC9F9"/>
    <w:rsid w:val="F49B07CE"/>
    <w:rsid w:val="F4B95111"/>
    <w:rsid w:val="F4CA5E92"/>
    <w:rsid w:val="F4ED4C53"/>
    <w:rsid w:val="F4FDB1E4"/>
    <w:rsid w:val="F53DFE23"/>
    <w:rsid w:val="F552A8DB"/>
    <w:rsid w:val="F56B5BAD"/>
    <w:rsid w:val="F5729ABB"/>
    <w:rsid w:val="F57EA537"/>
    <w:rsid w:val="F57F4DA8"/>
    <w:rsid w:val="F58FFD66"/>
    <w:rsid w:val="F5B9D0C9"/>
    <w:rsid w:val="F5BDD1EE"/>
    <w:rsid w:val="F5CF8F43"/>
    <w:rsid w:val="F5E7485D"/>
    <w:rsid w:val="F5E78F19"/>
    <w:rsid w:val="F5EA8D2E"/>
    <w:rsid w:val="F5EBBEC7"/>
    <w:rsid w:val="F5F58577"/>
    <w:rsid w:val="F5F7717B"/>
    <w:rsid w:val="F5F7CC98"/>
    <w:rsid w:val="F5F908CE"/>
    <w:rsid w:val="F5F91F09"/>
    <w:rsid w:val="F5FE5C2F"/>
    <w:rsid w:val="F5FFBB49"/>
    <w:rsid w:val="F62D44B6"/>
    <w:rsid w:val="F6BF00C6"/>
    <w:rsid w:val="F6BF9213"/>
    <w:rsid w:val="F6F5656B"/>
    <w:rsid w:val="F6FA9E45"/>
    <w:rsid w:val="F6FB0B5E"/>
    <w:rsid w:val="F6FBD95B"/>
    <w:rsid w:val="F6FD14F3"/>
    <w:rsid w:val="F6FF5BCE"/>
    <w:rsid w:val="F6FFD7B4"/>
    <w:rsid w:val="F71E64CF"/>
    <w:rsid w:val="F73D9369"/>
    <w:rsid w:val="F73FC669"/>
    <w:rsid w:val="F75620E8"/>
    <w:rsid w:val="F756DDF9"/>
    <w:rsid w:val="F75C7C86"/>
    <w:rsid w:val="F76E9065"/>
    <w:rsid w:val="F7751416"/>
    <w:rsid w:val="F77570B5"/>
    <w:rsid w:val="F7767906"/>
    <w:rsid w:val="F7792F0B"/>
    <w:rsid w:val="F77D7CB4"/>
    <w:rsid w:val="F787B41F"/>
    <w:rsid w:val="F78FE489"/>
    <w:rsid w:val="F79B70F7"/>
    <w:rsid w:val="F79F3EE3"/>
    <w:rsid w:val="F7A756C3"/>
    <w:rsid w:val="F7A7BE7D"/>
    <w:rsid w:val="F7B3D3A1"/>
    <w:rsid w:val="F7B63B30"/>
    <w:rsid w:val="F7B77A11"/>
    <w:rsid w:val="F7BBDB1B"/>
    <w:rsid w:val="F7BBF1CE"/>
    <w:rsid w:val="F7BD39CA"/>
    <w:rsid w:val="F7BD85E5"/>
    <w:rsid w:val="F7BDB8BA"/>
    <w:rsid w:val="F7BDD0B4"/>
    <w:rsid w:val="F7BDEEFB"/>
    <w:rsid w:val="F7BEC53E"/>
    <w:rsid w:val="F7CB21F0"/>
    <w:rsid w:val="F7CFDD56"/>
    <w:rsid w:val="F7D58A60"/>
    <w:rsid w:val="F7D72319"/>
    <w:rsid w:val="F7D9F7D4"/>
    <w:rsid w:val="F7E302BA"/>
    <w:rsid w:val="F7E7E296"/>
    <w:rsid w:val="F7E9353E"/>
    <w:rsid w:val="F7ED4F59"/>
    <w:rsid w:val="F7ED7240"/>
    <w:rsid w:val="F7EDFDE8"/>
    <w:rsid w:val="F7EF7726"/>
    <w:rsid w:val="F7F32E55"/>
    <w:rsid w:val="F7F6422D"/>
    <w:rsid w:val="F7F696AC"/>
    <w:rsid w:val="F7F7DA2F"/>
    <w:rsid w:val="F7F9A69B"/>
    <w:rsid w:val="F7FA51F0"/>
    <w:rsid w:val="F7FB2A75"/>
    <w:rsid w:val="F7FCA273"/>
    <w:rsid w:val="F7FE4367"/>
    <w:rsid w:val="F7FEBB66"/>
    <w:rsid w:val="F7FED789"/>
    <w:rsid w:val="F7FF14E5"/>
    <w:rsid w:val="F7FF335C"/>
    <w:rsid w:val="F7FF49A9"/>
    <w:rsid w:val="F7FF595B"/>
    <w:rsid w:val="F7FF5CC8"/>
    <w:rsid w:val="F7FF9055"/>
    <w:rsid w:val="F7FFA505"/>
    <w:rsid w:val="F7FFB3FC"/>
    <w:rsid w:val="F7FFEAAB"/>
    <w:rsid w:val="F7FFFCF3"/>
    <w:rsid w:val="F83DD696"/>
    <w:rsid w:val="F86F379F"/>
    <w:rsid w:val="F8BB4BE7"/>
    <w:rsid w:val="F8BB73F4"/>
    <w:rsid w:val="F8DB69EF"/>
    <w:rsid w:val="F8EA648A"/>
    <w:rsid w:val="F8F4F377"/>
    <w:rsid w:val="F8FC4D81"/>
    <w:rsid w:val="F91F16CA"/>
    <w:rsid w:val="F93F3157"/>
    <w:rsid w:val="F93F5FE1"/>
    <w:rsid w:val="F95B1791"/>
    <w:rsid w:val="F967DB1B"/>
    <w:rsid w:val="F96FBE30"/>
    <w:rsid w:val="F9761257"/>
    <w:rsid w:val="F9AF55C0"/>
    <w:rsid w:val="F9BF6C9A"/>
    <w:rsid w:val="F9D3BAC4"/>
    <w:rsid w:val="F9DB20CF"/>
    <w:rsid w:val="F9DB80A2"/>
    <w:rsid w:val="F9DE2760"/>
    <w:rsid w:val="F9ED89BC"/>
    <w:rsid w:val="F9F7BAA1"/>
    <w:rsid w:val="F9FB7534"/>
    <w:rsid w:val="F9FE25F2"/>
    <w:rsid w:val="F9FE8762"/>
    <w:rsid w:val="F9FEC024"/>
    <w:rsid w:val="FA3715A0"/>
    <w:rsid w:val="FA3F6127"/>
    <w:rsid w:val="FA5FCBC5"/>
    <w:rsid w:val="FA779222"/>
    <w:rsid w:val="FA7AB7E2"/>
    <w:rsid w:val="FA7D18E6"/>
    <w:rsid w:val="FA955718"/>
    <w:rsid w:val="FAAEE65C"/>
    <w:rsid w:val="FABA7E0F"/>
    <w:rsid w:val="FABDF389"/>
    <w:rsid w:val="FABF0233"/>
    <w:rsid w:val="FACF824A"/>
    <w:rsid w:val="FADCE38E"/>
    <w:rsid w:val="FADEF03B"/>
    <w:rsid w:val="FADF9EA9"/>
    <w:rsid w:val="FADFFE00"/>
    <w:rsid w:val="FAE308C9"/>
    <w:rsid w:val="FAE722EF"/>
    <w:rsid w:val="FAEDF014"/>
    <w:rsid w:val="FAF75CFA"/>
    <w:rsid w:val="FAF7D8F9"/>
    <w:rsid w:val="FAFB1238"/>
    <w:rsid w:val="FAFE9304"/>
    <w:rsid w:val="FB385D7E"/>
    <w:rsid w:val="FB5765E5"/>
    <w:rsid w:val="FB5DC626"/>
    <w:rsid w:val="FB5EB4DA"/>
    <w:rsid w:val="FB5F08F2"/>
    <w:rsid w:val="FB6AC0DD"/>
    <w:rsid w:val="FB6DA20C"/>
    <w:rsid w:val="FB7B0B56"/>
    <w:rsid w:val="FB7F0A36"/>
    <w:rsid w:val="FB7FAE68"/>
    <w:rsid w:val="FB8D8B02"/>
    <w:rsid w:val="FB8F8AD2"/>
    <w:rsid w:val="FB9D1143"/>
    <w:rsid w:val="FBB70287"/>
    <w:rsid w:val="FBB7B68C"/>
    <w:rsid w:val="FBBB2238"/>
    <w:rsid w:val="FBBE0EEE"/>
    <w:rsid w:val="FBBEF27B"/>
    <w:rsid w:val="FBBF5514"/>
    <w:rsid w:val="FBC757C9"/>
    <w:rsid w:val="FBDD42D1"/>
    <w:rsid w:val="FBDF49D3"/>
    <w:rsid w:val="FBDFD357"/>
    <w:rsid w:val="FBE11135"/>
    <w:rsid w:val="FBE3A12F"/>
    <w:rsid w:val="FBEFB199"/>
    <w:rsid w:val="FBF3BDE0"/>
    <w:rsid w:val="FBF50FF5"/>
    <w:rsid w:val="FBF7E826"/>
    <w:rsid w:val="FBFB35C6"/>
    <w:rsid w:val="FBFB84EF"/>
    <w:rsid w:val="FBFBF83A"/>
    <w:rsid w:val="FBFD7869"/>
    <w:rsid w:val="FBFD8001"/>
    <w:rsid w:val="FBFF254B"/>
    <w:rsid w:val="FBFF5961"/>
    <w:rsid w:val="FBFF6711"/>
    <w:rsid w:val="FBFF696C"/>
    <w:rsid w:val="FBFF8BDA"/>
    <w:rsid w:val="FBFFB01F"/>
    <w:rsid w:val="FBFFFB25"/>
    <w:rsid w:val="FC5FD9DF"/>
    <w:rsid w:val="FC7F12AA"/>
    <w:rsid w:val="FC99B40C"/>
    <w:rsid w:val="FC9C2D2D"/>
    <w:rsid w:val="FC9FADAD"/>
    <w:rsid w:val="FCAB3C23"/>
    <w:rsid w:val="FCCFA48E"/>
    <w:rsid w:val="FCDC0783"/>
    <w:rsid w:val="FCDF5CCC"/>
    <w:rsid w:val="FCDF7C9D"/>
    <w:rsid w:val="FCF7386F"/>
    <w:rsid w:val="FCFF8C19"/>
    <w:rsid w:val="FD1F5F13"/>
    <w:rsid w:val="FD291650"/>
    <w:rsid w:val="FD2FA174"/>
    <w:rsid w:val="FD4F6754"/>
    <w:rsid w:val="FD4FBB59"/>
    <w:rsid w:val="FD56352A"/>
    <w:rsid w:val="FD5800B2"/>
    <w:rsid w:val="FD5B514F"/>
    <w:rsid w:val="FD5C5889"/>
    <w:rsid w:val="FD649A75"/>
    <w:rsid w:val="FD6D5E4D"/>
    <w:rsid w:val="FD6F0E90"/>
    <w:rsid w:val="FD764F83"/>
    <w:rsid w:val="FD77F59F"/>
    <w:rsid w:val="FD7A7957"/>
    <w:rsid w:val="FDA1EBF2"/>
    <w:rsid w:val="FDA67A5E"/>
    <w:rsid w:val="FDABF4A9"/>
    <w:rsid w:val="FDB4D365"/>
    <w:rsid w:val="FDBD8229"/>
    <w:rsid w:val="FDBF45EC"/>
    <w:rsid w:val="FDBFA128"/>
    <w:rsid w:val="FDDE8FE3"/>
    <w:rsid w:val="FDDFB44A"/>
    <w:rsid w:val="FDE41E23"/>
    <w:rsid w:val="FDF16CC7"/>
    <w:rsid w:val="FDF3BDC8"/>
    <w:rsid w:val="FDF7611F"/>
    <w:rsid w:val="FDF7CEDC"/>
    <w:rsid w:val="FDFA4044"/>
    <w:rsid w:val="FDFB1A6C"/>
    <w:rsid w:val="FDFB42D9"/>
    <w:rsid w:val="FDFC23C8"/>
    <w:rsid w:val="FDFE18F3"/>
    <w:rsid w:val="FDFE2CEC"/>
    <w:rsid w:val="FDFF1B50"/>
    <w:rsid w:val="FDFF28C5"/>
    <w:rsid w:val="FDFF2A2B"/>
    <w:rsid w:val="FDFF3652"/>
    <w:rsid w:val="FDFF44B8"/>
    <w:rsid w:val="FDFFA06A"/>
    <w:rsid w:val="FDFFC0D3"/>
    <w:rsid w:val="FE1DC94D"/>
    <w:rsid w:val="FE1E0770"/>
    <w:rsid w:val="FE3DA7DA"/>
    <w:rsid w:val="FE3FEC7B"/>
    <w:rsid w:val="FE51E2EF"/>
    <w:rsid w:val="FE59B8FC"/>
    <w:rsid w:val="FE5F61A1"/>
    <w:rsid w:val="FE5F66F2"/>
    <w:rsid w:val="FE6E154A"/>
    <w:rsid w:val="FE6EC4CD"/>
    <w:rsid w:val="FE77DA61"/>
    <w:rsid w:val="FE7A5758"/>
    <w:rsid w:val="FE7FD523"/>
    <w:rsid w:val="FE8358B1"/>
    <w:rsid w:val="FE8BA7E3"/>
    <w:rsid w:val="FE990698"/>
    <w:rsid w:val="FE9EA054"/>
    <w:rsid w:val="FEADE161"/>
    <w:rsid w:val="FEAF1912"/>
    <w:rsid w:val="FEAF6FD6"/>
    <w:rsid w:val="FEAFA5FE"/>
    <w:rsid w:val="FEBFBEB7"/>
    <w:rsid w:val="FEC8C709"/>
    <w:rsid w:val="FED20F90"/>
    <w:rsid w:val="FED6F92A"/>
    <w:rsid w:val="FEDB3A71"/>
    <w:rsid w:val="FEDB726C"/>
    <w:rsid w:val="FEDF3DAD"/>
    <w:rsid w:val="FEE79552"/>
    <w:rsid w:val="FEE9811E"/>
    <w:rsid w:val="FEED548F"/>
    <w:rsid w:val="FEEEE258"/>
    <w:rsid w:val="FEEF1E6E"/>
    <w:rsid w:val="FEEF70A3"/>
    <w:rsid w:val="FEF36EFC"/>
    <w:rsid w:val="FEF457EA"/>
    <w:rsid w:val="FEF69743"/>
    <w:rsid w:val="FEF6CEFE"/>
    <w:rsid w:val="FEF77092"/>
    <w:rsid w:val="FEFA9585"/>
    <w:rsid w:val="FEFAA22C"/>
    <w:rsid w:val="FEFB2EB6"/>
    <w:rsid w:val="FEFBF5D5"/>
    <w:rsid w:val="FEFC242C"/>
    <w:rsid w:val="FEFD9E63"/>
    <w:rsid w:val="FEFDD817"/>
    <w:rsid w:val="FEFDE39E"/>
    <w:rsid w:val="FEFF3F8E"/>
    <w:rsid w:val="FEFF60B4"/>
    <w:rsid w:val="FEFF70A4"/>
    <w:rsid w:val="FEFF7496"/>
    <w:rsid w:val="FEFF7F8E"/>
    <w:rsid w:val="FEFFA731"/>
    <w:rsid w:val="FF0ED5EE"/>
    <w:rsid w:val="FF0F806E"/>
    <w:rsid w:val="FF199EED"/>
    <w:rsid w:val="FF1CC9B9"/>
    <w:rsid w:val="FF1D69F2"/>
    <w:rsid w:val="FF2F0176"/>
    <w:rsid w:val="FF3689F8"/>
    <w:rsid w:val="FF3A9D83"/>
    <w:rsid w:val="FF3F446D"/>
    <w:rsid w:val="FF4D0274"/>
    <w:rsid w:val="FF4FC386"/>
    <w:rsid w:val="FF577AD4"/>
    <w:rsid w:val="FF57BEB7"/>
    <w:rsid w:val="FF57BF75"/>
    <w:rsid w:val="FF5B3711"/>
    <w:rsid w:val="FF5D14AB"/>
    <w:rsid w:val="FF5D1C8A"/>
    <w:rsid w:val="FF5FC543"/>
    <w:rsid w:val="FF5FE587"/>
    <w:rsid w:val="FF67ABAB"/>
    <w:rsid w:val="FF7180DC"/>
    <w:rsid w:val="FF72221A"/>
    <w:rsid w:val="FF7342C8"/>
    <w:rsid w:val="FF74F6A5"/>
    <w:rsid w:val="FF761D2B"/>
    <w:rsid w:val="FF764CB7"/>
    <w:rsid w:val="FF776094"/>
    <w:rsid w:val="FF776516"/>
    <w:rsid w:val="FF78B65F"/>
    <w:rsid w:val="FF7B3D97"/>
    <w:rsid w:val="FF7C54D9"/>
    <w:rsid w:val="FF7CDF6E"/>
    <w:rsid w:val="FF7D304A"/>
    <w:rsid w:val="FF7F32B3"/>
    <w:rsid w:val="FF7F32DD"/>
    <w:rsid w:val="FF7F3B0E"/>
    <w:rsid w:val="FF7F6CD1"/>
    <w:rsid w:val="FF7F8710"/>
    <w:rsid w:val="FF7FB9E0"/>
    <w:rsid w:val="FF7FCF8A"/>
    <w:rsid w:val="FF7FDA42"/>
    <w:rsid w:val="FF7FDC9D"/>
    <w:rsid w:val="FF7FE124"/>
    <w:rsid w:val="FF7FE4B1"/>
    <w:rsid w:val="FF7FFA15"/>
    <w:rsid w:val="FF854BC5"/>
    <w:rsid w:val="FF8B1D84"/>
    <w:rsid w:val="FF8F549B"/>
    <w:rsid w:val="FF915A06"/>
    <w:rsid w:val="FF9324D4"/>
    <w:rsid w:val="FF952D36"/>
    <w:rsid w:val="FF9F4B0B"/>
    <w:rsid w:val="FF9F5B82"/>
    <w:rsid w:val="FF9FC2BD"/>
    <w:rsid w:val="FF9FF46A"/>
    <w:rsid w:val="FFA89176"/>
    <w:rsid w:val="FFAB6C8F"/>
    <w:rsid w:val="FFAB7F1C"/>
    <w:rsid w:val="FFAEDC16"/>
    <w:rsid w:val="FFB30407"/>
    <w:rsid w:val="FFB3B41D"/>
    <w:rsid w:val="FFB5F89A"/>
    <w:rsid w:val="FFB67D11"/>
    <w:rsid w:val="FFB72880"/>
    <w:rsid w:val="FFB73C73"/>
    <w:rsid w:val="FFB9B593"/>
    <w:rsid w:val="FFBAA0CE"/>
    <w:rsid w:val="FFBBCF49"/>
    <w:rsid w:val="FFBBED3D"/>
    <w:rsid w:val="FFBCC6DB"/>
    <w:rsid w:val="FFBD8221"/>
    <w:rsid w:val="FFBDA37E"/>
    <w:rsid w:val="FFBE4E14"/>
    <w:rsid w:val="FFBF6300"/>
    <w:rsid w:val="FFBF7266"/>
    <w:rsid w:val="FFBFA4D6"/>
    <w:rsid w:val="FFBFE677"/>
    <w:rsid w:val="FFCE18E5"/>
    <w:rsid w:val="FFCEA80B"/>
    <w:rsid w:val="FFCFE1C9"/>
    <w:rsid w:val="FFCFE9D8"/>
    <w:rsid w:val="FFD714EB"/>
    <w:rsid w:val="FFD784F8"/>
    <w:rsid w:val="FFD7EDC2"/>
    <w:rsid w:val="FFDAEFEA"/>
    <w:rsid w:val="FFDB7CFD"/>
    <w:rsid w:val="FFDBC913"/>
    <w:rsid w:val="FFDBD06B"/>
    <w:rsid w:val="FFDD0FCC"/>
    <w:rsid w:val="FFDE868D"/>
    <w:rsid w:val="FFDEBB95"/>
    <w:rsid w:val="FFDF23E8"/>
    <w:rsid w:val="FFDF307B"/>
    <w:rsid w:val="FFDF5FF6"/>
    <w:rsid w:val="FFDFB76F"/>
    <w:rsid w:val="FFDFBB40"/>
    <w:rsid w:val="FFDFBB43"/>
    <w:rsid w:val="FFDFF75E"/>
    <w:rsid w:val="FFE07991"/>
    <w:rsid w:val="FFE3C880"/>
    <w:rsid w:val="FFE50DCE"/>
    <w:rsid w:val="FFE6BE30"/>
    <w:rsid w:val="FFE787C4"/>
    <w:rsid w:val="FFE78811"/>
    <w:rsid w:val="FFEB704F"/>
    <w:rsid w:val="FFECAF26"/>
    <w:rsid w:val="FFED5E70"/>
    <w:rsid w:val="FFEDD336"/>
    <w:rsid w:val="FFEDD7C6"/>
    <w:rsid w:val="FFEE288D"/>
    <w:rsid w:val="FFEE9EF3"/>
    <w:rsid w:val="FFEF91AF"/>
    <w:rsid w:val="FFEFC1C4"/>
    <w:rsid w:val="FFEFE133"/>
    <w:rsid w:val="FFF17281"/>
    <w:rsid w:val="FFF38FB5"/>
    <w:rsid w:val="FFF518E3"/>
    <w:rsid w:val="FFF539C8"/>
    <w:rsid w:val="FFF5E6CB"/>
    <w:rsid w:val="FFF6E2A3"/>
    <w:rsid w:val="FFF7028F"/>
    <w:rsid w:val="FFF71E18"/>
    <w:rsid w:val="FFF74287"/>
    <w:rsid w:val="FFF7A893"/>
    <w:rsid w:val="FFF7AFB5"/>
    <w:rsid w:val="FFF7B4E9"/>
    <w:rsid w:val="FFF7B7CB"/>
    <w:rsid w:val="FFF7C5CF"/>
    <w:rsid w:val="FFF7E317"/>
    <w:rsid w:val="FFF7F70D"/>
    <w:rsid w:val="FFF835BC"/>
    <w:rsid w:val="FFF9A206"/>
    <w:rsid w:val="FFF9B2D6"/>
    <w:rsid w:val="FFF9EC50"/>
    <w:rsid w:val="FFFA217D"/>
    <w:rsid w:val="FFFB013C"/>
    <w:rsid w:val="FFFB2860"/>
    <w:rsid w:val="FFFB4851"/>
    <w:rsid w:val="FFFB48C9"/>
    <w:rsid w:val="FFFBB370"/>
    <w:rsid w:val="FFFC1AAA"/>
    <w:rsid w:val="FFFC381E"/>
    <w:rsid w:val="FFFC6607"/>
    <w:rsid w:val="FFFCC141"/>
    <w:rsid w:val="FFFD1C7D"/>
    <w:rsid w:val="FFFD7C05"/>
    <w:rsid w:val="FFFDDEAA"/>
    <w:rsid w:val="FFFE07AA"/>
    <w:rsid w:val="FFFE1151"/>
    <w:rsid w:val="FFFE9DAC"/>
    <w:rsid w:val="FFFEE6C3"/>
    <w:rsid w:val="FFFEFA9C"/>
    <w:rsid w:val="FFFEFB27"/>
    <w:rsid w:val="FFFF1710"/>
    <w:rsid w:val="FFFF24A9"/>
    <w:rsid w:val="FFFF478E"/>
    <w:rsid w:val="FFFF5E65"/>
    <w:rsid w:val="FFFF601D"/>
    <w:rsid w:val="FFFF63CB"/>
    <w:rsid w:val="FFFF8032"/>
    <w:rsid w:val="FFFF8B0A"/>
    <w:rsid w:val="FFFF9FCE"/>
    <w:rsid w:val="FFFFA4D8"/>
    <w:rsid w:val="FFFFB5C8"/>
    <w:rsid w:val="FFFFC9AE"/>
    <w:rsid w:val="FFFFCA51"/>
    <w:rsid w:val="FFFFE3A9"/>
    <w:rsid w:val="FFFFEC7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96"/>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1"/>
    <w:qFormat/>
    <w:uiPriority w:val="0"/>
    <w:pPr>
      <w:keepNext/>
      <w:keepLines/>
      <w:jc w:val="center"/>
      <w:outlineLvl w:val="0"/>
    </w:pPr>
    <w:rPr>
      <w:rFonts w:eastAsia="方正小标宋简体"/>
      <w:b/>
      <w:bCs/>
      <w:kern w:val="44"/>
      <w:sz w:val="36"/>
      <w:szCs w:val="44"/>
    </w:rPr>
  </w:style>
  <w:style w:type="paragraph" w:styleId="3">
    <w:name w:val="heading 2"/>
    <w:basedOn w:val="1"/>
    <w:next w:val="1"/>
    <w:link w:val="32"/>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4">
    <w:name w:val="heading 9"/>
    <w:basedOn w:val="1"/>
    <w:next w:val="1"/>
    <w:link w:val="34"/>
    <w:qFormat/>
    <w:uiPriority w:val="0"/>
    <w:pPr>
      <w:keepNext/>
      <w:keepLines/>
      <w:spacing w:before="240" w:after="64" w:line="320" w:lineRule="auto"/>
      <w:outlineLvl w:val="8"/>
    </w:pPr>
    <w:rPr>
      <w:rFonts w:ascii="Calibri Light" w:hAnsi="Calibri Light"/>
      <w:szCs w:val="21"/>
    </w:rPr>
  </w:style>
  <w:style w:type="character" w:default="1" w:styleId="24">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spacing w:line="240" w:lineRule="atLeast"/>
      <w:ind w:firstLine="420" w:firstLineChars="200"/>
    </w:pPr>
    <w:rPr>
      <w:rFonts w:eastAsia="仿宋_GB2312"/>
      <w:spacing w:val="-6"/>
      <w:sz w:val="32"/>
      <w:szCs w:val="20"/>
    </w:rPr>
  </w:style>
  <w:style w:type="paragraph" w:styleId="6">
    <w:name w:val="Document Map"/>
    <w:basedOn w:val="1"/>
    <w:link w:val="58"/>
    <w:qFormat/>
    <w:uiPriority w:val="0"/>
    <w:pPr>
      <w:shd w:val="clear" w:color="auto" w:fill="000080"/>
    </w:pPr>
  </w:style>
  <w:style w:type="paragraph" w:styleId="7">
    <w:name w:val="annotation text"/>
    <w:basedOn w:val="1"/>
    <w:link w:val="33"/>
    <w:qFormat/>
    <w:uiPriority w:val="0"/>
    <w:pPr>
      <w:jc w:val="left"/>
    </w:pPr>
  </w:style>
  <w:style w:type="paragraph" w:styleId="8">
    <w:name w:val="Body Text"/>
    <w:basedOn w:val="1"/>
    <w:next w:val="9"/>
    <w:qFormat/>
    <w:uiPriority w:val="0"/>
    <w:rPr>
      <w:rFonts w:ascii="仿宋_GB2312" w:eastAsia="仿宋_GB2312"/>
      <w:sz w:val="30"/>
      <w:szCs w:val="20"/>
    </w:rPr>
  </w:style>
  <w:style w:type="paragraph" w:customStyle="1" w:styleId="9">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10">
    <w:name w:val="Body Text Indent"/>
    <w:basedOn w:val="1"/>
    <w:unhideWhenUsed/>
    <w:qFormat/>
    <w:uiPriority w:val="99"/>
    <w:pPr>
      <w:spacing w:after="120"/>
      <w:ind w:left="420" w:leftChars="200"/>
    </w:pPr>
  </w:style>
  <w:style w:type="paragraph" w:styleId="11">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2">
    <w:name w:val="Plain Text"/>
    <w:basedOn w:val="1"/>
    <w:qFormat/>
    <w:uiPriority w:val="0"/>
    <w:rPr>
      <w:rFonts w:ascii="宋体" w:hAnsi="Courier New" w:cs="Courier New"/>
      <w:szCs w:val="21"/>
    </w:rPr>
  </w:style>
  <w:style w:type="paragraph" w:styleId="13">
    <w:name w:val="Date"/>
    <w:basedOn w:val="1"/>
    <w:next w:val="1"/>
    <w:qFormat/>
    <w:uiPriority w:val="0"/>
    <w:rPr>
      <w:rFonts w:ascii="黑体" w:eastAsia="仿宋_GB2312"/>
      <w:sz w:val="32"/>
      <w:szCs w:val="20"/>
    </w:rPr>
  </w:style>
  <w:style w:type="paragraph" w:styleId="14">
    <w:name w:val="Balloon Text"/>
    <w:basedOn w:val="1"/>
    <w:link w:val="59"/>
    <w:qFormat/>
    <w:uiPriority w:val="0"/>
    <w:rPr>
      <w:sz w:val="18"/>
      <w:szCs w:val="18"/>
    </w:rPr>
  </w:style>
  <w:style w:type="paragraph" w:styleId="15">
    <w:name w:val="footer"/>
    <w:basedOn w:val="1"/>
    <w:link w:val="30"/>
    <w:qFormat/>
    <w:uiPriority w:val="0"/>
    <w:pPr>
      <w:tabs>
        <w:tab w:val="center" w:pos="4153"/>
        <w:tab w:val="right" w:pos="8306"/>
      </w:tabs>
      <w:snapToGrid w:val="0"/>
      <w:jc w:val="left"/>
    </w:pPr>
    <w:rPr>
      <w:sz w:val="18"/>
      <w:szCs w:val="18"/>
    </w:rPr>
  </w:style>
  <w:style w:type="paragraph" w:styleId="16">
    <w:name w:val="header"/>
    <w:basedOn w:val="1"/>
    <w:link w:val="56"/>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widowControl/>
      <w:spacing w:after="100" w:line="259" w:lineRule="auto"/>
      <w:jc w:val="left"/>
    </w:pPr>
    <w:rPr>
      <w:rFonts w:ascii="Calibri" w:hAnsi="Calibri"/>
      <w:kern w:val="0"/>
      <w:sz w:val="22"/>
      <w:szCs w:val="22"/>
    </w:rPr>
  </w:style>
  <w:style w:type="paragraph" w:styleId="18">
    <w:name w:val="Body Text Indent 3"/>
    <w:basedOn w:val="1"/>
    <w:qFormat/>
    <w:uiPriority w:val="0"/>
    <w:pPr>
      <w:spacing w:after="120"/>
      <w:ind w:left="420" w:leftChars="200"/>
    </w:pPr>
    <w:rPr>
      <w:sz w:val="16"/>
      <w:szCs w:val="16"/>
    </w:rPr>
  </w:style>
  <w:style w:type="paragraph" w:styleId="19">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0">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paragraph" w:styleId="21">
    <w:name w:val="annotation subject"/>
    <w:basedOn w:val="7"/>
    <w:next w:val="7"/>
    <w:link w:val="40"/>
    <w:qFormat/>
    <w:uiPriority w:val="0"/>
    <w:rPr>
      <w:b/>
      <w:bCs/>
    </w:rPr>
  </w:style>
  <w:style w:type="paragraph" w:styleId="22">
    <w:name w:val="Body Text First Indent 2"/>
    <w:basedOn w:val="10"/>
    <w:unhideWhenUsed/>
    <w:qFormat/>
    <w:uiPriority w:val="99"/>
    <w:pPr>
      <w:ind w:firstLine="420" w:firstLineChars="200"/>
    </w:pPr>
  </w:style>
  <w:style w:type="character" w:styleId="25">
    <w:name w:val="page number"/>
    <w:qFormat/>
    <w:uiPriority w:val="0"/>
    <w:rPr>
      <w:rFonts w:ascii="Times New Roman" w:hAnsi="Times New Roman" w:eastAsia="宋体" w:cs="Times New Roman"/>
    </w:rPr>
  </w:style>
  <w:style w:type="character" w:styleId="26">
    <w:name w:val="FollowedHyperlink"/>
    <w:qFormat/>
    <w:uiPriority w:val="0"/>
    <w:rPr>
      <w:rFonts w:ascii="Times New Roman" w:hAnsi="Times New Roman" w:eastAsia="宋体" w:cs="Times New Roman"/>
      <w:color w:val="954F72"/>
      <w:u w:val="single"/>
    </w:rPr>
  </w:style>
  <w:style w:type="character" w:styleId="27">
    <w:name w:val="Emphasis"/>
    <w:qFormat/>
    <w:uiPriority w:val="0"/>
    <w:rPr>
      <w:rFonts w:ascii="Times New Roman" w:hAnsi="Times New Roman" w:eastAsia="宋体" w:cs="Times New Roman"/>
      <w:i/>
      <w:iCs/>
    </w:rPr>
  </w:style>
  <w:style w:type="character" w:styleId="28">
    <w:name w:val="Hyperlink"/>
    <w:qFormat/>
    <w:uiPriority w:val="99"/>
    <w:rPr>
      <w:rFonts w:ascii="Times New Roman" w:hAnsi="Times New Roman" w:eastAsia="宋体" w:cs="Times New Roman"/>
      <w:color w:val="0563C1"/>
      <w:u w:val="single"/>
    </w:rPr>
  </w:style>
  <w:style w:type="character" w:styleId="29">
    <w:name w:val="annotation reference"/>
    <w:qFormat/>
    <w:uiPriority w:val="0"/>
    <w:rPr>
      <w:sz w:val="21"/>
    </w:rPr>
  </w:style>
  <w:style w:type="character" w:customStyle="1" w:styleId="30">
    <w:name w:val="页脚 字符"/>
    <w:link w:val="15"/>
    <w:qFormat/>
    <w:uiPriority w:val="0"/>
    <w:rPr>
      <w:rFonts w:ascii="Times New Roman" w:hAnsi="Times New Roman" w:eastAsia="宋体" w:cs="Times New Roman"/>
      <w:kern w:val="2"/>
      <w:sz w:val="18"/>
      <w:szCs w:val="18"/>
      <w:lang w:val="en-US" w:eastAsia="zh-CN" w:bidi="ar-SA"/>
    </w:rPr>
  </w:style>
  <w:style w:type="character" w:customStyle="1" w:styleId="31">
    <w:name w:val="标题 1 字符"/>
    <w:link w:val="2"/>
    <w:qFormat/>
    <w:uiPriority w:val="0"/>
    <w:rPr>
      <w:rFonts w:ascii="Times New Roman" w:hAnsi="Times New Roman" w:eastAsia="方正小标宋简体" w:cs="Times New Roman"/>
      <w:b/>
      <w:bCs/>
      <w:kern w:val="44"/>
      <w:sz w:val="36"/>
      <w:szCs w:val="44"/>
    </w:rPr>
  </w:style>
  <w:style w:type="character" w:customStyle="1" w:styleId="32">
    <w:name w:val="标题 2 字符"/>
    <w:link w:val="3"/>
    <w:qFormat/>
    <w:uiPriority w:val="0"/>
    <w:rPr>
      <w:rFonts w:ascii="宋体" w:hAnsi="宋体" w:eastAsia="宋体" w:cs="宋体"/>
      <w:b/>
      <w:bCs/>
      <w:sz w:val="30"/>
      <w:szCs w:val="36"/>
    </w:rPr>
  </w:style>
  <w:style w:type="character" w:customStyle="1" w:styleId="33">
    <w:name w:val="批注文字 字符"/>
    <w:link w:val="7"/>
    <w:qFormat/>
    <w:uiPriority w:val="0"/>
    <w:rPr>
      <w:rFonts w:ascii="Times New Roman" w:hAnsi="Times New Roman" w:eastAsia="宋体" w:cs="Times New Roman"/>
      <w:kern w:val="2"/>
      <w:sz w:val="21"/>
      <w:szCs w:val="24"/>
      <w:lang w:val="en-US" w:eastAsia="zh-CN" w:bidi="ar-SA"/>
    </w:rPr>
  </w:style>
  <w:style w:type="character" w:customStyle="1" w:styleId="34">
    <w:name w:val="标题 9 字符"/>
    <w:link w:val="4"/>
    <w:qFormat/>
    <w:uiPriority w:val="0"/>
    <w:rPr>
      <w:rFonts w:ascii="Calibri Light" w:hAnsi="Calibri Light" w:eastAsia="宋体" w:cs="Times New Roman"/>
      <w:kern w:val="2"/>
      <w:sz w:val="21"/>
      <w:szCs w:val="21"/>
    </w:rPr>
  </w:style>
  <w:style w:type="paragraph" w:customStyle="1" w:styleId="35">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6">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默认段落字体 Para Char Char Char Char Char Char Char"/>
    <w:basedOn w:val="6"/>
    <w:qFormat/>
    <w:uiPriority w:val="0"/>
    <w:pPr>
      <w:adjustRightInd w:val="0"/>
      <w:spacing w:line="436" w:lineRule="exact"/>
      <w:ind w:left="357"/>
      <w:jc w:val="left"/>
      <w:outlineLvl w:val="3"/>
    </w:pPr>
    <w:rPr>
      <w:rFonts w:ascii="Tahoma" w:hAnsi="Tahoma"/>
      <w:b/>
      <w:sz w:val="24"/>
    </w:rPr>
  </w:style>
  <w:style w:type="character" w:customStyle="1" w:styleId="38">
    <w:name w:val="p121"/>
    <w:qFormat/>
    <w:uiPriority w:val="0"/>
    <w:rPr>
      <w:rFonts w:hint="default" w:eastAsia="宋体" w:cs="Times New Roman"/>
      <w:sz w:val="24"/>
      <w:szCs w:val="24"/>
    </w:rPr>
  </w:style>
  <w:style w:type="paragraph" w:customStyle="1" w:styleId="39">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40">
    <w:name w:val="批注主题 字符"/>
    <w:link w:val="21"/>
    <w:qFormat/>
    <w:uiPriority w:val="0"/>
    <w:rPr>
      <w:rFonts w:ascii="Times New Roman" w:hAnsi="Times New Roman" w:eastAsia="宋体" w:cs="Times New Roman"/>
      <w:b/>
      <w:bCs/>
      <w:kern w:val="2"/>
      <w:sz w:val="21"/>
      <w:szCs w:val="24"/>
      <w:lang w:val="en-US" w:eastAsia="zh-CN" w:bidi="ar-SA"/>
    </w:rPr>
  </w:style>
  <w:style w:type="paragraph" w:customStyle="1" w:styleId="41">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Char1 Char Char Char"/>
    <w:basedOn w:val="1"/>
    <w:qFormat/>
    <w:uiPriority w:val="0"/>
    <w:rPr>
      <w:rFonts w:ascii="Tahoma" w:hAnsi="Tahoma"/>
      <w:sz w:val="24"/>
      <w:szCs w:val="20"/>
    </w:rPr>
  </w:style>
  <w:style w:type="paragraph" w:customStyle="1" w:styleId="43">
    <w:name w:val="Char1 Char Char Char1"/>
    <w:basedOn w:val="1"/>
    <w:qFormat/>
    <w:uiPriority w:val="0"/>
    <w:rPr>
      <w:rFonts w:ascii="Tahoma" w:hAnsi="Tahoma"/>
      <w:sz w:val="24"/>
      <w:szCs w:val="20"/>
    </w:rPr>
  </w:style>
  <w:style w:type="paragraph" w:customStyle="1" w:styleId="44">
    <w:name w:val="Char1"/>
    <w:basedOn w:val="1"/>
    <w:qFormat/>
    <w:uiPriority w:val="0"/>
    <w:rPr>
      <w:rFonts w:ascii="Tahoma" w:hAnsi="Tahoma"/>
      <w:sz w:val="24"/>
      <w:szCs w:val="20"/>
    </w:rPr>
  </w:style>
  <w:style w:type="paragraph" w:customStyle="1" w:styleId="45">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48">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TOC 标题1"/>
    <w:basedOn w:val="2"/>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5">
    <w:name w:val="列表段落1"/>
    <w:basedOn w:val="1"/>
    <w:qFormat/>
    <w:uiPriority w:val="34"/>
    <w:pPr>
      <w:ind w:firstLine="420" w:firstLineChars="200"/>
    </w:pPr>
  </w:style>
  <w:style w:type="character" w:customStyle="1" w:styleId="56">
    <w:name w:val="页眉 字符"/>
    <w:basedOn w:val="24"/>
    <w:link w:val="16"/>
    <w:qFormat/>
    <w:uiPriority w:val="0"/>
    <w:rPr>
      <w:kern w:val="2"/>
      <w:sz w:val="18"/>
      <w:szCs w:val="18"/>
    </w:rPr>
  </w:style>
  <w:style w:type="character" w:customStyle="1" w:styleId="57">
    <w:name w:val="oalinshistyle21"/>
    <w:qFormat/>
    <w:uiPriority w:val="0"/>
    <w:rPr>
      <w:rFonts w:hint="default" w:ascii="Arial" w:hAnsi="Arial" w:cs="Arial"/>
      <w:sz w:val="27"/>
      <w:szCs w:val="27"/>
    </w:rPr>
  </w:style>
  <w:style w:type="character" w:customStyle="1" w:styleId="58">
    <w:name w:val="文档结构图 字符"/>
    <w:basedOn w:val="24"/>
    <w:link w:val="6"/>
    <w:qFormat/>
    <w:uiPriority w:val="0"/>
    <w:rPr>
      <w:kern w:val="2"/>
      <w:sz w:val="21"/>
      <w:szCs w:val="24"/>
      <w:shd w:val="clear" w:color="auto" w:fill="000080"/>
    </w:rPr>
  </w:style>
  <w:style w:type="character" w:customStyle="1" w:styleId="59">
    <w:name w:val="批注框文本 字符"/>
    <w:basedOn w:val="24"/>
    <w:link w:val="14"/>
    <w:qFormat/>
    <w:uiPriority w:val="0"/>
    <w:rPr>
      <w:kern w:val="2"/>
      <w:sz w:val="18"/>
      <w:szCs w:val="18"/>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 w:type="character" w:customStyle="1" w:styleId="62">
    <w:name w:val="font01"/>
    <w:basedOn w:val="24"/>
    <w:qFormat/>
    <w:uiPriority w:val="0"/>
    <w:rPr>
      <w:rFonts w:hint="eastAsia" w:ascii="宋体" w:hAnsi="宋体" w:eastAsia="宋体" w:cs="宋体"/>
      <w:color w:val="000000"/>
      <w:sz w:val="22"/>
      <w:szCs w:val="22"/>
      <w:u w:val="none"/>
    </w:rPr>
  </w:style>
  <w:style w:type="character" w:customStyle="1" w:styleId="63">
    <w:name w:val="font11"/>
    <w:basedOn w:val="24"/>
    <w:qFormat/>
    <w:uiPriority w:val="0"/>
    <w:rPr>
      <w:rFonts w:hint="eastAsia" w:ascii="宋体" w:hAnsi="宋体" w:eastAsia="宋体" w:cs="宋体"/>
      <w:color w:val="C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231</Pages>
  <Words>3081</Words>
  <Characters>3377</Characters>
  <Lines>1186</Lines>
  <Paragraphs>334</Paragraphs>
  <TotalTime>8</TotalTime>
  <ScaleCrop>false</ScaleCrop>
  <LinksUpToDate>false</LinksUpToDate>
  <CharactersWithSpaces>4156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2022-10-04T18:35:00Z</dcterms:created>
  <dc:creator>张通</dc:creator>
  <cp:lastModifiedBy>张洵瑞</cp:lastModifiedBy>
  <cp:lastPrinted>2026-01-21T08:28:00Z</cp:lastPrinted>
  <dcterms:modified xsi:type="dcterms:W3CDTF">2026-03-05T03:16:36Z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124BE05945A608BAC113EA6786105068_43</vt:lpwstr>
  </property>
  <property fmtid="{D5CDD505-2E9C-101B-9397-08002B2CF9AE}" pid="4" name="KSOTemplateDocerSaveRecord">
    <vt:lpwstr>eyJoZGlkIjoiMzc0MWNkNWNhZTQzMTM1YzgzNzZkNTcwYzFlZDc1NzkiLCJ1c2VySWQiOiI1OTY4MTcyMDIifQ==</vt:lpwstr>
  </property>
</Properties>
</file>