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color w:val="000000" w:themeColor="text1"/>
          <w:highlight w:val="none"/>
          <w14:textFill>
            <w14:solidFill>
              <w14:schemeClr w14:val="tx1"/>
            </w14:solidFill>
          </w14:textFill>
        </w:rPr>
      </w:pPr>
      <w:r>
        <w:rPr>
          <w:rFonts w:hint="eastAsia" w:ascii="黑体" w:hAnsi="黑体" w:eastAsia="黑体" w:cs="黑体"/>
          <w:color w:val="000000" w:themeColor="text1"/>
          <w:sz w:val="28"/>
          <w:szCs w:val="28"/>
          <w:highlight w:val="none"/>
          <w:lang w:eastAsia="zh-CN"/>
          <w14:textFill>
            <w14:solidFill>
              <w14:schemeClr w14:val="tx1"/>
            </w14:solidFill>
          </w14:textFill>
        </w:rPr>
        <w:t>附件</w:t>
      </w:r>
    </w:p>
    <w:p>
      <w:pPr>
        <w:bidi w:val="0"/>
        <w:jc w:val="center"/>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t>北京市</w:t>
      </w:r>
      <w:r>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t>城市管理综合行政</w:t>
      </w:r>
      <w:r>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t>执法</w:t>
      </w:r>
    </w:p>
    <w:p>
      <w:pPr>
        <w:bidi w:val="0"/>
        <w:jc w:val="center"/>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lang w:eastAsia="zh-CN"/>
          <w14:textFill>
            <w14:solidFill>
              <w14:schemeClr w14:val="tx1"/>
            </w14:solidFill>
          </w14:textFill>
        </w:rPr>
        <w:t>行政</w:t>
      </w:r>
      <w:r>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t>处罚裁量基准表</w:t>
      </w:r>
    </w:p>
    <w:p>
      <w:pPr>
        <w:bidi w:val="0"/>
        <w:jc w:val="center"/>
        <w:rPr>
          <w:rFonts w:hint="eastAsia" w:ascii="仿宋_GB2312" w:hAnsi="仿宋_GB2312" w:eastAsia="仿宋_GB2312" w:cs="仿宋_GB2312"/>
          <w:color w:val="000000" w:themeColor="text1"/>
          <w:sz w:val="32"/>
          <w:szCs w:val="32"/>
          <w:highlight w:val="none"/>
          <w14:textFill>
            <w14:solidFill>
              <w14:schemeClr w14:val="tx1"/>
            </w14:solidFill>
          </w14:textFill>
        </w:rPr>
      </w:pPr>
    </w:p>
    <w:sdt>
      <w:sdtPr>
        <w:rPr>
          <w:rFonts w:hint="default" w:ascii="宋体" w:hAnsi="宋体" w:eastAsia="宋体" w:cs="Times New Roman"/>
          <w:color w:val="000000" w:themeColor="text1"/>
          <w:kern w:val="2"/>
          <w:sz w:val="21"/>
          <w:szCs w:val="24"/>
          <w:highlight w:val="none"/>
          <w:lang w:val="en-US" w:eastAsia="zh-CN" w:bidi="ar-SA"/>
          <w14:textFill>
            <w14:solidFill>
              <w14:schemeClr w14:val="tx1"/>
            </w14:solidFill>
          </w14:textFill>
        </w:rPr>
        <w:id w:val="227737608"/>
        <w:docPartObj>
          <w:docPartGallery w:val="Table of Contents"/>
          <w:docPartUnique/>
        </w:docPartObj>
      </w:sdtPr>
      <w:sdtEndP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b/>
              <w:bCs/>
              <w:color w:val="000000" w:themeColor="text1"/>
              <w:sz w:val="24"/>
              <w:szCs w:val="32"/>
              <w:highlight w:val="none"/>
              <w14:textFill>
                <w14:solidFill>
                  <w14:schemeClr w14:val="tx1"/>
                </w14:solidFill>
              </w14:textFill>
            </w:rPr>
          </w:pPr>
          <w:r>
            <w:rPr>
              <w:rFonts w:ascii="宋体" w:hAnsi="宋体" w:eastAsia="宋体"/>
              <w:b/>
              <w:bCs/>
              <w:color w:val="000000" w:themeColor="text1"/>
              <w:sz w:val="24"/>
              <w:szCs w:val="32"/>
              <w:highlight w:val="none"/>
              <w14:textFill>
                <w14:solidFill>
                  <w14:schemeClr w14:val="tx1"/>
                </w14:solidFill>
              </w14:textFill>
            </w:rPr>
            <w:t>目</w:t>
          </w:r>
          <w:r>
            <w:rPr>
              <w:rFonts w:hint="eastAsia" w:ascii="宋体" w:hAnsi="宋体"/>
              <w:b/>
              <w:bCs/>
              <w:color w:val="000000" w:themeColor="text1"/>
              <w:sz w:val="24"/>
              <w:szCs w:val="32"/>
              <w:highlight w:val="none"/>
              <w:lang w:val="en-US" w:eastAsia="zh-CN"/>
              <w14:textFill>
                <w14:solidFill>
                  <w14:schemeClr w14:val="tx1"/>
                </w14:solidFill>
              </w14:textFill>
            </w:rPr>
            <w:t xml:space="preserve">  </w:t>
          </w:r>
          <w:r>
            <w:rPr>
              <w:rFonts w:ascii="宋体" w:hAnsi="宋体" w:eastAsia="宋体"/>
              <w:b/>
              <w:bCs/>
              <w:color w:val="000000" w:themeColor="text1"/>
              <w:sz w:val="24"/>
              <w:szCs w:val="32"/>
              <w:highlight w:val="none"/>
              <w14:textFill>
                <w14:solidFill>
                  <w14:schemeClr w14:val="tx1"/>
                </w14:solidFill>
              </w14:textFill>
            </w:rPr>
            <w:t>录</w:t>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TOC \o "1-3" \h \u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_Toc526440799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28"/>
              <w:highlight w:val="none"/>
              <w14:textFill>
                <w14:solidFill>
                  <w14:schemeClr w14:val="tx1"/>
                </w14:solidFill>
              </w14:textFill>
            </w:rPr>
            <w:t>市容环境卫生管理方面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_Toc526440799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_Toc1144378001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《北京市市容环境卫生条例》案由56项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_Toc1144378001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_Toc599974242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《北京市生活垃圾管理条例》案由</w:t>
          </w:r>
          <w:r>
            <w:rPr>
              <w:rFonts w:asciiTheme="minorEastAsia" w:hAnsiTheme="minorEastAsia" w:eastAsiaTheme="minorEastAsia"/>
              <w:color w:val="000000" w:themeColor="text1"/>
              <w:szCs w:val="21"/>
              <w:highlight w:val="none"/>
              <w14:textFill>
                <w14:solidFill>
                  <w14:schemeClr w14:val="tx1"/>
                </w14:solidFill>
              </w14:textFill>
            </w:rPr>
            <w:t>36</w:t>
          </w:r>
          <w:r>
            <w:rPr>
              <w:rFonts w:hint="eastAsia" w:asciiTheme="minorEastAsia" w:hAnsiTheme="minorEastAsia" w:eastAsiaTheme="minorEastAsia"/>
              <w:color w:val="000000" w:themeColor="text1"/>
              <w:szCs w:val="21"/>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_Toc599974242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_Toc1887098234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0"/>
              <w:highlight w:val="none"/>
              <w14:textFill>
                <w14:solidFill>
                  <w14:schemeClr w14:val="tx1"/>
                </w14:solidFill>
              </w14:textFill>
            </w:rPr>
            <w:t>《城市生活垃圾管理办法》案由11项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_Toc1887098234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_Toc1280965736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0"/>
              <w:highlight w:val="none"/>
              <w14:textFill>
                <w14:solidFill>
                  <w14:schemeClr w14:val="tx1"/>
                </w14:solidFill>
              </w14:textFill>
            </w:rPr>
            <w:t>《城市建筑垃圾管理规定》案由11项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_Toc1280965736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_Toc1752345302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0"/>
              <w:highlight w:val="none"/>
              <w14:textFill>
                <w14:solidFill>
                  <w14:schemeClr w14:val="tx1"/>
                </w14:solidFill>
              </w14:textFill>
            </w:rPr>
            <w:t>《中华人民共和国固体废物污染环境防治法》案由</w:t>
          </w:r>
          <w:r>
            <w:rPr>
              <w:rFonts w:asciiTheme="minorEastAsia" w:hAnsiTheme="minorEastAsia" w:eastAsiaTheme="minorEastAsia"/>
              <w:color w:val="000000" w:themeColor="text1"/>
              <w:szCs w:val="20"/>
              <w:highlight w:val="none"/>
              <w14:textFill>
                <w14:solidFill>
                  <w14:schemeClr w14:val="tx1"/>
                </w14:solidFill>
              </w14:textFill>
            </w:rPr>
            <w:t>10</w:t>
          </w:r>
          <w:r>
            <w:rPr>
              <w:rFonts w:hint="eastAsia" w:asciiTheme="minorEastAsia" w:hAnsiTheme="minorEastAsia" w:eastAsiaTheme="minorEastAsia"/>
              <w:color w:val="000000" w:themeColor="text1"/>
              <w:szCs w:val="20"/>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_Toc1752345302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_Toc1651336954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0"/>
              <w:highlight w:val="none"/>
              <w14:textFill>
                <w14:solidFill>
                  <w14:schemeClr w14:val="tx1"/>
                </w14:solidFill>
              </w14:textFill>
            </w:rPr>
            <w:t>《北京市“门前三包”责任制管理办法》案由1项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_Toc1651336954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_Toc172958056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0"/>
              <w:highlight w:val="none"/>
              <w14:textFill>
                <w14:solidFill>
                  <w14:schemeClr w14:val="tx1"/>
                </w14:solidFill>
              </w14:textFill>
            </w:rPr>
            <w:t>《北京市人民政府关于扫雪铲冰管理的规定》案由1项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_Toc172958056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_Toc145735833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0"/>
              <w:highlight w:val="none"/>
              <w14:textFill>
                <w14:solidFill>
                  <w14:schemeClr w14:val="tx1"/>
                </w14:solidFill>
              </w14:textFill>
            </w:rPr>
            <w:t>《北京市户外广告设施、牌匾标识和标语宣传品设置管理条例》案由14项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_Toc145735833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_Toc1140185292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《北京市标语宣传品设置管理规定》案由6项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_Toc1140185292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_Toc1213367316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《北京市城市道路和公共场所环境卫生管理若干规定》案由7项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_Toc1213367316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_Toc1597996495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《北京市建筑</w:t>
          </w:r>
          <w:r>
            <w:rPr>
              <w:rFonts w:asciiTheme="minorEastAsia" w:hAnsiTheme="minorEastAsia" w:eastAsiaTheme="minorEastAsia"/>
              <w:color w:val="000000" w:themeColor="text1"/>
              <w:szCs w:val="21"/>
              <w:highlight w:val="none"/>
              <w14:textFill>
                <w14:solidFill>
                  <w14:schemeClr w14:val="tx1"/>
                </w14:solidFill>
              </w14:textFill>
            </w:rPr>
            <w:t>垃圾处置管理规定</w:t>
          </w:r>
          <w:r>
            <w:rPr>
              <w:rFonts w:hint="eastAsia" w:asciiTheme="minorEastAsia" w:hAnsiTheme="minorEastAsia" w:eastAsiaTheme="minorEastAsia"/>
              <w:color w:val="000000" w:themeColor="text1"/>
              <w:szCs w:val="21"/>
              <w:highlight w:val="none"/>
              <w14:textFill>
                <w14:solidFill>
                  <w14:schemeClr w14:val="tx1"/>
                </w14:solidFill>
              </w14:textFill>
            </w:rPr>
            <w:t>》案由</w:t>
          </w:r>
          <w:r>
            <w:rPr>
              <w:rFonts w:asciiTheme="minorEastAsia" w:hAnsiTheme="minorEastAsia" w:eastAsiaTheme="minorEastAsia"/>
              <w:color w:val="000000" w:themeColor="text1"/>
              <w:szCs w:val="21"/>
              <w:highlight w:val="none"/>
              <w14:textFill>
                <w14:solidFill>
                  <w14:schemeClr w14:val="tx1"/>
                </w14:solidFill>
              </w14:textFill>
            </w:rPr>
            <w:t>24</w:t>
          </w:r>
          <w:r>
            <w:rPr>
              <w:rFonts w:hint="eastAsia" w:asciiTheme="minorEastAsia" w:hAnsiTheme="minorEastAsia" w:eastAsiaTheme="minorEastAsia"/>
              <w:color w:val="000000" w:themeColor="text1"/>
              <w:szCs w:val="21"/>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_Toc1597996495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_Toc1748480692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《北京市养犬管理规定》案由1项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_Toc1748480692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_Toc1377620528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《北京市长城保护管理办法》案由1项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_Toc1377620528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_Toc39814009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《北京历史文化名城保护条例》案由1项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_Toc39814009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_Toc1498766390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《北京市架空线管理若干规定》案由</w:t>
          </w:r>
          <w:r>
            <w:rPr>
              <w:rFonts w:asciiTheme="minorEastAsia" w:hAnsiTheme="minorEastAsia" w:eastAsiaTheme="minorEastAsia"/>
              <w:color w:val="000000" w:themeColor="text1"/>
              <w:szCs w:val="21"/>
              <w:highlight w:val="none"/>
              <w14:textFill>
                <w14:solidFill>
                  <w14:schemeClr w14:val="tx1"/>
                </w14:solidFill>
              </w14:textFill>
            </w:rPr>
            <w:t>7</w:t>
          </w:r>
          <w:r>
            <w:rPr>
              <w:rFonts w:hint="eastAsia" w:asciiTheme="minorEastAsia" w:hAnsiTheme="minorEastAsia" w:eastAsiaTheme="minorEastAsia"/>
              <w:color w:val="000000" w:themeColor="text1"/>
              <w:szCs w:val="21"/>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_Toc1498766390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43</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_Toc1839556778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《城市照明管理规定》案由2项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_Toc1839556778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_Toc1866286370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w:t>
          </w:r>
          <w:r>
            <w:rPr>
              <w:rFonts w:asciiTheme="minorEastAsia" w:hAnsiTheme="minorEastAsia" w:eastAsiaTheme="minorEastAsia"/>
              <w:color w:val="000000" w:themeColor="text1"/>
              <w:szCs w:val="21"/>
              <w:highlight w:val="none"/>
              <w14:textFill>
                <w14:solidFill>
                  <w14:schemeClr w14:val="tx1"/>
                </w14:solidFill>
              </w14:textFill>
            </w:rPr>
            <w:t>物业管理条例</w:t>
          </w:r>
          <w:r>
            <w:rPr>
              <w:rFonts w:hint="eastAsia" w:asciiTheme="minorEastAsia" w:hAnsiTheme="minorEastAsia" w:eastAsiaTheme="minorEastAsia"/>
              <w:color w:val="000000" w:themeColor="text1"/>
              <w:szCs w:val="21"/>
              <w:highlight w:val="none"/>
              <w14:textFill>
                <w14:solidFill>
                  <w14:schemeClr w14:val="tx1"/>
                </w14:solidFill>
              </w14:textFill>
            </w:rPr>
            <w:t>》案由1项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_Toc1866286370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_Toc1709548156 </w:instrText>
          </w:r>
          <w:r>
            <w:rPr>
              <w:color w:val="000000" w:themeColor="text1"/>
              <w:highlight w:val="none"/>
              <w14:textFill>
                <w14:solidFill>
                  <w14:schemeClr w14:val="tx1"/>
                </w14:solidFill>
              </w14:textFill>
            </w:rPr>
            <w:fldChar w:fldCharType="separate"/>
          </w:r>
          <w:r>
            <w:rPr>
              <w:rFonts w:hint="eastAsia" w:ascii="黑体" w:hAnsi="黑体" w:eastAsia="黑体" w:cs="黑体"/>
              <w:bCs w:val="0"/>
              <w:color w:val="000000" w:themeColor="text1"/>
              <w:highlight w:val="none"/>
              <w14:textFill>
                <w14:solidFill>
                  <w14:schemeClr w14:val="tx1"/>
                </w14:solidFill>
              </w14:textFill>
            </w:rPr>
            <w:t>市政管理方面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_Toc1709548156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_Toc1607059839 </w:instrText>
          </w:r>
          <w:r>
            <w:rPr>
              <w:color w:val="000000" w:themeColor="text1"/>
              <w:highlight w:val="none"/>
              <w14:textFill>
                <w14:solidFill>
                  <w14:schemeClr w14:val="tx1"/>
                </w14:solidFill>
              </w14:textFill>
            </w:rPr>
            <w:fldChar w:fldCharType="separate"/>
          </w:r>
          <w:r>
            <w:rPr>
              <w:rFonts w:hint="eastAsia"/>
              <w:color w:val="000000" w:themeColor="text1"/>
              <w:szCs w:val="21"/>
              <w:highlight w:val="none"/>
              <w:lang w:val="en-US" w:eastAsia="zh-CN"/>
              <w14:textFill>
                <w14:solidFill>
                  <w14:schemeClr w14:val="tx1"/>
                </w14:solidFill>
              </w14:textFill>
            </w:rPr>
            <w:t>《北京市无障碍环境建设条例》案由6项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_Toc1607059839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_Toc175167693 </w:instrText>
          </w:r>
          <w:r>
            <w:rPr>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szCs w:val="21"/>
              <w:highlight w:val="none"/>
              <w:lang w:val="en-US" w:eastAsia="zh-CN"/>
              <w14:textFill>
                <w14:solidFill>
                  <w14:schemeClr w14:val="tx1"/>
                </w14:solidFill>
              </w14:textFill>
            </w:rPr>
            <w:t>《中华人民共和国无障碍环境建设法》案由2项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_Toc175167693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_Toc1724920233 </w:instrText>
          </w:r>
          <w:r>
            <w:rPr>
              <w:color w:val="000000" w:themeColor="text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《城市道路管理条例》《北京市城市道路管理办法》案由16项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_Toc1724920233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_Toc884119906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《北京市地下设施检查井井盖管理规定》案由5项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_Toc884119906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_Toc782261727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公用事业管理方面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_Toc782261727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_Toc333158386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《城镇燃气管理条例》案由30项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_Toc333158386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_Toc1483790773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《北京市燃气管理条例》案由26项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_Toc1483790773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_Toc1517927781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《北京市消防条例》案由1项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_Toc1517927781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_Toc2108634677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《北京市清洁燃料车辆加气站管理规定》案由7项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_Toc2108634677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_Toc1514974869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w:t>
          </w:r>
          <w:r>
            <w:rPr>
              <w:rFonts w:asciiTheme="minorEastAsia" w:hAnsiTheme="minorEastAsia" w:eastAsiaTheme="minorEastAsia"/>
              <w:color w:val="000000" w:themeColor="text1"/>
              <w:szCs w:val="21"/>
              <w:highlight w:val="none"/>
              <w14:textFill>
                <w14:solidFill>
                  <w14:schemeClr w14:val="tx1"/>
                </w14:solidFill>
              </w14:textFill>
            </w:rPr>
            <w:t>北京市供热采暖管理办法</w:t>
          </w:r>
          <w:r>
            <w:rPr>
              <w:rFonts w:hint="eastAsia" w:asciiTheme="minorEastAsia" w:hAnsiTheme="minorEastAsia" w:eastAsiaTheme="minorEastAsia"/>
              <w:color w:val="000000" w:themeColor="text1"/>
              <w:szCs w:val="21"/>
              <w:highlight w:val="none"/>
              <w14:textFill>
                <w14:solidFill>
                  <w14:schemeClr w14:val="tx1"/>
                </w14:solidFill>
              </w14:textFill>
            </w:rPr>
            <w:t>》案由19项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_Toc1514974869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71</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_Toc819278804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《北京市民用建筑节能管理办法》案由2项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_Toc819278804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_Toc1311839352 </w:instrText>
          </w:r>
          <w:r>
            <w:rPr>
              <w:color w:val="000000" w:themeColor="text1"/>
              <w:highlight w:val="none"/>
              <w14:textFill>
                <w14:solidFill>
                  <w14:schemeClr w14:val="tx1"/>
                </w14:solidFill>
              </w14:textFill>
            </w:rPr>
            <w:fldChar w:fldCharType="separate"/>
          </w:r>
          <w:r>
            <w:rPr>
              <w:rFonts w:hint="eastAsia" w:cs="宋体" w:asciiTheme="minorEastAsia" w:hAnsiTheme="minorEastAsia" w:eastAsiaTheme="minorEastAsia"/>
              <w:color w:val="000000" w:themeColor="text1"/>
              <w:szCs w:val="21"/>
              <w:highlight w:val="none"/>
              <w:lang w:val="en-US" w:eastAsia="zh-CN"/>
              <w14:textFill>
                <w14:solidFill>
                  <w14:schemeClr w14:val="tx1"/>
                </w14:solidFill>
              </w14:textFill>
            </w:rPr>
            <w:t>《北京市建筑绿色发展条例》案由1项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_Toc1311839352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_Toc2041415668 </w:instrText>
          </w:r>
          <w:r>
            <w:rPr>
              <w:color w:val="000000" w:themeColor="text1"/>
              <w:highlight w:val="none"/>
              <w14:textFill>
                <w14:solidFill>
                  <w14:schemeClr w14:val="tx1"/>
                </w14:solidFill>
              </w14:textFill>
            </w:rPr>
            <w:fldChar w:fldCharType="separate"/>
          </w:r>
          <w:r>
            <w:rPr>
              <w:rFonts w:asciiTheme="minorEastAsia" w:hAnsiTheme="minorEastAsia" w:eastAsiaTheme="minorEastAsia"/>
              <w:color w:val="000000" w:themeColor="text1"/>
              <w:szCs w:val="21"/>
              <w:highlight w:val="none"/>
              <w:lang w:eastAsia="zh-Hans"/>
              <w14:textFill>
                <w14:solidFill>
                  <w14:schemeClr w14:val="tx1"/>
                </w14:solidFill>
              </w14:textFill>
            </w:rPr>
            <w:t>《</w:t>
          </w:r>
          <w:r>
            <w:rPr>
              <w:rFonts w:hint="eastAsia" w:asciiTheme="minorEastAsia" w:hAnsiTheme="minorEastAsia" w:eastAsiaTheme="minorEastAsia"/>
              <w:color w:val="000000" w:themeColor="text1"/>
              <w:szCs w:val="21"/>
              <w:highlight w:val="none"/>
              <w:lang w:eastAsia="zh-Hans"/>
              <w14:textFill>
                <w14:solidFill>
                  <w14:schemeClr w14:val="tx1"/>
                </w14:solidFill>
              </w14:textFill>
            </w:rPr>
            <w:t>中华人民共和国安全生产法</w:t>
          </w:r>
          <w:r>
            <w:rPr>
              <w:rFonts w:asciiTheme="minorEastAsia" w:hAnsiTheme="minorEastAsia" w:eastAsiaTheme="minorEastAsia"/>
              <w:color w:val="000000" w:themeColor="text1"/>
              <w:szCs w:val="21"/>
              <w:highlight w:val="none"/>
              <w:lang w:eastAsia="zh-Hans"/>
              <w14:textFill>
                <w14:solidFill>
                  <w14:schemeClr w14:val="tx1"/>
                </w14:solidFill>
              </w14:textFill>
            </w:rPr>
            <w:t>》</w:t>
          </w:r>
          <w:r>
            <w:rPr>
              <w:rFonts w:hint="eastAsia" w:asciiTheme="minorEastAsia" w:hAnsiTheme="minorEastAsia" w:eastAsiaTheme="minorEastAsia"/>
              <w:color w:val="000000" w:themeColor="text1"/>
              <w:szCs w:val="21"/>
              <w:highlight w:val="none"/>
              <w14:textFill>
                <w14:solidFill>
                  <w14:schemeClr w14:val="tx1"/>
                </w14:solidFill>
              </w14:textFill>
            </w:rPr>
            <w:t>《北京市安全生产条例》</w:t>
          </w:r>
          <w:r>
            <w:rPr>
              <w:rFonts w:asciiTheme="minorEastAsia" w:hAnsiTheme="minorEastAsia" w:eastAsiaTheme="minorEastAsia"/>
              <w:color w:val="000000" w:themeColor="text1"/>
              <w:szCs w:val="21"/>
              <w:highlight w:val="none"/>
              <w:lang w:eastAsia="zh-Hans"/>
              <w14:textFill>
                <w14:solidFill>
                  <w14:schemeClr w14:val="tx1"/>
                </w14:solidFill>
              </w14:textFill>
            </w:rPr>
            <w:t>案由</w:t>
          </w:r>
          <w:r>
            <w:rPr>
              <w:rFonts w:hint="eastAsia" w:asciiTheme="minorEastAsia" w:hAnsiTheme="minorEastAsia" w:eastAsiaTheme="minorEastAsia"/>
              <w:color w:val="000000" w:themeColor="text1"/>
              <w:szCs w:val="21"/>
              <w:highlight w:val="none"/>
              <w14:textFill>
                <w14:solidFill>
                  <w14:schemeClr w14:val="tx1"/>
                </w14:solidFill>
              </w14:textFill>
            </w:rPr>
            <w:t>12</w:t>
          </w:r>
          <w:r>
            <w:rPr>
              <w:rFonts w:asciiTheme="minorEastAsia" w:hAnsiTheme="minorEastAsia" w:eastAsiaTheme="minorEastAsia"/>
              <w:color w:val="000000" w:themeColor="text1"/>
              <w:szCs w:val="21"/>
              <w:highlight w:val="none"/>
              <w:lang w:eastAsia="zh-Hans"/>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_Toc2041415668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_Toc1963656805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《北京市生产安全事故隐患排查治理办法》</w:t>
          </w:r>
          <w:r>
            <w:rPr>
              <w:rFonts w:hint="eastAsia" w:asciiTheme="minorEastAsia" w:hAnsiTheme="minorEastAsia" w:eastAsiaTheme="minorEastAsia"/>
              <w:color w:val="000000" w:themeColor="text1"/>
              <w:szCs w:val="21"/>
              <w:highlight w:val="none"/>
              <w:lang w:eastAsia="zh-Hans"/>
              <w14:textFill>
                <w14:solidFill>
                  <w14:schemeClr w14:val="tx1"/>
                </w14:solidFill>
              </w14:textFill>
            </w:rPr>
            <w:t>案由</w:t>
          </w:r>
          <w:r>
            <w:rPr>
              <w:rFonts w:asciiTheme="minorEastAsia" w:hAnsiTheme="minorEastAsia" w:eastAsiaTheme="minorEastAsia"/>
              <w:color w:val="000000" w:themeColor="text1"/>
              <w:szCs w:val="21"/>
              <w:highlight w:val="none"/>
              <w:lang w:eastAsia="zh-Hans"/>
              <w14:textFill>
                <w14:solidFill>
                  <w14:schemeClr w14:val="tx1"/>
                </w14:solidFill>
              </w14:textFill>
            </w:rPr>
            <w:t>2</w:t>
          </w:r>
          <w:r>
            <w:rPr>
              <w:rFonts w:hint="eastAsia" w:asciiTheme="minorEastAsia" w:hAnsiTheme="minorEastAsia" w:eastAsiaTheme="minorEastAsia"/>
              <w:color w:val="000000" w:themeColor="text1"/>
              <w:szCs w:val="21"/>
              <w:highlight w:val="none"/>
              <w:lang w:eastAsia="zh-Hans"/>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_Toc1963656805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78</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_Toc1911813594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《北京市单用途预付卡管理条例》案由7项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_Toc1911813594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_Toc1781030255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园林绿化管理方面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_Toc1781030255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_Toc1097138893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《北京市绿化条例》案由16项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_Toc1097138893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_Toc1516675248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《北京市物业</w:t>
          </w:r>
          <w:r>
            <w:rPr>
              <w:rFonts w:asciiTheme="minorEastAsia" w:hAnsiTheme="minorEastAsia" w:eastAsiaTheme="minorEastAsia"/>
              <w:color w:val="000000" w:themeColor="text1"/>
              <w:szCs w:val="21"/>
              <w:highlight w:val="none"/>
              <w14:textFill>
                <w14:solidFill>
                  <w14:schemeClr w14:val="tx1"/>
                </w14:solidFill>
              </w14:textFill>
            </w:rPr>
            <w:t>管理条例</w:t>
          </w:r>
          <w:r>
            <w:rPr>
              <w:rFonts w:hint="eastAsia" w:asciiTheme="minorEastAsia" w:hAnsiTheme="minorEastAsia" w:eastAsiaTheme="minorEastAsia"/>
              <w:color w:val="000000" w:themeColor="text1"/>
              <w:szCs w:val="21"/>
              <w:highlight w:val="none"/>
              <w14:textFill>
                <w14:solidFill>
                  <w14:schemeClr w14:val="tx1"/>
                </w14:solidFill>
              </w14:textFill>
            </w:rPr>
            <w:t>》案由1项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_Toc1516675248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_Toc1284883561 </w:instrText>
          </w:r>
          <w:r>
            <w:rPr>
              <w:color w:val="000000" w:themeColor="text1"/>
              <w:highlight w:val="none"/>
              <w14:textFill>
                <w14:solidFill>
                  <w14:schemeClr w14:val="tx1"/>
                </w14:solidFill>
              </w14:textFill>
            </w:rPr>
            <w:fldChar w:fldCharType="separate"/>
          </w:r>
          <w:r>
            <w:rPr>
              <w:rFonts w:hint="eastAsia" w:cs="宋体" w:asciiTheme="minorEastAsia" w:hAnsiTheme="minorEastAsia" w:eastAsiaTheme="minorEastAsia"/>
              <w:color w:val="000000" w:themeColor="text1"/>
              <w:szCs w:val="21"/>
              <w:highlight w:val="none"/>
              <w14:textFill>
                <w14:solidFill>
                  <w14:schemeClr w14:val="tx1"/>
                </w14:solidFill>
              </w14:textFill>
            </w:rPr>
            <w:t>《古树名木保护条例》案由11项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_Toc1284883561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_Toc1270096950 </w:instrText>
          </w:r>
          <w:r>
            <w:rPr>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《北京市古树名木保护管理条例》案由</w:t>
          </w:r>
          <w:r>
            <w:rPr>
              <w:rFonts w:hint="eastAsia"/>
              <w:color w:val="000000" w:themeColor="text1"/>
              <w:highlight w:val="none"/>
              <w:lang w:val="en-US" w:eastAsia="zh-CN"/>
              <w14:textFill>
                <w14:solidFill>
                  <w14:schemeClr w14:val="tx1"/>
                </w14:solidFill>
              </w14:textFill>
            </w:rPr>
            <w:t>3项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_Toc1270096950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_Toc1662411082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《北京市公园条例》案由</w:t>
          </w:r>
          <w:r>
            <w:rPr>
              <w:rFonts w:asciiTheme="minorEastAsia" w:hAnsiTheme="minorEastAsia" w:eastAsiaTheme="minorEastAsia"/>
              <w:color w:val="000000" w:themeColor="text1"/>
              <w:szCs w:val="21"/>
              <w:highlight w:val="none"/>
              <w14:textFill>
                <w14:solidFill>
                  <w14:schemeClr w14:val="tx1"/>
                </w14:solidFill>
              </w14:textFill>
            </w:rPr>
            <w:t xml:space="preserve"> 18</w:t>
          </w:r>
          <w:r>
            <w:rPr>
              <w:rFonts w:hint="eastAsia" w:asciiTheme="minorEastAsia" w:hAnsiTheme="minorEastAsia" w:eastAsiaTheme="minorEastAsia"/>
              <w:color w:val="000000" w:themeColor="text1"/>
              <w:szCs w:val="21"/>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_Toc1662411082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_Toc277585206 </w:instrText>
          </w:r>
          <w:r>
            <w:rPr>
              <w:color w:val="000000" w:themeColor="text1"/>
              <w:highlight w:val="none"/>
              <w14:textFill>
                <w14:solidFill>
                  <w14:schemeClr w14:val="tx1"/>
                </w14:solidFill>
              </w14:textFill>
            </w:rPr>
            <w:fldChar w:fldCharType="separate"/>
          </w:r>
          <w:r>
            <w:rPr>
              <w:rFonts w:hint="eastAsia" w:ascii="黑体" w:hAnsi="黑体" w:eastAsia="黑体" w:cs="黑体"/>
              <w:bCs w:val="0"/>
              <w:color w:val="000000" w:themeColor="text1"/>
              <w:highlight w:val="none"/>
              <w14:textFill>
                <w14:solidFill>
                  <w14:schemeClr w14:val="tx1"/>
                </w14:solidFill>
              </w14:textFill>
            </w:rPr>
            <w:t>环境保护管理方面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_Toc277585206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92</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_Toc335980618 </w:instrText>
          </w:r>
          <w:r>
            <w:rPr>
              <w:color w:val="000000" w:themeColor="text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《中华人民共和国大气污染防治法》案由18项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_Toc335980618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92</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_Toc1112923929 </w:instrText>
          </w:r>
          <w:r>
            <w:rPr>
              <w:color w:val="000000" w:themeColor="text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《北京市大气污染防治条例》案由8项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_Toc1112923929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95</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_Toc2026065898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《北京市环境噪声污染防治办法》案由</w:t>
          </w:r>
          <w:r>
            <w:rPr>
              <w:rFonts w:hint="eastAsia" w:asciiTheme="minorEastAsia" w:hAnsiTheme="minorEastAsia" w:eastAsiaTheme="minorEastAsia"/>
              <w:color w:val="000000" w:themeColor="text1"/>
              <w:szCs w:val="21"/>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Cs w:val="21"/>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_Toc2026065898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96</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_Toc1713601146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《中华人民共和国噪声污染防治法》案由</w:t>
          </w:r>
          <w:r>
            <w:rPr>
              <w:rFonts w:hint="eastAsia" w:asciiTheme="minorEastAsia" w:hAnsiTheme="minorEastAsia" w:eastAsiaTheme="minorEastAsia"/>
              <w:color w:val="000000" w:themeColor="text1"/>
              <w:szCs w:val="21"/>
              <w:highlight w:val="none"/>
              <w:lang w:val="en-US" w:eastAsia="zh-CN"/>
              <w14:textFill>
                <w14:solidFill>
                  <w14:schemeClr w14:val="tx1"/>
                </w14:solidFill>
              </w14:textFill>
            </w:rPr>
            <w:t>6</w:t>
          </w:r>
          <w:r>
            <w:rPr>
              <w:rFonts w:hint="eastAsia" w:asciiTheme="minorEastAsia" w:hAnsiTheme="minorEastAsia" w:eastAsiaTheme="minorEastAsia"/>
              <w:color w:val="000000" w:themeColor="text1"/>
              <w:szCs w:val="21"/>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_Toc1713601146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97</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_Toc1152737938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施工现场管理方面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_Toc1152737938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98</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_Toc1377348640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《北京市大气污染防治条例》施工现场执法案由16项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_Toc1377348640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98</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_Toc1405674276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《北京市建设工程施工现场管理办法》案由13项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_Toc1405674276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_Toc871540661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停车场管理方面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_Toc871540661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103</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_Toc939413149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《北京市机动车停车管理办法》案由13项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_Toc939413149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103</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_Toc865250467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w:t>
          </w:r>
          <w:r>
            <w:rPr>
              <w:rFonts w:asciiTheme="minorEastAsia" w:hAnsiTheme="minorEastAsia" w:eastAsiaTheme="minorEastAsia"/>
              <w:color w:val="000000" w:themeColor="text1"/>
              <w:szCs w:val="21"/>
              <w:highlight w:val="none"/>
              <w14:textFill>
                <w14:solidFill>
                  <w14:schemeClr w14:val="tx1"/>
                </w14:solidFill>
              </w14:textFill>
            </w:rPr>
            <w:t>机动车停车条例</w:t>
          </w:r>
          <w:r>
            <w:rPr>
              <w:rFonts w:hint="eastAsia" w:asciiTheme="minorEastAsia" w:hAnsiTheme="minorEastAsia" w:eastAsiaTheme="minorEastAsia"/>
              <w:color w:val="000000" w:themeColor="text1"/>
              <w:szCs w:val="21"/>
              <w:highlight w:val="none"/>
              <w14:textFill>
                <w14:solidFill>
                  <w14:schemeClr w14:val="tx1"/>
                </w14:solidFill>
              </w14:textFill>
            </w:rPr>
            <w:t>》案由6项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_Toc865250467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106</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_Toc1046708354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《北京市非机动车停车管理办法》《北京市</w:t>
          </w:r>
          <w:r>
            <w:rPr>
              <w:rFonts w:asciiTheme="minorEastAsia" w:hAnsiTheme="minorEastAsia" w:eastAsiaTheme="minorEastAsia"/>
              <w:color w:val="000000" w:themeColor="text1"/>
              <w:szCs w:val="21"/>
              <w:highlight w:val="none"/>
              <w14:textFill>
                <w14:solidFill>
                  <w14:schemeClr w14:val="tx1"/>
                </w14:solidFill>
              </w14:textFill>
            </w:rPr>
            <w:t>非机动车</w:t>
          </w:r>
          <w:r>
            <w:rPr>
              <w:rFonts w:hint="eastAsia" w:asciiTheme="minorEastAsia" w:hAnsiTheme="minorEastAsia" w:eastAsiaTheme="minorEastAsia"/>
              <w:color w:val="000000" w:themeColor="text1"/>
              <w:szCs w:val="21"/>
              <w:highlight w:val="none"/>
              <w14:textFill>
                <w14:solidFill>
                  <w14:schemeClr w14:val="tx1"/>
                </w14:solidFill>
              </w14:textFill>
            </w:rPr>
            <w:t>管理</w:t>
          </w:r>
          <w:r>
            <w:rPr>
              <w:rFonts w:asciiTheme="minorEastAsia" w:hAnsiTheme="minorEastAsia" w:eastAsiaTheme="minorEastAsia"/>
              <w:color w:val="000000" w:themeColor="text1"/>
              <w:szCs w:val="21"/>
              <w:highlight w:val="none"/>
              <w14:textFill>
                <w14:solidFill>
                  <w14:schemeClr w14:val="tx1"/>
                </w14:solidFill>
              </w14:textFill>
            </w:rPr>
            <w:t>条例</w:t>
          </w:r>
          <w:r>
            <w:rPr>
              <w:rFonts w:hint="eastAsia" w:asciiTheme="minorEastAsia" w:hAnsiTheme="minorEastAsia" w:eastAsiaTheme="minorEastAsia"/>
              <w:color w:val="000000" w:themeColor="text1"/>
              <w:szCs w:val="21"/>
              <w:highlight w:val="none"/>
              <w14:textFill>
                <w14:solidFill>
                  <w14:schemeClr w14:val="tx1"/>
                </w14:solidFill>
              </w14:textFill>
            </w:rPr>
            <w:t>》案由</w:t>
          </w:r>
          <w:r>
            <w:rPr>
              <w:rFonts w:asciiTheme="minorEastAsia" w:hAnsiTheme="minorEastAsia" w:eastAsiaTheme="minorEastAsia"/>
              <w:color w:val="000000" w:themeColor="text1"/>
              <w:szCs w:val="21"/>
              <w:highlight w:val="none"/>
              <w14:textFill>
                <w14:solidFill>
                  <w14:schemeClr w14:val="tx1"/>
                </w14:solidFill>
              </w14:textFill>
            </w:rPr>
            <w:t>6</w:t>
          </w:r>
          <w:r>
            <w:rPr>
              <w:rFonts w:hint="eastAsia" w:asciiTheme="minorEastAsia" w:hAnsiTheme="minorEastAsia" w:eastAsiaTheme="minorEastAsia"/>
              <w:color w:val="000000" w:themeColor="text1"/>
              <w:szCs w:val="21"/>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_Toc1046708354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107</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_Toc516849734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交通运输管理方面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_Toc516849734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108</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_Toc1749370373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bCs/>
              <w:strike w:val="0"/>
              <w:dstrike w:val="0"/>
              <w:color w:val="000000" w:themeColor="text1"/>
              <w:szCs w:val="21"/>
              <w:highlight w:val="none"/>
              <w14:textFill>
                <w14:solidFill>
                  <w14:schemeClr w14:val="tx1"/>
                </w14:solidFill>
              </w14:textFill>
            </w:rPr>
            <w:t>《巡游出租汽车经营服务管理规定》案由1项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_Toc1749370373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108</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_Toc1828970082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《北京市查处非法客运若干规定》案由2项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_Toc1828970082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_Toc850008120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市场监督管理（流动无照经营）方面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_Toc850008120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_Toc1085677499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《无证</w:t>
          </w:r>
          <w:r>
            <w:rPr>
              <w:rFonts w:asciiTheme="minorEastAsia" w:hAnsiTheme="minorEastAsia" w:eastAsiaTheme="minorEastAsia"/>
              <w:color w:val="000000" w:themeColor="text1"/>
              <w:szCs w:val="21"/>
              <w:highlight w:val="none"/>
              <w14:textFill>
                <w14:solidFill>
                  <w14:schemeClr w14:val="tx1"/>
                </w14:solidFill>
              </w14:textFill>
            </w:rPr>
            <w:t>无照经营查处办法</w:t>
          </w:r>
          <w:r>
            <w:rPr>
              <w:rFonts w:hint="eastAsia" w:asciiTheme="minorEastAsia" w:hAnsiTheme="minorEastAsia" w:eastAsiaTheme="minorEastAsia"/>
              <w:color w:val="000000" w:themeColor="text1"/>
              <w:szCs w:val="21"/>
              <w:highlight w:val="none"/>
              <w14:textFill>
                <w14:solidFill>
                  <w14:schemeClr w14:val="tx1"/>
                </w14:solidFill>
              </w14:textFill>
            </w:rPr>
            <w:t>》案由3项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_Toc1085677499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_Toc1199414215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城</w:t>
          </w:r>
          <w:r>
            <w:rPr>
              <w:rFonts w:hint="eastAsia" w:ascii="黑体" w:hAnsi="黑体" w:eastAsia="黑体"/>
              <w:color w:val="000000" w:themeColor="text1"/>
              <w:szCs w:val="36"/>
              <w:highlight w:val="none"/>
              <w:lang w:eastAsia="zh-CN"/>
              <w14:textFill>
                <w14:solidFill>
                  <w14:schemeClr w14:val="tx1"/>
                </w14:solidFill>
              </w14:textFill>
            </w:rPr>
            <w:t>乡</w:t>
          </w:r>
          <w:r>
            <w:rPr>
              <w:rFonts w:hint="eastAsia" w:ascii="黑体" w:hAnsi="黑体" w:eastAsia="黑体"/>
              <w:color w:val="000000" w:themeColor="text1"/>
              <w:szCs w:val="36"/>
              <w:highlight w:val="none"/>
              <w14:textFill>
                <w14:solidFill>
                  <w14:schemeClr w14:val="tx1"/>
                </w14:solidFill>
              </w14:textFill>
            </w:rPr>
            <w:t>规划管理方面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_Toc1199414215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_Toc811159149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《中华人民共和国城乡规划法》《北京市城乡规划条例》</w:t>
          </w:r>
          <w:r>
            <w:rPr>
              <w:rFonts w:hint="eastAsia" w:asciiTheme="minorEastAsia" w:hAnsiTheme="minorEastAsia" w:eastAsiaTheme="minorEastAsia"/>
              <w:color w:val="000000" w:themeColor="text1"/>
              <w:szCs w:val="21"/>
              <w:highlight w:val="non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Cs w:val="21"/>
              <w:highlight w:val="none"/>
              <w14:textFill>
                <w14:solidFill>
                  <w14:schemeClr w14:val="tx1"/>
                </w14:solidFill>
              </w14:textFill>
            </w:rPr>
            <w:t>案由2项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_Toc811159149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_Toc453168720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旅游管理（黑导游）方面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_Toc453168720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111</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_Toc2018693019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《中华人民共和国旅游法》案由1项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_Toc2018693019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111</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_Toc2122998501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食品安全管理方面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_Toc2122998501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111</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_Toc347100741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《北京市小规模食品生产经营管理规定》案由23项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_Toc347100741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111</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_Toc1834866177 </w:instrText>
          </w:r>
          <w:r>
            <w:rPr>
              <w:color w:val="000000" w:themeColor="text1"/>
              <w:highlight w:val="none"/>
              <w14:textFill>
                <w14:solidFill>
                  <w14:schemeClr w14:val="tx1"/>
                </w14:solidFill>
              </w14:textFill>
            </w:rPr>
            <w:fldChar w:fldCharType="separate"/>
          </w:r>
          <w:r>
            <w:rPr>
              <w:rFonts w:hint="eastAsia" w:ascii="黑体" w:hAnsi="黑体" w:eastAsia="黑体"/>
              <w:color w:val="000000" w:themeColor="text1"/>
              <w:szCs w:val="36"/>
              <w:highlight w:val="none"/>
              <w14:textFill>
                <w14:solidFill>
                  <w14:schemeClr w14:val="tx1"/>
                </w14:solidFill>
              </w14:textFill>
            </w:rPr>
            <w:t>能源运行管理方面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_Toc1834866177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117</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_Toc1887328448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《中华人民共和国煤炭法》案由</w:t>
          </w:r>
          <w:r>
            <w:rPr>
              <w:rFonts w:asciiTheme="minorEastAsia" w:hAnsiTheme="minorEastAsia" w:eastAsiaTheme="minorEastAsia"/>
              <w:color w:val="000000" w:themeColor="text1"/>
              <w:szCs w:val="21"/>
              <w:highlight w:val="none"/>
              <w14:textFill>
                <w14:solidFill>
                  <w14:schemeClr w14:val="tx1"/>
                </w14:solidFill>
              </w14:textFill>
            </w:rPr>
            <w:t>3</w:t>
          </w:r>
          <w:r>
            <w:rPr>
              <w:rFonts w:hint="eastAsia" w:asciiTheme="minorEastAsia" w:hAnsiTheme="minorEastAsia" w:eastAsiaTheme="minorEastAsia"/>
              <w:color w:val="000000" w:themeColor="text1"/>
              <w:szCs w:val="21"/>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_Toc1887328448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117</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_Toc2128130996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《中华人民共和国可再生能源法》案由2项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_Toc2128130996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117</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_Toc784521422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《中华人民共和国电力法》《电力供应与使用条例》案由</w:t>
          </w:r>
          <w:r>
            <w:rPr>
              <w:rFonts w:asciiTheme="minorEastAsia" w:hAnsiTheme="minorEastAsia" w:eastAsiaTheme="minorEastAsia"/>
              <w:color w:val="000000" w:themeColor="text1"/>
              <w:szCs w:val="21"/>
              <w:highlight w:val="none"/>
              <w14:textFill>
                <w14:solidFill>
                  <w14:schemeClr w14:val="tx1"/>
                </w14:solidFill>
              </w14:textFill>
            </w:rPr>
            <w:t>6</w:t>
          </w:r>
          <w:r>
            <w:rPr>
              <w:rFonts w:hint="eastAsia" w:asciiTheme="minorEastAsia" w:hAnsiTheme="minorEastAsia" w:eastAsiaTheme="minorEastAsia"/>
              <w:color w:val="000000" w:themeColor="text1"/>
              <w:szCs w:val="21"/>
              <w:highlight w:val="none"/>
              <w14:textFill>
                <w14:solidFill>
                  <w14:schemeClr w14:val="tx1"/>
                </w14:solidFill>
              </w14:textFill>
            </w:rPr>
            <w:t>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_Toc784521422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118</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_Toc1256520048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《电力设施保护条例》《电力设施保护条例实施细则》案由5项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_Toc1256520048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119</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_Toc1265530909 </w:instrText>
          </w:r>
          <w:r>
            <w:rPr>
              <w:color w:val="000000" w:themeColor="text1"/>
              <w:highlight w:val="none"/>
              <w14:textFill>
                <w14:solidFill>
                  <w14:schemeClr w14:val="tx1"/>
                </w14:solidFill>
              </w14:textFill>
            </w:rPr>
            <w:fldChar w:fldCharType="separate"/>
          </w:r>
          <w:r>
            <w:rPr>
              <w:rFonts w:hint="eastAsia"/>
              <w:color w:val="000000" w:themeColor="text1"/>
              <w:szCs w:val="21"/>
              <w:highlight w:val="none"/>
              <w:lang w:val="en-US" w:eastAsia="zh-CN"/>
              <w14:textFill>
                <w14:solidFill>
                  <w14:schemeClr w14:val="tx1"/>
                </w14:solidFill>
              </w14:textFill>
            </w:rPr>
            <w:t>《北京市优化营商环境条例》案由1项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_Toc1265530909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_Toc2054618372 </w:instrText>
          </w:r>
          <w:r>
            <w:rPr>
              <w:color w:val="000000" w:themeColor="text1"/>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14:textFill>
                <w14:solidFill>
                  <w14:schemeClr w14:val="tx1"/>
                </w14:solidFill>
              </w14:textFill>
            </w:rPr>
            <w:t>《中华人民共和国石油天然气管道保护法》案由22项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_Toc2054618372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_Toc771447482 </w:instrText>
          </w:r>
          <w:r>
            <w:rPr>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国际交往语言环境建设方面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_Toc771447482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125</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21"/>
            <w:tabs>
              <w:tab w:val="right" w:leader="dot" w:pos="9582"/>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_Toc1543116115 </w:instrText>
          </w:r>
          <w:r>
            <w:rPr>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w:t>
          </w:r>
          <w:r>
            <w:rPr>
              <w:rFonts w:hint="eastAsia"/>
              <w:color w:val="000000" w:themeColor="text1"/>
              <w:highlight w:val="none"/>
              <w:lang w:val="zh-CN"/>
              <w14:textFill>
                <w14:solidFill>
                  <w14:schemeClr w14:val="tx1"/>
                </w14:solidFill>
              </w14:textFill>
            </w:rPr>
            <w:t>北京市国际交往语言环境建设条例</w:t>
          </w:r>
          <w:r>
            <w:rPr>
              <w:rFonts w:hint="eastAsia"/>
              <w:color w:val="000000" w:themeColor="text1"/>
              <w:highlight w:val="none"/>
              <w14:textFill>
                <w14:solidFill>
                  <w14:schemeClr w14:val="tx1"/>
                </w14:solidFill>
              </w14:textFill>
            </w:rPr>
            <w:t>》案由4项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_Toc1543116115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125</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9582"/>
            </w:tabs>
            <w:rPr>
              <w:color w:val="000000" w:themeColor="text1"/>
              <w:highlight w:val="none"/>
              <w14:textFill>
                <w14:solidFill>
                  <w14:schemeClr w14:val="tx1"/>
                </w14:solidFill>
              </w14:textFill>
            </w:rPr>
          </w:pPr>
        </w:p>
        <w:p>
          <w:pPr>
            <w:pStyle w:val="17"/>
            <w:tabs>
              <w:tab w:val="left" w:pos="1516"/>
            </w:tabs>
            <w:ind w:left="0" w:leftChars="0" w:firstLine="0" w:firstLineChars="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end"/>
          </w:r>
        </w:p>
      </w:sdtContent>
    </w:sdt>
    <w:p>
      <w:pPr>
        <w:rPr>
          <w:rFonts w:hint="eastAsia"/>
          <w:color w:val="000000" w:themeColor="text1"/>
          <w:highlight w:val="none"/>
          <w14:textFill>
            <w14:solidFill>
              <w14:schemeClr w14:val="tx1"/>
            </w14:solidFill>
          </w14:textFill>
        </w:rPr>
      </w:pPr>
    </w:p>
    <w:p>
      <w:pPr>
        <w:pStyle w:val="17"/>
        <w:rPr>
          <w:rFonts w:hint="eastAsia"/>
          <w:color w:val="000000" w:themeColor="text1"/>
          <w:highlight w:val="none"/>
          <w14:textFill>
            <w14:solidFill>
              <w14:schemeClr w14:val="tx1"/>
            </w14:solidFill>
          </w14:textFill>
        </w:rPr>
      </w:pPr>
    </w:p>
    <w:p>
      <w:pPr>
        <w:pStyle w:val="17"/>
        <w:rPr>
          <w:rFonts w:hint="eastAsia"/>
          <w:color w:val="000000" w:themeColor="text1"/>
          <w:highlight w:val="none"/>
          <w14:textFill>
            <w14:solidFill>
              <w14:schemeClr w14:val="tx1"/>
            </w14:solidFill>
          </w14:textFill>
        </w:rPr>
      </w:pPr>
    </w:p>
    <w:p>
      <w:pPr>
        <w:pStyle w:val="17"/>
        <w:rPr>
          <w:rFonts w:hint="eastAsia"/>
          <w:color w:val="000000" w:themeColor="text1"/>
          <w:highlight w:val="none"/>
          <w14:textFill>
            <w14:solidFill>
              <w14:schemeClr w14:val="tx1"/>
            </w14:solidFill>
          </w14:textFill>
        </w:rPr>
      </w:pPr>
    </w:p>
    <w:p>
      <w:pPr>
        <w:pStyle w:val="17"/>
        <w:rPr>
          <w:rFonts w:hint="eastAsia"/>
          <w:color w:val="000000" w:themeColor="text1"/>
          <w:highlight w:val="none"/>
          <w14:textFill>
            <w14:solidFill>
              <w14:schemeClr w14:val="tx1"/>
            </w14:solidFill>
          </w14:textFill>
        </w:rPr>
      </w:pPr>
    </w:p>
    <w:p>
      <w:pPr>
        <w:pStyle w:val="17"/>
        <w:rPr>
          <w:rFonts w:hint="eastAsia"/>
          <w:color w:val="000000" w:themeColor="text1"/>
          <w:highlight w:val="none"/>
          <w14:textFill>
            <w14:solidFill>
              <w14:schemeClr w14:val="tx1"/>
            </w14:solidFill>
          </w14:textFill>
        </w:rPr>
      </w:pPr>
    </w:p>
    <w:p>
      <w:pPr>
        <w:pStyle w:val="17"/>
        <w:rPr>
          <w:rFonts w:hint="eastAsia"/>
          <w:color w:val="000000" w:themeColor="text1"/>
          <w:highlight w:val="none"/>
          <w14:textFill>
            <w14:solidFill>
              <w14:schemeClr w14:val="tx1"/>
            </w14:solidFill>
          </w14:textFill>
        </w:rPr>
      </w:pPr>
    </w:p>
    <w:p>
      <w:pPr>
        <w:pStyle w:val="17"/>
        <w:ind w:left="0" w:leftChars="0" w:firstLine="0" w:firstLineChars="0"/>
        <w:rPr>
          <w:rFonts w:hint="eastAsia"/>
          <w:strike w:val="0"/>
          <w:dstrike w:val="0"/>
          <w:color w:val="000000" w:themeColor="text1"/>
          <w:highlight w:val="none"/>
          <w14:textFill>
            <w14:solidFill>
              <w14:schemeClr w14:val="tx1"/>
            </w14:solidFill>
          </w14:textFill>
        </w:rPr>
        <w:sectPr>
          <w:footerReference r:id="rId3" w:type="default"/>
          <w:pgSz w:w="11850" w:h="16840"/>
          <w:pgMar w:top="907" w:right="1134" w:bottom="907" w:left="1134" w:header="851" w:footer="624" w:gutter="0"/>
          <w:pgNumType w:start="1"/>
          <w:cols w:space="0" w:num="1"/>
          <w:rtlGutter w:val="0"/>
          <w:docGrid w:linePitch="634" w:charSpace="0"/>
        </w:sectPr>
      </w:pPr>
    </w:p>
    <w:p>
      <w:pPr>
        <w:pStyle w:val="17"/>
        <w:rPr>
          <w:rFonts w:hint="eastAsia"/>
          <w:color w:val="000000" w:themeColor="text1"/>
          <w:highlight w:val="none"/>
          <w14:textFill>
            <w14:solidFill>
              <w14:schemeClr w14:val="tx1"/>
            </w14:solidFill>
          </w14:textFill>
        </w:rPr>
      </w:pPr>
    </w:p>
    <w:tbl>
      <w:tblPr>
        <w:tblStyle w:val="29"/>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trPr>
        <w:tc>
          <w:tcPr>
            <w:tcW w:w="9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序号</w:t>
            </w:r>
          </w:p>
        </w:tc>
        <w:tc>
          <w:tcPr>
            <w:tcW w:w="15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案由</w:t>
            </w:r>
          </w:p>
        </w:tc>
        <w:tc>
          <w:tcPr>
            <w:tcW w:w="2789"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系数</w:t>
            </w:r>
          </w:p>
        </w:tc>
        <w:tc>
          <w:tcPr>
            <w:tcW w:w="230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变量系数</w:t>
            </w:r>
          </w:p>
        </w:tc>
        <w:tc>
          <w:tcPr>
            <w:tcW w:w="17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计算公式</w:t>
            </w:r>
          </w:p>
        </w:tc>
        <w:tc>
          <w:tcPr>
            <w:tcW w:w="23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4"/>
                <w:highlight w:val="none"/>
                <w14:textFill>
                  <w14:solidFill>
                    <w14:schemeClr w14:val="tx1"/>
                  </w14:solidFill>
                </w14:textFill>
              </w:rPr>
              <w:t>备注</w:t>
            </w:r>
          </w:p>
        </w:tc>
        <w:tc>
          <w:tcPr>
            <w:tcW w:w="82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000000" w:themeColor="text1"/>
                <w:kern w:val="0"/>
                <w:sz w:val="24"/>
                <w:highlight w:val="none"/>
                <w:lang w:eastAsia="zh-CN"/>
                <w14:textFill>
                  <w14:solidFill>
                    <w14:schemeClr w14:val="tx1"/>
                  </w14:solidFill>
                </w14:textFill>
              </w:rPr>
            </w:pPr>
            <w:r>
              <w:rPr>
                <w:rFonts w:hint="eastAsia" w:ascii="黑体" w:hAnsi="宋体" w:eastAsia="黑体" w:cs="宋体"/>
                <w:b/>
                <w:bCs/>
                <w:color w:val="000000" w:themeColor="text1"/>
                <w:kern w:val="0"/>
                <w:sz w:val="24"/>
                <w:highlight w:val="none"/>
                <w:lang w:eastAsia="zh-CN"/>
                <w14:textFill>
                  <w14:solidFill>
                    <w14:schemeClr w14:val="tx1"/>
                  </w14:solidFill>
                </w14:textFill>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000000" w:themeColor="text1"/>
                <w:kern w:val="0"/>
                <w:sz w:val="24"/>
                <w:highlight w:val="none"/>
                <w:lang w:eastAsia="zh-CN"/>
                <w14:textFill>
                  <w14:solidFill>
                    <w14:schemeClr w14:val="tx1"/>
                  </w14:solidFill>
                </w14:textFill>
              </w:rPr>
            </w:pPr>
            <w:r>
              <w:rPr>
                <w:rFonts w:hint="eastAsia" w:ascii="黑体" w:hAnsi="宋体" w:eastAsia="黑体" w:cs="宋体"/>
                <w:b/>
                <w:bCs/>
                <w:color w:val="000000" w:themeColor="text1"/>
                <w:kern w:val="0"/>
                <w:sz w:val="24"/>
                <w:highlight w:val="none"/>
                <w:lang w:eastAsia="zh-CN"/>
                <w14:textFill>
                  <w14:solidFill>
                    <w14:schemeClr w14:val="tx1"/>
                  </w14:solidFill>
                </w14:textFill>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28"/>
                <w:szCs w:val="28"/>
                <w:highlight w:val="none"/>
                <w14:textFill>
                  <w14:solidFill>
                    <w14:schemeClr w14:val="tx1"/>
                  </w14:solidFill>
                </w14:textFill>
              </w:rPr>
            </w:pPr>
            <w:bookmarkStart w:id="0" w:name="_Toc110851435"/>
            <w:bookmarkStart w:id="1" w:name="_Toc1748547838"/>
            <w:bookmarkStart w:id="2" w:name="_Toc526440799"/>
            <w:r>
              <w:rPr>
                <w:rFonts w:hint="eastAsia" w:ascii="黑体" w:hAnsi="黑体" w:eastAsia="黑体"/>
                <w:b w:val="0"/>
                <w:color w:val="000000" w:themeColor="text1"/>
                <w:sz w:val="28"/>
                <w:szCs w:val="28"/>
                <w:highlight w:val="none"/>
                <w14:textFill>
                  <w14:solidFill>
                    <w14:schemeClr w14:val="tx1"/>
                  </w14:solidFill>
                </w14:textFill>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3"/>
              <w:widowControl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bookmarkStart w:id="3" w:name="_Toc110851436"/>
            <w:bookmarkStart w:id="4" w:name="_Toc1944272260"/>
            <w:bookmarkStart w:id="5" w:name="_Toc1144378001"/>
            <w:r>
              <w:rPr>
                <w:rFonts w:hint="eastAsia" w:asciiTheme="minorEastAsia" w:hAnsiTheme="minorEastAsia" w:eastAsiaTheme="minorEastAsia"/>
                <w:color w:val="000000" w:themeColor="text1"/>
                <w:sz w:val="21"/>
                <w:szCs w:val="21"/>
                <w:highlight w:val="none"/>
                <w14:textFill>
                  <w14:solidFill>
                    <w14:schemeClr w14:val="tx1"/>
                  </w14:solidFill>
                </w14:textFill>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bookmarkStart w:id="6" w:name="OLE_LINK1"/>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未按要求履行维护市容环境卫生责任</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【城镇地区】</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【农村地区】</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（注：单位：</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元，下同</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擅自在临街的建筑物上设置装饰物品</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建筑物顶部、外走廊等未保持整洁或堆物堆料</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规定区域内建筑物顶部、阳台外和窗外设置不符合容貌景观标准的设施</w:t>
            </w:r>
          </w:p>
        </w:tc>
        <w:tc>
          <w:tcPr>
            <w:tcW w:w="2789" w:type="dxa"/>
            <w:vMerge w:val="restart"/>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造成社会不良影响的，变量系数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vMerge w:val="restart"/>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u w:val="singl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规定区域内建筑物顶部、阳台外和窗外吊挂、晾晒、摆放物品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造成社会不良影响的，变量系数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vMerge w:val="continue"/>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规定区域内建筑物平台、阳台内堆放物品超出护栏高度</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造成社会不良影响的，变量系数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违法建设</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300元／㎡</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）×N㎡</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N</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为违法建筑面积</w:t>
            </w:r>
          </w:p>
        </w:tc>
        <w:tc>
          <w:tcPr>
            <w:tcW w:w="2385"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造价</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按照法规规定执行。</w:t>
            </w:r>
          </w:p>
        </w:tc>
        <w:tc>
          <w:tcPr>
            <w:tcW w:w="23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4" w:hRule="atLeast"/>
          <w:jc w:val="center"/>
        </w:trPr>
        <w:tc>
          <w:tcPr>
            <w:tcW w:w="9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未按规定管护井盖雨箅</w:t>
            </w:r>
          </w:p>
        </w:tc>
        <w:tc>
          <w:tcPr>
            <w:tcW w:w="2789" w:type="dxa"/>
            <w:shd w:val="clear" w:color="auto" w:fill="auto"/>
            <w:vAlign w:val="center"/>
          </w:tcPr>
          <w:p>
            <w:pPr>
              <w:pStyle w:val="6"/>
              <w:spacing w:line="212" w:lineRule="exact"/>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；延后2小时，系数</w:t>
            </w: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；延后3小时，系数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，延后</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9小时及以上系数9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。3.因未及时补装、维修或更换，致人伤亡或车辆损毁等严重事故的，变量系数9。</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8" w:hRule="atLeast"/>
          <w:jc w:val="center"/>
        </w:trPr>
        <w:tc>
          <w:tcPr>
            <w:tcW w:w="940" w:type="dxa"/>
            <w:shd w:val="clear" w:color="auto" w:fill="auto"/>
            <w:vAlign w:val="center"/>
          </w:tcPr>
          <w:p>
            <w:pPr>
              <w:pStyle w:val="6"/>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pStyle w:val="6"/>
              <w:spacing w:line="212" w:lineRule="exact"/>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未经批准或未按照批准要求在公共场所设置设施</w:t>
            </w:r>
          </w:p>
        </w:tc>
        <w:tc>
          <w:tcPr>
            <w:tcW w:w="2789" w:type="dxa"/>
            <w:shd w:val="clear" w:color="auto" w:fill="auto"/>
            <w:vAlign w:val="center"/>
          </w:tcPr>
          <w:p>
            <w:pPr>
              <w:pStyle w:val="6"/>
              <w:spacing w:line="212" w:lineRule="exact"/>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6"/>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pStyle w:val="6"/>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pStyle w:val="6"/>
              <w:spacing w:line="212" w:lineRule="exact"/>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pStyle w:val="6"/>
              <w:spacing w:line="212" w:lineRule="exact"/>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pStyle w:val="6"/>
              <w:spacing w:line="212" w:lineRule="exact"/>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非罚款处罚。</w:t>
            </w:r>
          </w:p>
        </w:tc>
        <w:tc>
          <w:tcPr>
            <w:tcW w:w="824" w:type="dxa"/>
            <w:shd w:val="clear" w:color="auto" w:fill="auto"/>
            <w:vAlign w:val="center"/>
          </w:tcPr>
          <w:p>
            <w:pPr>
              <w:pStyle w:val="6"/>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pStyle w:val="6"/>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3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未按规定管护公共设施</w:t>
            </w:r>
          </w:p>
        </w:tc>
        <w:tc>
          <w:tcPr>
            <w:tcW w:w="2789" w:type="dxa"/>
            <w:shd w:val="clear" w:color="auto" w:fill="auto"/>
            <w:vAlign w:val="center"/>
          </w:tcPr>
          <w:p>
            <w:pPr>
              <w:spacing w:line="23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0"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未按照要求</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维修、更换、清洗或者补设</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，影响设施正常使用或者造成其他严重影响，系数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p>
        </w:tc>
        <w:tc>
          <w:tcPr>
            <w:tcW w:w="1785" w:type="dxa"/>
            <w:shd w:val="clear" w:color="auto" w:fill="auto"/>
            <w:vAlign w:val="center"/>
          </w:tcPr>
          <w:p>
            <w:pPr>
              <w:spacing w:line="23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3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擅自摆摊设点</w:t>
            </w:r>
          </w:p>
        </w:tc>
        <w:tc>
          <w:tcPr>
            <w:tcW w:w="2789" w:type="dxa"/>
            <w:shd w:val="clear" w:color="auto" w:fill="auto"/>
            <w:vAlign w:val="center"/>
          </w:tcPr>
          <w:p>
            <w:pPr>
              <w:spacing w:line="23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numPr>
                <w:ilvl w:val="0"/>
                <w:numId w:val="0"/>
              </w:numPr>
              <w:spacing w:line="230" w:lineRule="exact"/>
              <w:rPr>
                <w:color w:val="000000" w:themeColor="text1"/>
                <w:highlight w:val="none"/>
                <w:lang w:val="en-US" w:eastAsia="zh-CN"/>
                <w14:textFill>
                  <w14:solidFill>
                    <w14:schemeClr w14:val="tx1"/>
                  </w14:solidFill>
                </w14:textFill>
              </w:rPr>
            </w:pP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占用过街桥、地下过街通道的，系数1</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2.占用非机动车道或者其它公共场所，面积较大，系数1</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.占用无障碍设施或者机动车道的，系数</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4-6</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w:t>
            </w:r>
            <w:r>
              <w:rPr>
                <w:rFonts w:hint="default" w:cs="宋体" w:asciiTheme="minorEastAsia" w:hAnsiTheme="minorEastAsia" w:eastAsiaTheme="minorEastAsia"/>
                <w:b w:val="0"/>
                <w:bCs w:val="0"/>
                <w:color w:val="000000" w:themeColor="text1"/>
                <w:kern w:val="0"/>
                <w:sz w:val="15"/>
                <w:szCs w:val="15"/>
                <w:highlight w:val="none"/>
                <w:lang w:val="en-US"/>
                <w14:textFill>
                  <w14:solidFill>
                    <w14:schemeClr w14:val="tx1"/>
                  </w14:solidFill>
                </w14:textFill>
              </w:rPr>
              <w:t>4</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.使用畜力车、农用运输车及其它机动车、电动车为工具的，</w:t>
            </w:r>
            <w:r>
              <w:rPr>
                <w:rFonts w:hint="eastAsia" w:cs="宋体" w:asciiTheme="minorEastAsia" w:hAnsiTheme="minorEastAsia" w:eastAsiaTheme="minorEastAsia"/>
                <w:b w:val="0"/>
                <w:bCs w:val="0"/>
                <w:strike w:val="0"/>
                <w:dstrike w:val="0"/>
                <w:color w:val="000000" w:themeColor="text1"/>
                <w:kern w:val="0"/>
                <w:sz w:val="15"/>
                <w:szCs w:val="15"/>
                <w:highlight w:val="none"/>
                <w:lang w:val="en-US" w:eastAsia="zh-CN"/>
                <w14:textFill>
                  <w14:solidFill>
                    <w14:schemeClr w14:val="tx1"/>
                  </w14:solidFill>
                </w14:textFill>
              </w:rPr>
              <w:t>系数1-3</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w:t>
            </w:r>
            <w:r>
              <w:rPr>
                <w:rFonts w:hint="default"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5</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使用液化石油气瓶</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现场加工制作食品的，系数</w:t>
            </w:r>
            <w:r>
              <w:rPr>
                <w:rFonts w:hint="default"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5-9</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.造成交通秩序、市容秩序严重混乱的，系数5</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；7.摆设摊点经营违禁品的，系数9。</w:t>
            </w:r>
          </w:p>
        </w:tc>
        <w:tc>
          <w:tcPr>
            <w:tcW w:w="1785" w:type="dxa"/>
            <w:shd w:val="clear" w:color="auto" w:fill="auto"/>
            <w:vAlign w:val="center"/>
          </w:tcPr>
          <w:p>
            <w:pPr>
              <w:spacing w:line="23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p>
            <w:pPr>
              <w:pStyle w:val="17"/>
              <w:spacing w:after="0" w:line="230" w:lineRule="exact"/>
              <w:ind w:firstLine="30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pStyle w:val="17"/>
              <w:spacing w:after="0" w:line="230" w:lineRule="exact"/>
              <w:ind w:firstLine="30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spacing w:line="23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乱堆物料</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default" w:cs="宋体" w:asciiTheme="minorEastAsia" w:hAnsiTheme="minorEastAsia" w:eastAsiaTheme="minorEastAsia"/>
                <w:b w:val="0"/>
                <w:bCs w:val="0"/>
                <w:color w:val="000000" w:themeColor="text1"/>
                <w:kern w:val="0"/>
                <w:sz w:val="15"/>
                <w:szCs w:val="15"/>
                <w:highlight w:val="none"/>
                <w:lang w:val="en-US"/>
                <w14:textFill>
                  <w14:solidFill>
                    <w14:schemeClr w14:val="tx1"/>
                  </w14:solidFill>
                </w14:textFill>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未按规定举办活动</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违反条款：第三十五条第二款；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eastAsiaTheme="minorEastAsia"/>
                <w:color w:val="000000" w:themeColor="text1"/>
                <w:highlight w:val="none"/>
                <w:lang w:val="en-US" w:eastAsia="zh-CN"/>
                <w14:textFill>
                  <w14:solidFill>
                    <w14:schemeClr w14:val="tx1"/>
                  </w14:solidFill>
                </w14:textFill>
              </w:rPr>
            </w:pPr>
            <w:r>
              <w:rPr>
                <w:rFonts w:hint="default" w:cs="宋体" w:asciiTheme="minorEastAsia" w:hAnsiTheme="minorEastAsia" w:eastAsiaTheme="minorEastAsia"/>
                <w:b w:val="0"/>
                <w:bCs w:val="0"/>
                <w:color w:val="000000" w:themeColor="text1"/>
                <w:kern w:val="0"/>
                <w:sz w:val="15"/>
                <w:szCs w:val="15"/>
                <w:highlight w:val="none"/>
                <w:lang w:val="en-US"/>
                <w14:textFill>
                  <w14:solidFill>
                    <w14:schemeClr w14:val="tx1"/>
                  </w14:solidFill>
                </w14:textFill>
              </w:rPr>
              <w:t>1.</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擅自</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占用过街桥、地下过街通道的，系数为1</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擅自</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占用非机动车道或者其它公共场所，面积较大，系数为1</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擅自</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占用无障碍设施或者机动车道的，系数为4-6</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造成交通秩序、市容秩序严重混乱的，系数5</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w:t>
            </w:r>
          </w:p>
        </w:tc>
        <w:tc>
          <w:tcPr>
            <w:tcW w:w="17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店外经营</w:t>
            </w:r>
          </w:p>
        </w:tc>
        <w:tc>
          <w:tcPr>
            <w:tcW w:w="2789"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违反条款：第三十五条第三款；</w:t>
            </w:r>
          </w:p>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1.占用非机动车道或者其它公共场所，面积较大，系数</w:t>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;2.占用无障碍设施或者机动车道、</w:t>
            </w:r>
            <w:r>
              <w:rPr>
                <w:rFonts w:hint="eastAsia" w:cs="宋体" w:asciiTheme="minorEastAsia" w:hAnsiTheme="minorEastAsia" w:eastAsiaTheme="minorEastAsia"/>
                <w:b w:val="0"/>
                <w:bCs w:val="0"/>
                <w:color w:val="000000" w:themeColor="text1"/>
                <w:kern w:val="0"/>
                <w:sz w:val="15"/>
                <w:szCs w:val="15"/>
                <w:highlight w:val="none"/>
                <w:u w:val="none"/>
                <w14:textFill>
                  <w14:solidFill>
                    <w14:schemeClr w14:val="tx1"/>
                  </w14:solidFill>
                </w14:textFill>
              </w:rPr>
              <w:t>绿地的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b w:val="0"/>
                <w:bCs w:val="0"/>
                <w:strike w:val="0"/>
                <w:dstrike w:val="0"/>
                <w:color w:val="000000" w:themeColor="text1"/>
                <w:kern w:val="0"/>
                <w:sz w:val="15"/>
                <w:szCs w:val="15"/>
                <w:highlight w:val="none"/>
                <w:lang w:val="en-US" w:eastAsia="zh-CN"/>
                <w14:textFill>
                  <w14:solidFill>
                    <w14:schemeClr w14:val="tx1"/>
                  </w14:solidFill>
                </w14:textFill>
              </w:rPr>
              <w:t>系数4-6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.造成交通秩序、市容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环境</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秩序严重混乱的，系数5</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.经营违禁品的，系数9。</w:t>
            </w:r>
          </w:p>
        </w:tc>
        <w:tc>
          <w:tcPr>
            <w:tcW w:w="1785"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1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在城市道路及其它公共场所晾晒衣物、吊挂物品</w:t>
            </w:r>
          </w:p>
        </w:tc>
        <w:tc>
          <w:tcPr>
            <w:tcW w:w="2789"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违反条款：第三十六条第一款；</w:t>
            </w:r>
          </w:p>
          <w:p>
            <w:pPr>
              <w:spacing w:line="210" w:lineRule="exact"/>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p>
        </w:tc>
        <w:tc>
          <w:tcPr>
            <w:tcW w:w="824" w:type="dxa"/>
            <w:shd w:val="clear" w:color="auto" w:fill="auto"/>
            <w:vAlign w:val="center"/>
          </w:tcPr>
          <w:p>
            <w:pPr>
              <w:spacing w:line="21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违反规划设置户外广告设施</w:t>
            </w:r>
          </w:p>
        </w:tc>
        <w:tc>
          <w:tcPr>
            <w:tcW w:w="2789"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违反条款：第三十八条第一款；</w:t>
            </w:r>
          </w:p>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pacing w:val="-3"/>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.违法设置大型户外广告设施的，系数为2；2.违法设置距地十米以上户外广告设施的，系数为2；3.违法设置2处</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户外广告设施</w:t>
            </w:r>
            <w:r>
              <w:rPr>
                <w:rFonts w:hint="eastAsia" w:asciiTheme="minorEastAsia" w:hAnsiTheme="minorEastAsia" w:eastAsiaTheme="minorEastAsia"/>
                <w:color w:val="000000" w:themeColor="text1"/>
                <w:sz w:val="15"/>
                <w:szCs w:val="15"/>
                <w:highlight w:val="none"/>
                <w14:textFill>
                  <w14:solidFill>
                    <w14:schemeClr w14:val="tx1"/>
                  </w14:solidFill>
                </w14:textFill>
              </w:rPr>
              <w:t>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3处的，系数6，4处及以上的，系数9；4.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存在重大隐患或者造成人员伤亡的，系数9。</w:t>
            </w:r>
          </w:p>
        </w:tc>
        <w:tc>
          <w:tcPr>
            <w:tcW w:w="1785"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1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1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17</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设置户外广告设施不符合安全技术标准</w:t>
            </w:r>
          </w:p>
        </w:tc>
        <w:tc>
          <w:tcPr>
            <w:tcW w:w="2789"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违反条款：第三十八条第一款；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未按规定设置牌匾标识</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违反、处罚条款：第三十九第一款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color w:val="000000" w:themeColor="text1"/>
                <w:highlight w:val="none"/>
                <w:lang w:val="en-US"/>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3处的，系数6，4处及以上的，系数9；4.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大型固定式牌匾标识，是指任意边长大于等于四米，或者面积大于等于十平方米的牌匾标识。</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19</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未按规定管护牌匾标识</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违反、处罚条款：第三十九第二款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color w:val="000000" w:themeColor="text1"/>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擅自（散发、悬挂、张贴、刻画、涂写、喷涂）宣传品、广告</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1.散发，系数为1；</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2.张贴、悬挂，系数为2；</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3.刻画、涂写、喷涂，系数为3。</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3.现场发现小广告数量达到500张以上，悬挂、张贴达到20张以上的，刻画、喷涂、涂写达到10条以上的，按照此档实施处罚。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21</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u w:val="singl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擅自利用或者组织（张贴、涂写、刻画、喷涂、散发）（标语、宣传品、广告）进行宣传</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1.散发，系数为1；</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2.张贴，系数为2；</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3.刻画、涂写、喷涂，系数为3；</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4.其它按照《基准》的规定执行。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u w:val="singl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u w:val="singl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组织利用</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不满十周岁的未成年</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人进行宣传的；组织利用三名以上（含三名）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十周岁以上的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22</w:t>
            </w:r>
          </w:p>
        </w:tc>
        <w:tc>
          <w:tcPr>
            <w:tcW w:w="1500"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未按规划要求设置夜景照明设施</w:t>
            </w:r>
          </w:p>
        </w:tc>
        <w:tc>
          <w:tcPr>
            <w:tcW w:w="2789"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违反条款：第四十三条第一款；</w:t>
            </w:r>
          </w:p>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pStyle w:val="17"/>
              <w:ind w:left="0" w:leftChars="0" w:firstLine="0" w:firstLineChars="0"/>
              <w:rPr>
                <w:color w:val="000000" w:themeColor="text1"/>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5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23</w:t>
            </w:r>
          </w:p>
        </w:tc>
        <w:tc>
          <w:tcPr>
            <w:tcW w:w="1500"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未经审核实施夜景照明方案</w:t>
            </w:r>
          </w:p>
        </w:tc>
        <w:tc>
          <w:tcPr>
            <w:tcW w:w="2789"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违反条款：第四十三条第二款；</w:t>
            </w:r>
          </w:p>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pStyle w:val="17"/>
              <w:ind w:left="0" w:leftChars="0" w:firstLine="0"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24</w:t>
            </w:r>
          </w:p>
        </w:tc>
        <w:tc>
          <w:tcPr>
            <w:tcW w:w="1500"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未按照许可要求设置夜景照明设施</w:t>
            </w:r>
          </w:p>
        </w:tc>
        <w:tc>
          <w:tcPr>
            <w:tcW w:w="2789" w:type="dxa"/>
            <w:shd w:val="clear" w:color="auto" w:fill="auto"/>
            <w:vAlign w:val="center"/>
          </w:tcPr>
          <w:p>
            <w:pPr>
              <w:spacing w:line="250" w:lineRule="exact"/>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未按规定管护照明设施</w:t>
            </w:r>
          </w:p>
        </w:tc>
        <w:tc>
          <w:tcPr>
            <w:tcW w:w="2789"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50" w:lineRule="exact"/>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存在较大隐患或者造成较大社会影响的，系数1。</w:t>
            </w: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26</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未按规定开闭照明设施</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存在较大隐患或者造成较大社会影响的，系数1。</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27</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未按规定清扫保洁</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存在较大隐患或者造成较大社会影响的，系数5-9。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28</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建设工程未按规定设置围挡、临时厕所和垃圾收集设施</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pStyle w:val="17"/>
              <w:ind w:left="0" w:leftChars="0" w:firstLine="0" w:firstLineChars="0"/>
              <w:rPr>
                <w:color w:val="000000" w:themeColor="text1"/>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1.未按规定</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设置</w:t>
            </w:r>
            <w:r>
              <w:rPr>
                <w:rFonts w:hint="eastAsia" w:asciiTheme="minorEastAsia" w:hAnsiTheme="minorEastAsia" w:eastAsiaTheme="minorEastAsia"/>
                <w:color w:val="000000" w:themeColor="text1"/>
                <w:sz w:val="15"/>
                <w:szCs w:val="15"/>
                <w:highlight w:val="none"/>
                <w14:textFill>
                  <w14:solidFill>
                    <w14:schemeClr w14:val="tx1"/>
                  </w14:solidFill>
                </w14:textFill>
              </w:rPr>
              <w:t>围挡长度16-30米的，系数1；31-45米的，系数2，以此类推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136米及以上的，系数9</w:t>
            </w:r>
            <w:r>
              <w:rPr>
                <w:rFonts w:hint="eastAsia"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未按规定设置围挡</w:t>
            </w:r>
            <w:r>
              <w:rPr>
                <w:rFonts w:hint="eastAsia" w:asciiTheme="minorEastAsia" w:hAnsiTheme="minorEastAsia" w:eastAsiaTheme="minorEastAsia"/>
                <w:color w:val="000000" w:themeColor="text1"/>
                <w:sz w:val="15"/>
                <w:szCs w:val="15"/>
                <w:highlight w:val="none"/>
                <w14:textFill>
                  <w14:solidFill>
                    <w14:schemeClr w14:val="tx1"/>
                  </w14:solidFill>
                </w14:textFill>
              </w:rPr>
              <w:t>危害公共安全的，系数9。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29</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建设工程未按规定采取防尘措施</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以下的，系数0；11－25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的，系数1；26－40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w:t>
            </w:r>
          </w:p>
        </w:tc>
        <w:tc>
          <w:tcPr>
            <w:tcW w:w="1500"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建设工程现场污水流溢</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面积10㎡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0；11－15㎡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1；16－20㎡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 xml:space="preserve"> 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建筑垃圾未日产日清</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1.垃圾占地面积10㎡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0；11－15㎡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数1；16－20㎡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 xml:space="preserve"> 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。2.逾期不清的，每逾期2天，系数为１，以此累加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18天及以上的，</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未及时清除施工弃物弃料或者临时设施</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1.废料占地面积10㎡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0；11－15㎡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1；16－20㎡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 xml:space="preserve"> 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经责令改正</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逾期不清除临时设施的，每逾期2天，系数为１，以此累加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18天及以上的，</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14:textFill>
                  <w14:solidFill>
                    <w14:schemeClr w14:val="tx1"/>
                  </w14:solidFill>
                </w14:textFill>
              </w:rPr>
              <w:t>.严重污染环境的，系数为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33</w:t>
            </w:r>
          </w:p>
        </w:tc>
        <w:tc>
          <w:tcPr>
            <w:tcW w:w="1500" w:type="dxa"/>
            <w:shd w:val="clear" w:color="auto" w:fill="auto"/>
            <w:vAlign w:val="center"/>
          </w:tcPr>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公共设施管护作业未按规定清除废弃物</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 xml:space="preserve"> </w:t>
            </w:r>
          </w:p>
        </w:tc>
        <w:tc>
          <w:tcPr>
            <w:tcW w:w="2789"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pStyle w:val="17"/>
              <w:ind w:left="0" w:leftChars="0" w:firstLine="0" w:firstLineChars="0"/>
              <w:rPr>
                <w:color w:val="000000" w:themeColor="text1"/>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34</w:t>
            </w:r>
          </w:p>
        </w:tc>
        <w:tc>
          <w:tcPr>
            <w:tcW w:w="1500" w:type="dxa"/>
            <w:shd w:val="clear" w:color="auto" w:fill="auto"/>
            <w:vAlign w:val="center"/>
          </w:tcPr>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城市绿地管理养护单位未保持绿地整洁</w:t>
            </w:r>
          </w:p>
        </w:tc>
        <w:tc>
          <w:tcPr>
            <w:tcW w:w="2789"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绿化作业未按规定清除废弃物</w:t>
            </w:r>
          </w:p>
        </w:tc>
        <w:tc>
          <w:tcPr>
            <w:tcW w:w="2789"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36</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占用公共场所从事车辆清洗、维修业务</w:t>
            </w:r>
          </w:p>
        </w:tc>
        <w:tc>
          <w:tcPr>
            <w:tcW w:w="2789" w:type="dxa"/>
            <w:vMerge w:val="restart"/>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违反条款：第五十条第一款；</w:t>
            </w:r>
          </w:p>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处罚条款：第五十第三款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20" w:lineRule="exact"/>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1.占用非机动车道或者占用其它公共场所面积较大，或者造成通行秩序、市容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环境</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秩序混乱的</w:t>
            </w: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，系数为1</w:t>
            </w: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占用无障碍设施、机动车道、绿地的，系数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.造成交通秩序、市容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环境</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秩序严重混乱的，系数5</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构成变量系数一栏中相关情节的，视为情节严重，适用此档处罚。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37</w:t>
            </w:r>
          </w:p>
        </w:tc>
        <w:tc>
          <w:tcPr>
            <w:tcW w:w="1500" w:type="dxa"/>
            <w:vMerge w:val="restart"/>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车辆作业场所环境脏乱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违反条款：第五十条第二款；</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罚款数额＝50×（1＋区域系数）。</w:t>
            </w:r>
          </w:p>
        </w:tc>
        <w:tc>
          <w:tcPr>
            <w:tcW w:w="2385" w:type="dxa"/>
            <w:shd w:val="clear" w:color="auto" w:fill="auto"/>
            <w:vAlign w:val="center"/>
          </w:tcPr>
          <w:p>
            <w:pPr>
              <w:spacing w:line="240" w:lineRule="exact"/>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污染面积5㎡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以内的，系数为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0；6㎡</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违法行为发生在一类地区的，或者构成</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情节之一的，视为情节严重。</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38</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废品收购场所环境脏乱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污染面积5㎡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以内的，系数为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0；6㎡</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39</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焚烧废旧物品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40" w:lineRule="exact"/>
              <w:jc w:val="center"/>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hint="default" w:eastAsiaTheme="minorEastAsia"/>
                <w:color w:val="000000" w:themeColor="text1"/>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造成较大社会影响或者严重污染环境的，系数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40</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废品储存场所未采取遮挡措施</w:t>
            </w:r>
          </w:p>
        </w:tc>
        <w:tc>
          <w:tcPr>
            <w:tcW w:w="2789" w:type="dxa"/>
            <w:vMerge w:val="continue"/>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造成较大社会影响或者严重污染环境的，系数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41</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随地吐痰</w:t>
            </w:r>
          </w:p>
        </w:tc>
        <w:tc>
          <w:tcPr>
            <w:tcW w:w="2789" w:type="dxa"/>
            <w:vMerge w:val="restart"/>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违反条款：第五十二条第一款第（一）项；</w:t>
            </w:r>
          </w:p>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适用情节</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严重的情形。</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42</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随地便溺</w:t>
            </w:r>
          </w:p>
        </w:tc>
        <w:tc>
          <w:tcPr>
            <w:tcW w:w="2789" w:type="dxa"/>
            <w:vMerge w:val="restart"/>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违反条款：第五十二条第一款第（一）项；</w:t>
            </w:r>
          </w:p>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适用情节</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严重的情形。</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43</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随地丢弃废弃物</w:t>
            </w:r>
          </w:p>
        </w:tc>
        <w:tc>
          <w:tcPr>
            <w:tcW w:w="2789" w:type="dxa"/>
            <w:vMerge w:val="restart"/>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违反条款：第五十二条第一款第（二）项；</w:t>
            </w:r>
          </w:p>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适用情节</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严重的情形。</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“情节严重”是指存在“拒不改正”或者“多次违反”情形的。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44</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乱倒污水、垃圾</w:t>
            </w:r>
          </w:p>
        </w:tc>
        <w:tc>
          <w:tcPr>
            <w:tcW w:w="2789" w:type="dxa"/>
            <w:vMerge w:val="restart"/>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违反条款：第五十二条第一款第（三）项；</w:t>
            </w:r>
          </w:p>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适用情节</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严重的情形。</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焚烧树叶、垃圾</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违反条款：第五十二条第一款第（三）项；</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适用情节</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严重的情形。</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在城镇地区饲养家禽家畜</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根据实际情况执行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47</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饲养鸽子影响市容环境卫生</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1.导致建筑物外立面污损的，系数3；2.导致地面污染面积5㎡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以上的，系数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擅自设置建筑垃圾、渣土消纳场所</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49</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未按规定管护公共厕所</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车站、机场、居民小区、医院、学校、体育场馆、影剧院、繁华商业街区、旅游景区等人口集中地区的，系数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3-5；2严重影响使用或者造成其他较大影响的，系数5。</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未按规定排入粪便</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未按规定清掏（运输）粪便</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52</w:t>
            </w:r>
          </w:p>
        </w:tc>
        <w:tc>
          <w:tcPr>
            <w:tcW w:w="1500"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随意倾倒粪便</w:t>
            </w:r>
          </w:p>
        </w:tc>
        <w:tc>
          <w:tcPr>
            <w:tcW w:w="2789"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违反条款：第五十八条第二款；处罚条款：第五十八条第三款 随意倾倒粪便的，处5000元以上5万元以下罚款。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占地面积在5㎡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下的，系数</w:t>
            </w: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1；6－10㎡</w:t>
            </w:r>
            <w:r>
              <w:rPr>
                <w:rFonts w:hint="eastAsia" w:cs="仿宋_GB2312" w:asciiTheme="minorEastAsia" w:hAnsiTheme="minorEastAsia" w:eastAsiaTheme="minorEastAsia"/>
                <w:strike w:val="0"/>
                <w:dstrike w:val="0"/>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；2.倾倒在绿地、城市道路等公共场所，或者燃气、供暖等公用管道和设施保护（管理）范围的，或者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内的，系数3。</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区域台账与变量系数中点位重叠的，不适用区域台账。</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53</w:t>
            </w:r>
          </w:p>
        </w:tc>
        <w:tc>
          <w:tcPr>
            <w:tcW w:w="1500"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环卫设施未经验收（验收不合格）投入使用</w:t>
            </w:r>
          </w:p>
        </w:tc>
        <w:tc>
          <w:tcPr>
            <w:tcW w:w="2789"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违反条款：第六十条第二款；</w:t>
            </w:r>
          </w:p>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54</w:t>
            </w:r>
          </w:p>
        </w:tc>
        <w:tc>
          <w:tcPr>
            <w:tcW w:w="1500"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擅自占用、损毁环卫设施</w:t>
            </w:r>
          </w:p>
        </w:tc>
        <w:tc>
          <w:tcPr>
            <w:tcW w:w="2789"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违反条款：第六十一条第一款；</w:t>
            </w:r>
          </w:p>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擅自拆除、迁移、改建、停用环卫设施</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违反条款：第六十一条第二款；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擅自改变环卫设施用途</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违反条款：第六十一条第二款；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7" w:name="_Toc1542301765"/>
            <w:bookmarkStart w:id="8" w:name="_Toc110851437"/>
            <w:bookmarkStart w:id="9" w:name="_Toc599974242"/>
            <w:r>
              <w:rPr>
                <w:rFonts w:hint="eastAsia" w:asciiTheme="minorEastAsia" w:hAnsiTheme="minorEastAsia" w:eastAsiaTheme="minorEastAsia"/>
                <w:color w:val="000000" w:themeColor="text1"/>
                <w:sz w:val="21"/>
                <w:szCs w:val="21"/>
                <w:highlight w:val="none"/>
                <w14:textFill>
                  <w14:solidFill>
                    <w14:schemeClr w14:val="tx1"/>
                  </w14:solidFill>
                </w14:textFill>
              </w:rPr>
              <w:t>《北京市生活垃圾管理条例》案由</w:t>
            </w:r>
            <w:r>
              <w:rPr>
                <w:rFonts w:asciiTheme="minorEastAsia" w:hAnsiTheme="minorEastAsia" w:eastAsiaTheme="minorEastAsia"/>
                <w:color w:val="000000" w:themeColor="text1"/>
                <w:sz w:val="21"/>
                <w:szCs w:val="21"/>
                <w:highlight w:val="none"/>
                <w14:textFill>
                  <w14:solidFill>
                    <w14:schemeClr w14:val="tx1"/>
                  </w14:solidFill>
                </w14:textFill>
              </w:rPr>
              <w:t>36</w:t>
            </w:r>
            <w:r>
              <w:rPr>
                <w:rFonts w:hint="eastAsia" w:asciiTheme="minorEastAsia" w:hAnsiTheme="minorEastAsia" w:eastAsiaTheme="minorEastAsia"/>
                <w:color w:val="000000" w:themeColor="text1"/>
                <w:sz w:val="21"/>
                <w:szCs w:val="21"/>
                <w:highlight w:val="none"/>
                <w14:textFill>
                  <w14:solidFill>
                    <w14:schemeClr w14:val="tx1"/>
                  </w14:solidFill>
                </w14:textFill>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主动向消费者提供一次性用品</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造成不良社会影响的，系数为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初次违反适用此情形。</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造成不良社会影响的，系数为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一年度内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因</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同类性质违法行为</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再次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受到书面告诫或者处罚的</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不适用本案由。</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未将生活垃圾分别投入相应标识的收集容器</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违反条款：第三十四条第一款第（一）项；处罚条款：第六十八条第一款 责令立即改正，</w:t>
            </w:r>
            <w:r>
              <w:rPr>
                <w:rFonts w:hint="eastAsia" w:asciiTheme="minorEastAsia" w:hAnsiTheme="minorEastAsia" w:eastAsiaTheme="minorEastAsia"/>
                <w:color w:val="000000" w:themeColor="text1"/>
                <w:spacing w:val="15"/>
                <w:sz w:val="15"/>
                <w:szCs w:val="15"/>
                <w:highlight w:val="none"/>
                <w14:textFill>
                  <w14:solidFill>
                    <w14:schemeClr w14:val="tx1"/>
                  </w14:solidFill>
                </w14:textFill>
              </w:rPr>
              <w:t>情节严重的，处五万元以上五十万元以下罚款。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asciiTheme="minorEastAsia" w:hAnsiTheme="minorEastAsia" w:eastAsiaTheme="minorEastAsia"/>
                <w:b/>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1.可回收物未投入相应标识的收集容器系数为0</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14:textFill>
                  <w14:solidFill>
                    <w14:schemeClr w14:val="tx1"/>
                  </w14:solidFill>
                </w14:textFill>
              </w:rPr>
              <w:t>；2.其他垃圾未投入相应标识的收集容器系数为0-3；3.厨余垃圾未投入相应标识的收集容器系数为1-5；4.有害垃圾未投入相应标识的收集容器系数为1-5。</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拒不改正或者</w:t>
            </w:r>
            <w:r>
              <w:rPr>
                <w:rFonts w:hint="eastAsia" w:asciiTheme="minorEastAsia" w:hAnsiTheme="minorEastAsia" w:eastAsiaTheme="minorEastAsia"/>
                <w:color w:val="000000" w:themeColor="text1"/>
                <w:sz w:val="15"/>
                <w:szCs w:val="15"/>
                <w:highlight w:val="none"/>
                <w14:textFill>
                  <w14:solidFill>
                    <w14:schemeClr w14:val="tx1"/>
                  </w14:solidFill>
                </w14:textFill>
              </w:rPr>
              <w:t>再次违反规定</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的，视为情节严重。</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警告（个人初次违反）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restart"/>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1.可回收物未投入相应标识的收集容器系数为0</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14:textFill>
                  <w14:solidFill>
                    <w14:schemeClr w14:val="tx1"/>
                  </w14:solidFill>
                </w14:textFill>
              </w:rPr>
              <w:t>；2.其他垃圾未投入相应标识的收集容器系数为0-3；3.厨余垃圾未投入相应标识的收集容器系数为1-</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4</w:t>
            </w:r>
            <w:r>
              <w:rPr>
                <w:rFonts w:asciiTheme="minorEastAsia" w:hAnsiTheme="minorEastAsia" w:eastAsiaTheme="minorEastAsia"/>
                <w:color w:val="000000" w:themeColor="text1"/>
                <w:spacing w:val="-4"/>
                <w:sz w:val="15"/>
                <w:szCs w:val="15"/>
                <w:highlight w:val="none"/>
                <w14:textFill>
                  <w14:solidFill>
                    <w14:schemeClr w14:val="tx1"/>
                  </w14:solidFill>
                </w14:textFill>
              </w:rPr>
              <w:t>.</w:t>
            </w: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有害垃圾未投入相应标识的收集容器系数为1-</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w:t>
            </w: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w:t>
            </w:r>
          </w:p>
        </w:tc>
        <w:tc>
          <w:tcPr>
            <w:tcW w:w="1785"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numPr>
                <w:ilvl w:val="0"/>
                <w:numId w:val="0"/>
              </w:numPr>
              <w:spacing w:line="232"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个人拒不听从生活垃圾分类管理责任人劝阻，且拒不改正的，进行书面警告。</w:t>
            </w:r>
          </w:p>
          <w:p>
            <w:pPr>
              <w:numPr>
                <w:ilvl w:val="0"/>
                <w:numId w:val="0"/>
              </w:num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2.个人自愿参加生活垃圾分类等社区服务活动的，不予行政处罚。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违反条款：第三十四条第一款第（二）项；处罚条款：第六十八条第一款 责令立即改正，</w:t>
            </w:r>
            <w:r>
              <w:rPr>
                <w:rFonts w:hint="eastAsia" w:asciiTheme="minorEastAsia" w:hAnsiTheme="minorEastAsia" w:eastAsiaTheme="minorEastAsia"/>
                <w:color w:val="000000" w:themeColor="text1"/>
                <w:spacing w:val="15"/>
                <w:sz w:val="15"/>
                <w:szCs w:val="15"/>
                <w:highlight w:val="none"/>
                <w14:textFill>
                  <w14:solidFill>
                    <w14:schemeClr w14:val="tx1"/>
                  </w14:solidFill>
                </w14:textFill>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0"/>
              </w:numPr>
              <w:spacing w:line="232"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.占地面积在5</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下</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的，系数为0；6－10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堆放在城市道路、绿地、居住小区消防通道</w:t>
            </w:r>
            <w:r>
              <w:rPr>
                <w:rFonts w:hint="eastAsia" w:asciiTheme="minorEastAsia" w:hAnsiTheme="minorEastAsia" w:eastAsiaTheme="minorEastAsia"/>
                <w:color w:val="000000" w:themeColor="text1"/>
                <w:sz w:val="15"/>
                <w:szCs w:val="15"/>
                <w:highlight w:val="none"/>
                <w:shd w:val="clear" w:color="auto" w:fill="FFFFFF"/>
                <w14:textFill>
                  <w14:solidFill>
                    <w14:schemeClr w14:val="tx1"/>
                  </w14:solidFill>
                </w14:textFill>
              </w:rPr>
              <w:t>等共用部位</w:t>
            </w:r>
            <w:r>
              <w:rPr>
                <w:rFonts w:hint="eastAsia" w:asciiTheme="minorEastAsia" w:hAnsiTheme="minorEastAsia" w:eastAsiaTheme="minorEastAsia"/>
                <w:color w:val="000000" w:themeColor="text1"/>
                <w:sz w:val="15"/>
                <w:szCs w:val="15"/>
                <w:highlight w:val="none"/>
                <w:shd w:val="clear" w:color="auto" w:fill="FFFFFF"/>
                <w:lang w:eastAsia="zh-CN"/>
                <w14:textFill>
                  <w14:solidFill>
                    <w14:schemeClr w14:val="tx1"/>
                  </w14:solidFill>
                </w14:textFill>
              </w:rPr>
              <w:t>的，系数为</w:t>
            </w:r>
            <w:r>
              <w:rPr>
                <w:rFonts w:hint="eastAsia" w:asciiTheme="minorEastAsia" w:hAnsiTheme="minorEastAsia" w:eastAsiaTheme="minorEastAsia"/>
                <w:color w:val="000000" w:themeColor="text1"/>
                <w:sz w:val="15"/>
                <w:szCs w:val="15"/>
                <w:highlight w:val="none"/>
                <w:shd w:val="clear" w:color="auto" w:fill="FFFFFF"/>
                <w:lang w:val="en-US" w:eastAsia="zh-CN"/>
                <w14:textFill>
                  <w14:solidFill>
                    <w14:schemeClr w14:val="tx1"/>
                  </w14:solidFill>
                </w14:textFill>
              </w:rPr>
              <w:t>0-3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占压燃气、供暖等公用管道和设施保护（管理）范围的，或者林地、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内的，</w:t>
            </w:r>
            <w:r>
              <w:rPr>
                <w:rFonts w:hint="eastAsia" w:asciiTheme="minorEastAsia" w:hAnsiTheme="minorEastAsia" w:eastAsiaTheme="minorEastAsia"/>
                <w:color w:val="000000" w:themeColor="text1"/>
                <w:sz w:val="15"/>
                <w:szCs w:val="15"/>
                <w:highlight w:val="none"/>
                <w:shd w:val="clear" w:color="auto" w:fill="FFFFFF"/>
                <w:lang w:eastAsia="zh-CN"/>
                <w14:textFill>
                  <w14:solidFill>
                    <w14:schemeClr w14:val="tx1"/>
                  </w14:solidFill>
                </w14:textFill>
              </w:rPr>
              <w:t>系数为</w:t>
            </w:r>
            <w:r>
              <w:rPr>
                <w:rFonts w:hint="eastAsia" w:asciiTheme="minorEastAsia" w:hAnsiTheme="minorEastAsia" w:eastAsiaTheme="minorEastAsia"/>
                <w:color w:val="000000" w:themeColor="text1"/>
                <w:sz w:val="15"/>
                <w:szCs w:val="15"/>
                <w:highlight w:val="none"/>
                <w:shd w:val="clear" w:color="auto" w:fill="FFFFFF"/>
                <w:lang w:val="en-US" w:eastAsia="zh-CN"/>
                <w14:textFill>
                  <w14:solidFill>
                    <w14:schemeClr w14:val="tx1"/>
                  </w14:solidFill>
                </w14:textFill>
              </w:rPr>
              <w:t>4-7</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不改正或者</w:t>
            </w:r>
            <w:r>
              <w:rPr>
                <w:rFonts w:hint="eastAsia" w:asciiTheme="minorEastAsia" w:hAnsiTheme="minorEastAsia" w:eastAsiaTheme="minorEastAsia"/>
                <w:color w:val="000000" w:themeColor="text1"/>
                <w:sz w:val="15"/>
                <w:szCs w:val="15"/>
                <w:highlight w:val="none"/>
                <w14:textFill>
                  <w14:solidFill>
                    <w14:schemeClr w14:val="tx1"/>
                  </w14:solidFill>
                </w14:textFill>
              </w:rPr>
              <w:t>再次违反规定</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，或者造成严重后果的，视为情节严重。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9"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未单独堆放在生活垃圾分类管理责任人指定的地点，系数为0-1；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占地面积在5</w:t>
            </w:r>
            <w:r>
              <w:rPr>
                <w:rFonts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下</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的，系数为0；6－10</w:t>
            </w:r>
            <w:r>
              <w:rPr>
                <w:rFonts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警告（初次违反）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1.未单独投放在相应的容器或者生活垃圾分类管理责任人指定的地点，系数为0-1；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占地面积在5</w:t>
            </w:r>
            <w:r>
              <w:rPr>
                <w:rFonts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下</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的，系数为0；6－10</w:t>
            </w:r>
            <w:r>
              <w:rPr>
                <w:rFonts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1.未单独堆放在生活垃圾分类管理责任人指定的地点，系数为0-1；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2.占地面积在5</w:t>
            </w:r>
            <w:r>
              <w:rPr>
                <w:rFonts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下</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的，系数为0；6－10</w:t>
            </w:r>
            <w:r>
              <w:rPr>
                <w:rFonts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未建立生活垃圾分类日常管理制度</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1.同时存在第三十六条第一款第（一）、（二）、（三）、（四）、（六）项违法行为中2项行为的，系数为1-2；3项及以上行为的，系数为3-5；2</w:t>
            </w:r>
            <w:r>
              <w:rPr>
                <w:rFonts w:hint="default" w:asciiTheme="minorEastAsia" w:hAnsiTheme="minorEastAsia" w:eastAsiaTheme="minorEastAsia"/>
                <w:color w:val="000000" w:themeColor="text1"/>
                <w:sz w:val="15"/>
                <w:szCs w:val="15"/>
                <w:highlight w:val="none"/>
                <w:lang w:val="en-US"/>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生活垃圾分类</w:t>
            </w:r>
            <w:r>
              <w:rPr>
                <w:rFonts w:asciiTheme="minorEastAsia" w:hAnsiTheme="minorEastAsia" w:eastAsiaTheme="minorEastAsia"/>
                <w:color w:val="000000" w:themeColor="text1"/>
                <w:sz w:val="15"/>
                <w:szCs w:val="15"/>
                <w:highlight w:val="none"/>
                <w14:textFill>
                  <w14:solidFill>
                    <w14:schemeClr w14:val="tx1"/>
                  </w14:solidFill>
                </w14:textFill>
              </w:rPr>
              <w:t>管理责任人未履行法律规定</w:t>
            </w:r>
            <w:r>
              <w:rPr>
                <w:rFonts w:hint="eastAsia" w:asciiTheme="minorEastAsia" w:hAnsiTheme="minorEastAsia" w:eastAsiaTheme="minorEastAsia"/>
                <w:color w:val="000000" w:themeColor="text1"/>
                <w:sz w:val="15"/>
                <w:szCs w:val="15"/>
                <w:highlight w:val="none"/>
                <w14:textFill>
                  <w14:solidFill>
                    <w14:schemeClr w14:val="tx1"/>
                  </w14:solidFill>
                </w14:textFill>
              </w:rPr>
              <w:t>责任</w:t>
            </w:r>
            <w:r>
              <w:rPr>
                <w:rFonts w:asciiTheme="minorEastAsia" w:hAnsiTheme="minorEastAsia" w:eastAsiaTheme="minorEastAsia"/>
                <w:color w:val="000000" w:themeColor="text1"/>
                <w:sz w:val="15"/>
                <w:szCs w:val="15"/>
                <w:highlight w:val="none"/>
                <w14:textFill>
                  <w14:solidFill>
                    <w14:schemeClr w14:val="tx1"/>
                  </w14:solidFill>
                </w14:textFill>
              </w:rPr>
              <w:t>或</w:t>
            </w:r>
            <w:r>
              <w:rPr>
                <w:rFonts w:hint="eastAsia" w:asciiTheme="minorEastAsia" w:hAnsiTheme="minorEastAsia" w:eastAsiaTheme="minorEastAsia"/>
                <w:color w:val="000000" w:themeColor="text1"/>
                <w:sz w:val="15"/>
                <w:szCs w:val="15"/>
                <w:highlight w:val="none"/>
                <w14:textFill>
                  <w14:solidFill>
                    <w14:schemeClr w14:val="tx1"/>
                  </w14:solidFill>
                </w14:textFill>
              </w:rPr>
              <w:t>因生活垃圾分类收集容器配备不足造成垃圾满冒或随意堆放造成环境秩序较严重影响的，系数为3-5</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未开展宣传或未指定专人负责指导、监督垃圾分类工作</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未按规定设置生活垃圾分类收集容器</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未按规定管护生活垃圾分类收集容器</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未明确生活垃圾投放的时间、地点</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分类管理责任人未分类收集、贮存生活垃圾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40"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未及时制止翻拣、混合已分类生活垃圾的行为</w:t>
            </w:r>
          </w:p>
        </w:tc>
        <w:tc>
          <w:tcPr>
            <w:tcW w:w="2789"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将生活垃圾交由未经许可或者备案的企业和个人进行处置</w:t>
            </w:r>
          </w:p>
        </w:tc>
        <w:tc>
          <w:tcPr>
            <w:tcW w:w="2789"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1.违法行为持续时间较长，系数为2-3；2</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垃圾产生量较大，系数为3-4；</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14:textFill>
                  <w14:solidFill>
                    <w14:schemeClr w14:val="tx1"/>
                  </w14:solidFill>
                </w14:textFill>
              </w:rPr>
              <w:t>.造成环境秩序较严重影响的，</w:t>
            </w:r>
            <w:r>
              <w:rPr>
                <w:rFonts w:hint="eastAsia" w:asciiTheme="minorEastAsia" w:hAnsiTheme="minorEastAsia" w:eastAsiaTheme="minorEastAsia"/>
                <w:b w:val="0"/>
                <w:bCs w:val="0"/>
                <w:color w:val="000000" w:themeColor="text1"/>
                <w:sz w:val="15"/>
                <w:szCs w:val="15"/>
                <w:highlight w:val="none"/>
                <w:lang w:eastAsia="zh-CN"/>
                <w14:textFill>
                  <w14:solidFill>
                    <w14:schemeClr w14:val="tx1"/>
                  </w14:solidFill>
                </w14:textFill>
              </w:rPr>
              <w:t>系数</w:t>
            </w:r>
            <w:r>
              <w:rPr>
                <w:rFonts w:hint="eastAsia" w:asciiTheme="minorEastAsia" w:hAnsiTheme="minorEastAsia" w:eastAsiaTheme="minorEastAsia"/>
                <w:b w:val="0"/>
                <w:bCs w:val="0"/>
                <w:color w:val="000000" w:themeColor="text1"/>
                <w:sz w:val="15"/>
                <w:szCs w:val="15"/>
                <w:highlight w:val="none"/>
                <w:lang w:val="en-US" w:eastAsia="zh-CN"/>
                <w14:textFill>
                  <w14:solidFill>
                    <w14:schemeClr w14:val="tx1"/>
                  </w14:solidFill>
                </w14:textFill>
              </w:rPr>
              <w:t>5-9</w:t>
            </w:r>
            <w:r>
              <w:rPr>
                <w:rFonts w:hint="eastAsia" w:asciiTheme="minorEastAsia" w:hAnsiTheme="minorEastAsia" w:eastAsiaTheme="minorEastAsia"/>
                <w:b/>
                <w:bCs/>
                <w:color w:val="000000" w:themeColor="text1"/>
                <w:sz w:val="15"/>
                <w:szCs w:val="15"/>
                <w:highlight w:val="none"/>
                <w:lang w:val="en-US" w:eastAsia="zh-CN"/>
                <w14:textFill>
                  <w14:solidFill>
                    <w14:schemeClr w14:val="tx1"/>
                  </w14:solidFill>
                </w14:textFill>
              </w:rPr>
              <w:t>。</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餐饮服务单位未按规定收集、交运、处理厨余垃圾的行为，优先适用</w:t>
            </w:r>
            <w:r>
              <w:rPr>
                <w:rFonts w:hint="eastAsia" w:asciiTheme="minorEastAsia" w:hAnsiTheme="minorEastAsia" w:eastAsiaTheme="minorEastAsia"/>
                <w:color w:val="000000" w:themeColor="text1"/>
                <w:sz w:val="15"/>
                <w:szCs w:val="15"/>
                <w:highlight w:val="none"/>
                <w14:textFill>
                  <w14:solidFill>
                    <w14:schemeClr w14:val="tx1"/>
                  </w14:solidFill>
                </w14:textFill>
              </w:rPr>
              <w:t>第四十八条第二款的规定，依据第七十四条第一款予以处罚。</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分类管理责任人未办理生活垃圾排放登记</w:t>
            </w:r>
          </w:p>
        </w:tc>
        <w:tc>
          <w:tcPr>
            <w:tcW w:w="2789" w:type="dxa"/>
            <w:shd w:val="clear" w:color="auto" w:fill="auto"/>
            <w:vAlign w:val="center"/>
          </w:tcPr>
          <w:p>
            <w:pPr>
              <w:spacing w:line="20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造成环境秩序较严重影响的，系数</w:t>
            </w:r>
            <w:r>
              <w:rPr>
                <w:rFonts w:hint="eastAsia" w:asciiTheme="minorEastAsia" w:hAnsiTheme="minorEastAsia" w:eastAsiaTheme="minorEastAsia"/>
                <w:strike w:val="0"/>
                <w:dstrike w:val="0"/>
                <w:color w:val="000000" w:themeColor="text1"/>
                <w:spacing w:val="-4"/>
                <w:sz w:val="15"/>
                <w:szCs w:val="15"/>
                <w:highlight w:val="none"/>
                <w:lang w:val="en-US" w:eastAsia="zh-CN"/>
                <w14:textFill>
                  <w14:solidFill>
                    <w14:schemeClr w14:val="tx1"/>
                  </w14:solidFill>
                </w14:textFill>
              </w:rPr>
              <w:t>2-4</w:t>
            </w: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w:t>
            </w:r>
          </w:p>
        </w:tc>
        <w:tc>
          <w:tcPr>
            <w:tcW w:w="1785" w:type="dxa"/>
            <w:shd w:val="clear" w:color="auto" w:fill="auto"/>
            <w:vAlign w:val="center"/>
          </w:tcPr>
          <w:p>
            <w:pPr>
              <w:spacing w:line="20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分类管理责任人未如实办理生活垃圾排放登记</w:t>
            </w:r>
          </w:p>
        </w:tc>
        <w:tc>
          <w:tcPr>
            <w:tcW w:w="2789" w:type="dxa"/>
            <w:shd w:val="clear" w:color="auto" w:fill="auto"/>
            <w:vAlign w:val="center"/>
          </w:tcPr>
          <w:p>
            <w:pPr>
              <w:spacing w:line="20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1.排放登记内容每缺少一项，系数加1；2</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pacing w:val="-4"/>
                <w:sz w:val="15"/>
                <w:szCs w:val="15"/>
                <w:highlight w:val="none"/>
                <w:lang w:eastAsia="zh-CN"/>
                <w14:textFill>
                  <w14:solidFill>
                    <w14:schemeClr w14:val="tx1"/>
                  </w14:solidFill>
                </w14:textFill>
              </w:rPr>
              <w:t>登记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存在弄虚作假或其它较严重影响的情形，系数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分类管理责任人未建立生活垃圾管理台账</w:t>
            </w:r>
          </w:p>
        </w:tc>
        <w:tc>
          <w:tcPr>
            <w:tcW w:w="2789" w:type="dxa"/>
            <w:shd w:val="clear" w:color="auto" w:fill="auto"/>
            <w:vAlign w:val="center"/>
          </w:tcPr>
          <w:p>
            <w:pPr>
              <w:spacing w:line="20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.违法行为持续时间较长，垃圾产生量较</w:t>
            </w:r>
            <w:r>
              <w:rPr>
                <w:rFonts w:hint="eastAsia" w:asciiTheme="minorEastAsia" w:hAnsiTheme="minorEastAsia" w:eastAsiaTheme="minorEastAsia"/>
                <w:strike w:val="0"/>
                <w:dstrike w:val="0"/>
                <w:color w:val="000000" w:themeColor="text1"/>
                <w:spacing w:val="-4"/>
                <w:sz w:val="15"/>
                <w:szCs w:val="15"/>
                <w:highlight w:val="none"/>
                <w14:textFill>
                  <w14:solidFill>
                    <w14:schemeClr w14:val="tx1"/>
                  </w14:solidFill>
                </w14:textFill>
              </w:rPr>
              <w:t>大，系数为2-4；</w:t>
            </w:r>
            <w:r>
              <w:rPr>
                <w:rFonts w:hint="eastAsia" w:asciiTheme="minorEastAsia" w:hAnsiTheme="minorEastAsia" w:eastAsiaTheme="minorEastAsia"/>
                <w:strike w:val="0"/>
                <w:dstrike w:val="0"/>
                <w:color w:val="000000" w:themeColor="text1"/>
                <w:spacing w:val="-4"/>
                <w:sz w:val="15"/>
                <w:szCs w:val="15"/>
                <w:highlight w:val="none"/>
                <w:lang w:val="en-US" w:eastAsia="zh-CN"/>
                <w14:textFill>
                  <w14:solidFill>
                    <w14:schemeClr w14:val="tx1"/>
                  </w14:solidFill>
                </w14:textFill>
              </w:rPr>
              <w:t>2</w:t>
            </w:r>
            <w:r>
              <w:rPr>
                <w:rFonts w:hint="eastAsia" w:asciiTheme="minorEastAsia" w:hAnsiTheme="minorEastAsia" w:eastAsiaTheme="minorEastAsia"/>
                <w:strike w:val="0"/>
                <w:dstrike w:val="0"/>
                <w:color w:val="000000" w:themeColor="text1"/>
                <w:spacing w:val="-4"/>
                <w:sz w:val="15"/>
                <w:szCs w:val="15"/>
                <w:highlight w:val="none"/>
                <w14:textFill>
                  <w14:solidFill>
                    <w14:schemeClr w14:val="tx1"/>
                  </w14:solidFill>
                </w14:textFill>
              </w:rPr>
              <w:t>.造成环境秩序较严重影响的，系数5-9。</w:t>
            </w: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jc w:val="lef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17</w:t>
            </w:r>
          </w:p>
        </w:tc>
        <w:tc>
          <w:tcPr>
            <w:tcW w:w="1500"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分类管理责任人未如实记录生活垃圾排放情况</w:t>
            </w:r>
          </w:p>
        </w:tc>
        <w:tc>
          <w:tcPr>
            <w:tcW w:w="2789" w:type="dxa"/>
            <w:shd w:val="clear" w:color="auto" w:fill="auto"/>
            <w:vAlign w:val="center"/>
          </w:tcPr>
          <w:p>
            <w:pPr>
              <w:spacing w:line="20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0" w:lineRule="exact"/>
              <w:rPr>
                <w:rFonts w:hint="default" w:asciiTheme="minorEastAsia" w:hAnsiTheme="minorEastAsia" w:eastAsiaTheme="minorEastAsia"/>
                <w:color w:val="000000" w:themeColor="text1"/>
                <w:sz w:val="15"/>
                <w:szCs w:val="15"/>
                <w:highlight w:val="none"/>
                <w:lang w:val="en-US"/>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1.台账未记录实际产生的生活垃圾的种类、数量、运输者、去向等情况，系数为记录内容</w:t>
            </w:r>
            <w:r>
              <w:rPr>
                <w:rFonts w:asciiTheme="minorEastAsia" w:hAnsiTheme="minorEastAsia" w:eastAsiaTheme="minorEastAsia"/>
                <w:color w:val="000000" w:themeColor="text1"/>
                <w:sz w:val="15"/>
                <w:szCs w:val="15"/>
                <w:highlight w:val="none"/>
                <w14:textFill>
                  <w14:solidFill>
                    <w14:schemeClr w14:val="tx1"/>
                  </w14:solidFill>
                </w14:textFill>
              </w:rPr>
              <w:t>每</w:t>
            </w:r>
            <w:r>
              <w:rPr>
                <w:rFonts w:hint="eastAsia" w:asciiTheme="minorEastAsia" w:hAnsiTheme="minorEastAsia" w:eastAsiaTheme="minorEastAsia"/>
                <w:color w:val="000000" w:themeColor="text1"/>
                <w:sz w:val="15"/>
                <w:szCs w:val="15"/>
                <w:highlight w:val="none"/>
                <w14:textFill>
                  <w14:solidFill>
                    <w14:schemeClr w14:val="tx1"/>
                  </w14:solidFill>
                </w14:textFill>
              </w:rPr>
              <w:t>缺少1项</w:t>
            </w:r>
            <w:r>
              <w:rPr>
                <w:rFonts w:asciiTheme="minorEastAsia" w:hAnsiTheme="minorEastAsia" w:eastAsiaTheme="minorEastAsia"/>
                <w:color w:val="000000" w:themeColor="text1"/>
                <w:sz w:val="15"/>
                <w:szCs w:val="15"/>
                <w:highlight w:val="none"/>
                <w14:textFill>
                  <w14:solidFill>
                    <w14:schemeClr w14:val="tx1"/>
                  </w14:solidFill>
                </w14:textFill>
              </w:rPr>
              <w:t>系数加</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pacing w:val="-4"/>
                <w:sz w:val="15"/>
                <w:szCs w:val="15"/>
                <w:highlight w:val="none"/>
                <w:lang w:eastAsia="zh-CN"/>
                <w14:textFill>
                  <w14:solidFill>
                    <w14:schemeClr w14:val="tx1"/>
                  </w14:solidFill>
                </w14:textFill>
              </w:rPr>
              <w:t>记录</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存在弄虚作假或其它较严重影响的情形，系数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收集、运输单位未按时、分类收集、运输生活垃圾</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系数为1-2。</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次</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19</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生活垃圾收集工具、运输车辆、人员不符合要求</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1.工具、车辆、人员其中两类不符合要求的，系数1；2.工具、车辆、人员都不符合要求的，系数2。</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1.造成泄漏遗撒的，按照专项案由从重处罚。</w:t>
            </w:r>
          </w:p>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次</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收集、运输单位未按要求将生活垃圾运输至集中收集设施或者转运、处理设施</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跨省际运输的，系数为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w:t>
            </w:r>
            <w:r>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t>2.</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违规运输车辆较多（5辆及以上），</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w:t>
            </w:r>
            <w:r>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使用非自有车辆或者使用不合规车辆的，系数为1-3;</w:t>
            </w:r>
            <w:r>
              <w:rPr>
                <w:rFonts w:hint="default" w:asciiTheme="minorEastAsia" w:hAnsiTheme="minorEastAsia" w:eastAsiaTheme="minorEastAsia"/>
                <w:color w:val="000000" w:themeColor="text1"/>
                <w:sz w:val="15"/>
                <w:szCs w:val="15"/>
                <w:highlight w:val="none"/>
                <w:lang w:val="en-US"/>
                <w14:textFill>
                  <w14:solidFill>
                    <w14:schemeClr w14:val="tx1"/>
                  </w14:solidFill>
                </w14:textFill>
              </w:rPr>
              <w:t>4</w:t>
            </w:r>
            <w:r>
              <w:rPr>
                <w:rFonts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造成环境秩序较严重影响的，系数6-9。</w:t>
            </w:r>
          </w:p>
        </w:tc>
        <w:tc>
          <w:tcPr>
            <w:tcW w:w="1785"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次</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收集、运输单位将生活垃圾混装混运</w:t>
            </w: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1.将厨余垃圾混装混运，系数为1；</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2.将有害垃圾混装混运，系数为2；</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违规运输车辆较多（5辆及以上），</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w:t>
            </w:r>
            <w:r>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t>4.</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使用非自有车辆或者使用不合规车辆的，系数为1-3;</w:t>
            </w:r>
            <w:r>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t>5</w:t>
            </w:r>
            <w:r>
              <w:rPr>
                <w:rFonts w:hint="eastAsia" w:asciiTheme="minorEastAsia" w:hAnsiTheme="minorEastAsia" w:eastAsiaTheme="minorEastAsia"/>
                <w:color w:val="000000" w:themeColor="text1"/>
                <w:sz w:val="15"/>
                <w:szCs w:val="15"/>
                <w:highlight w:val="none"/>
                <w14:textFill>
                  <w14:solidFill>
                    <w14:schemeClr w14:val="tx1"/>
                  </w14:solidFill>
                </w14:textFill>
              </w:rPr>
              <w:t>.对环境秩序造成较严重影响的，系数6-9。</w:t>
            </w:r>
          </w:p>
        </w:tc>
        <w:tc>
          <w:tcPr>
            <w:tcW w:w="17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continue"/>
            <w:shd w:val="clear" w:color="auto" w:fill="auto"/>
            <w:vAlign w:val="center"/>
          </w:tcPr>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收集、运输单位随意倾倒、丢弃、遗撒、堆放生活垃圾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污染道路长21－30米的，系数1；31－40米的，系数2；以此类推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米及以上的，系数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p>
          <w:p>
            <w:pPr>
              <w:widowControl w:val="0"/>
              <w:numPr>
                <w:ilvl w:val="0"/>
                <w:numId w:val="0"/>
              </w:numPr>
              <w:jc w:val="both"/>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2.垃圾占地面积在5㎡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下的，系数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0；6－10㎡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p>
          <w:p>
            <w:pPr>
              <w:widowControl w:val="0"/>
              <w:numPr>
                <w:ilvl w:val="0"/>
                <w:numId w:val="0"/>
              </w:numPr>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随意倾倒、丢弃、</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遗撒、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堆放至城市道路、绿地、林地、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耕地、公厕、河道、铁路、轨道交通、桥下空间等公共场所及周边</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、石油长输管道、供水、排水、电力、通信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等公用管道和设施保护（管理）范围的，系数为3；</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倾倒、丢弃、堆放生活</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垃圾</w:t>
            </w:r>
            <w:r>
              <w:rPr>
                <w:rFonts w:hint="eastAsia" w:asciiTheme="minorEastAsia" w:hAnsiTheme="minorEastAsia" w:eastAsiaTheme="minorEastAsia"/>
                <w:color w:val="000000" w:themeColor="text1"/>
                <w:sz w:val="15"/>
                <w:szCs w:val="15"/>
                <w:highlight w:val="none"/>
                <w14:textFill>
                  <w14:solidFill>
                    <w14:schemeClr w14:val="tx1"/>
                  </w14:solidFill>
                </w14:textFill>
              </w:rPr>
              <w:t>总量较大、违法行为持续时间较长，系数4-6；</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w:t>
            </w:r>
            <w:r>
              <w:rPr>
                <w:rFonts w:hint="eastAsia" w:asciiTheme="minorEastAsia" w:hAnsiTheme="minorEastAsia" w:eastAsiaTheme="minorEastAsia"/>
                <w:color w:val="000000" w:themeColor="text1"/>
                <w:sz w:val="15"/>
                <w:szCs w:val="15"/>
                <w:highlight w:val="none"/>
                <w14:textFill>
                  <w14:solidFill>
                    <w14:schemeClr w14:val="tx1"/>
                  </w14:solidFill>
                </w14:textFill>
              </w:rPr>
              <w:t>.对环境秩序造成较严重影响的，系数6-9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次</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9"/>
              <w:rPr>
                <w:color w:val="000000" w:themeColor="text1"/>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区域台帐与变量系数中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倾倒、丢弃、</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遗撒、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点位重叠时，</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不</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适用区域系数。</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收集、运输单位未落实生活垃圾管理</w:t>
            </w: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台</w:t>
            </w:r>
            <w:r>
              <w:rPr>
                <w:rFonts w:hint="eastAsia" w:asciiTheme="minorEastAsia" w:hAnsiTheme="minorEastAsia" w:eastAsiaTheme="minorEastAsia"/>
                <w:color w:val="000000" w:themeColor="text1"/>
                <w:sz w:val="15"/>
                <w:szCs w:val="15"/>
                <w:highlight w:val="none"/>
                <w:shd w:val="clear"/>
                <w:lang w:eastAsia="zh-CN"/>
                <w14:textFill>
                  <w14:solidFill>
                    <w14:schemeClr w14:val="tx1"/>
                  </w14:solidFill>
                </w14:textFill>
              </w:rPr>
              <w:t>账</w:t>
            </w:r>
            <w:r>
              <w:rPr>
                <w:rFonts w:hint="eastAsia" w:asciiTheme="minorEastAsia" w:hAnsiTheme="minorEastAsia" w:eastAsiaTheme="minorEastAsia"/>
                <w:color w:val="000000" w:themeColor="text1"/>
                <w:sz w:val="15"/>
                <w:szCs w:val="15"/>
                <w:highlight w:val="none"/>
                <w14:textFill>
                  <w14:solidFill>
                    <w14:schemeClr w14:val="tx1"/>
                  </w14:solidFill>
                </w14:textFill>
              </w:rPr>
              <w:t>制度</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1.已建立</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台账</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而记录内容不完整的，系数为0-</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；2.未建立</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台账</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，系数为3-</w:t>
            </w: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；3.台账记录存在弄虚作假或其它较严重影响的情形，系数7-9。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1.存在下列情形的，可视为“情节严重”</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：一年内因同类违法行为，受到城管执法机关</w:t>
            </w:r>
            <w:r>
              <w:rPr>
                <w:rFonts w:hint="default" w:cs="宋体" w:asciiTheme="minorEastAsia" w:hAnsiTheme="minorEastAsia" w:eastAsiaTheme="minorEastAsia"/>
                <w:b w:val="0"/>
                <w:bCs w:val="0"/>
                <w:strike w:val="0"/>
                <w:dstrike w:val="0"/>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次</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罚款处罚后又发生同类违法行为的；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未按规定接收、分类处理生活垃圾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造成较大社会影响</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未按规定交运、处理建筑垃圾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违法行为持续时间较长、建筑垃圾产生量较大、造成环境秩序较严重影响的，系数4-9。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本案由适用于建设工程的建设单位、拆除工程的承担单位；涉及施工单位</w:t>
            </w: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未按规定交运、处理建筑垃圾</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的，可适用《北京市建筑垃圾处置管理规定》中“施工单位未按照规定对施工过程中产生的建筑垃圾进行资源化利用或者处置”等案由。</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餐饮服务单位未按规定收集、处理厨余垃圾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.将厨余垃圾随意倾倒、丢弃、堆放</w:t>
            </w: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至</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城市道路、绿地、林地、</w:t>
            </w:r>
            <w:r>
              <w:rPr>
                <w:rFonts w:hint="eastAsia" w:cs="宋体" w:asciiTheme="minorEastAsia" w:hAnsi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河道、铁路、轨道交通、公厕、桥下空间等公共场所及周边，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燃气、供暖、石油长输管道、供水、排水、电力、通信等公用管道和设施保护（管理）范围的，系数为3</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厨余垃圾总量较大、持续时间较长、对环境秩序造成较严重影响的，系数3-9；</w:t>
            </w:r>
            <w:r>
              <w:rPr>
                <w:rFonts w:hint="default" w:cs="宋体" w:asciiTheme="minorEastAsia" w:hAnsiTheme="minorEastAsia" w:eastAsiaTheme="minorEastAsia"/>
                <w:color w:val="000000" w:themeColor="text1"/>
                <w:spacing w:val="-4"/>
                <w:kern w:val="0"/>
                <w:sz w:val="15"/>
                <w:szCs w:val="15"/>
                <w:highlight w:val="none"/>
                <w:lang w:val="en-US"/>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27</w:t>
            </w:r>
          </w:p>
        </w:tc>
        <w:tc>
          <w:tcPr>
            <w:tcW w:w="1500" w:type="dxa"/>
            <w:shd w:val="clear" w:color="auto" w:fill="auto"/>
            <w:vAlign w:val="center"/>
          </w:tcPr>
          <w:p>
            <w:pPr>
              <w:spacing w:line="193"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无资质单位和个人擅自收集、运输厨余垃圾</w:t>
            </w:r>
          </w:p>
        </w:tc>
        <w:tc>
          <w:tcPr>
            <w:tcW w:w="2789" w:type="dxa"/>
            <w:shd w:val="clear" w:color="auto" w:fill="auto"/>
            <w:vAlign w:val="center"/>
          </w:tcPr>
          <w:p>
            <w:pPr>
              <w:spacing w:line="193"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193"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pPr>
              <w:spacing w:line="193"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93" w:lineRule="exact"/>
              <w:rPr>
                <w:rFonts w:cs="宋体" w:asciiTheme="minorEastAsia" w:hAnsiTheme="minorEastAsia" w:eastAsiaTheme="minorEastAsia"/>
                <w:color w:val="000000" w:themeColor="text1"/>
                <w:kern w:val="0"/>
                <w:sz w:val="14"/>
                <w:szCs w:val="14"/>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1.存在下列情形的，可视为“情节严重”：</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一年内因同类违法行为，受到城管执法机关</w:t>
            </w:r>
            <w:r>
              <w:rPr>
                <w:rFonts w:hint="default" w:cs="宋体" w:asciiTheme="minorEastAsia" w:hAnsiTheme="minorEastAsia" w:eastAsiaTheme="minorEastAsia"/>
                <w:b w:val="0"/>
                <w:bCs w:val="0"/>
                <w:strike w:val="0"/>
                <w:dstrike w:val="0"/>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次</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罚款处罚后又发生同类违法行为的；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处理生活垃圾总量较大、持续时间较长，系数2-3；</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1.存在下列情形的，可视为“情节严重”：</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一年内因同类违法行为，受到城管执法机关</w:t>
            </w:r>
            <w:r>
              <w:rPr>
                <w:rFonts w:hint="default" w:cs="宋体" w:asciiTheme="minorEastAsia" w:hAnsiTheme="minorEastAsia" w:eastAsiaTheme="minorEastAsia"/>
                <w:b w:val="0"/>
                <w:bCs w:val="0"/>
                <w:strike w:val="0"/>
                <w:dstrike w:val="0"/>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次</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罚款处罚后又发生同类违法行为的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pacing w:val="0"/>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0"/>
                <w:sz w:val="15"/>
                <w:szCs w:val="15"/>
                <w:highlight w:val="none"/>
                <w14:textFill>
                  <w14:solidFill>
                    <w14:schemeClr w14:val="tx1"/>
                  </w14:solidFill>
                </w14:textFill>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1.未建立检测档案，系数为0-2； </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2.未设置化验室或者委托专业化验机构，对生活垃圾、渗沥液等处理过程中常规参数进行检测，系数为3-6；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情节严重的，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w:t>
            </w:r>
            <w:r>
              <w:rPr>
                <w:rFonts w:hint="eastAsia" w:asciiTheme="minorEastAsia" w:hAnsiTheme="minorEastAsia" w:eastAsiaTheme="minorEastAsia"/>
                <w:color w:val="000000" w:themeColor="text1"/>
                <w:sz w:val="15"/>
                <w:szCs w:val="15"/>
                <w:highlight w:val="none"/>
                <w14:textFill>
                  <w14:solidFill>
                    <w14:schemeClr w14:val="tx1"/>
                  </w14:solidFill>
                </w14:textFill>
              </w:rPr>
              <w:t>责令停业或者关闭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的，要邀请职权划出部门共同会商；对于可能影响公共利益的，提请职权划出部门拟定接管方案后，</w:t>
            </w:r>
            <w:r>
              <w:rPr>
                <w:rFonts w:hint="eastAsia" w:asciiTheme="minorEastAsia" w:hAnsiTheme="minorEastAsia" w:eastAsiaTheme="minorEastAsia"/>
                <w:color w:val="000000" w:themeColor="text1"/>
                <w:sz w:val="15"/>
                <w:szCs w:val="15"/>
                <w:highlight w:val="none"/>
                <w14:textFill>
                  <w14:solidFill>
                    <w14:schemeClr w14:val="tx1"/>
                  </w14:solidFill>
                </w14:textFill>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pacing w:val="0"/>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0"/>
                <w:sz w:val="15"/>
                <w:szCs w:val="15"/>
                <w:highlight w:val="none"/>
                <w14:textFill>
                  <w14:solidFill>
                    <w14:schemeClr w14:val="tx1"/>
                  </w14:solidFill>
                </w14:textFill>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1.未对生活垃圾处理设施相关指标进行检测，系数为0-2； 2.未按照要求建设在线监管系统，系数为3-6；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情节严重的，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w:t>
            </w:r>
            <w:r>
              <w:rPr>
                <w:rFonts w:hint="eastAsia" w:asciiTheme="minorEastAsia" w:hAnsiTheme="minorEastAsia" w:eastAsiaTheme="minorEastAsia"/>
                <w:color w:val="000000" w:themeColor="text1"/>
                <w:sz w:val="15"/>
                <w:szCs w:val="15"/>
                <w:highlight w:val="none"/>
                <w14:textFill>
                  <w14:solidFill>
                    <w14:schemeClr w14:val="tx1"/>
                  </w14:solidFill>
                </w14:textFill>
              </w:rPr>
              <w:t>责令停业或者关闭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的，要邀请职权划出部门共同会商；对于可能影响公共利益的，提请职权划出部门拟定接管方案后，</w:t>
            </w:r>
            <w:r>
              <w:rPr>
                <w:rFonts w:hint="eastAsia" w:asciiTheme="minorEastAsia" w:hAnsiTheme="minorEastAsia" w:eastAsiaTheme="minorEastAsia"/>
                <w:color w:val="000000" w:themeColor="text1"/>
                <w:sz w:val="15"/>
                <w:szCs w:val="15"/>
                <w:highlight w:val="none"/>
                <w14:textFill>
                  <w14:solidFill>
                    <w14:schemeClr w14:val="tx1"/>
                  </w14:solidFill>
                </w14:textFill>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pacing w:val="0"/>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0"/>
                <w:sz w:val="15"/>
                <w:szCs w:val="15"/>
                <w:highlight w:val="none"/>
                <w14:textFill>
                  <w14:solidFill>
                    <w14:schemeClr w14:val="tx1"/>
                  </w14:solidFill>
                </w14:textFill>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1.未将检测数据传送至生活垃圾管理信息系统，系数为0-2；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2.长期未按要求传送，未如实传送数据的，系数3-6；</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情节严重的，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w:t>
            </w:r>
            <w:r>
              <w:rPr>
                <w:rFonts w:hint="eastAsia" w:asciiTheme="minorEastAsia" w:hAnsiTheme="minorEastAsia" w:eastAsiaTheme="minorEastAsia"/>
                <w:color w:val="000000" w:themeColor="text1"/>
                <w:sz w:val="15"/>
                <w:szCs w:val="15"/>
                <w:highlight w:val="none"/>
                <w14:textFill>
                  <w14:solidFill>
                    <w14:schemeClr w14:val="tx1"/>
                  </w14:solidFill>
                </w14:textFill>
              </w:rPr>
              <w:t>责令停业或者关闭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的，要邀请职权划出部门共同会商；对于可能影响公共利益的，提请职权划出部门拟定接管方案后，</w:t>
            </w:r>
            <w:r>
              <w:rPr>
                <w:rFonts w:hint="eastAsia" w:asciiTheme="minorEastAsia" w:hAnsiTheme="minorEastAsia" w:eastAsiaTheme="minorEastAsia"/>
                <w:color w:val="000000" w:themeColor="text1"/>
                <w:sz w:val="15"/>
                <w:szCs w:val="15"/>
                <w:highlight w:val="none"/>
                <w14:textFill>
                  <w14:solidFill>
                    <w14:schemeClr w14:val="tx1"/>
                  </w14:solidFill>
                </w14:textFill>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未落实生活垃圾处理台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账</w:t>
            </w:r>
            <w:r>
              <w:rPr>
                <w:rFonts w:hint="eastAsia" w:asciiTheme="minorEastAsia" w:hAnsiTheme="minorEastAsia" w:eastAsiaTheme="minorEastAsia"/>
                <w:color w:val="000000" w:themeColor="text1"/>
                <w:sz w:val="15"/>
                <w:szCs w:val="15"/>
                <w:highlight w:val="none"/>
                <w14:textFill>
                  <w14:solidFill>
                    <w14:schemeClr w14:val="tx1"/>
                  </w14:solidFill>
                </w14:textFill>
              </w:rPr>
              <w:t>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1.存在下列情形的，可视为“情节严重”：</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一年内因同类违法行为，受到城管执法机关</w:t>
            </w:r>
            <w:r>
              <w:rPr>
                <w:rFonts w:hint="default" w:cs="宋体" w:asciiTheme="minorEastAsia" w:hAnsiTheme="minorEastAsia" w:eastAsiaTheme="minorEastAsia"/>
                <w:b w:val="0"/>
                <w:bCs w:val="0"/>
                <w:strike w:val="0"/>
                <w:dstrike w:val="0"/>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次</w:t>
            </w: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罚款处罚后又发生同类违法行为的；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34</w:t>
            </w:r>
          </w:p>
        </w:tc>
        <w:tc>
          <w:tcPr>
            <w:tcW w:w="1500"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1.未按要求公开数据的，系数0-2；2.长期未公开数据，系数3-6；</w:t>
            </w:r>
          </w:p>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情节严重的，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w:t>
            </w:r>
            <w:r>
              <w:rPr>
                <w:rFonts w:hint="eastAsia" w:asciiTheme="minorEastAsia" w:hAnsiTheme="minorEastAsia" w:eastAsiaTheme="minorEastAsia"/>
                <w:color w:val="000000" w:themeColor="text1"/>
                <w:sz w:val="15"/>
                <w:szCs w:val="15"/>
                <w:highlight w:val="none"/>
                <w14:textFill>
                  <w14:solidFill>
                    <w14:schemeClr w14:val="tx1"/>
                  </w14:solidFill>
                </w14:textFill>
              </w:rPr>
              <w:t>责令停业或者关闭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的，要邀请职权划出部门共同会商；对于可能影响公共利益的，提请职权划出部门拟定接管方案后，</w:t>
            </w:r>
            <w:r>
              <w:rPr>
                <w:rFonts w:hint="eastAsia" w:asciiTheme="minorEastAsia" w:hAnsiTheme="minorEastAsia" w:eastAsiaTheme="minorEastAsia"/>
                <w:color w:val="000000" w:themeColor="text1"/>
                <w:sz w:val="15"/>
                <w:szCs w:val="15"/>
                <w:highlight w:val="none"/>
                <w14:textFill>
                  <w14:solidFill>
                    <w14:schemeClr w14:val="tx1"/>
                  </w14:solidFill>
                </w14:textFill>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1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生活垃圾集中转运、处理设施的运行管理单位</w:t>
            </w:r>
            <w:r>
              <w:rPr>
                <w:rFonts w:hint="eastAsia" w:asciiTheme="minorEastAsia" w:hAnsiTheme="minorEastAsia" w:eastAsiaTheme="minorEastAsia"/>
                <w:color w:val="000000" w:themeColor="text1"/>
                <w:sz w:val="15"/>
                <w:szCs w:val="15"/>
                <w:highlight w:val="none"/>
                <w14:textFill>
                  <w14:solidFill>
                    <w14:schemeClr w14:val="tx1"/>
                  </w14:solidFill>
                </w14:textFill>
              </w:rPr>
              <w:t>未按要求</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配套建设相应的参观、宣传设施</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或者未</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占地面积10</w:t>
            </w:r>
            <w:r>
              <w:rPr>
                <w:rFonts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以下系数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0，11－15</w:t>
            </w:r>
            <w:r>
              <w:rPr>
                <w:rFonts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1，16－20</w:t>
            </w:r>
            <w:r>
              <w:rPr>
                <w:rFonts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4。</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1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10" w:name="_Toc726075658"/>
            <w:bookmarkStart w:id="11" w:name="_Toc110851438"/>
            <w:bookmarkStart w:id="12" w:name="_Toc1887098234"/>
            <w:r>
              <w:rPr>
                <w:rFonts w:hint="eastAsia" w:asciiTheme="minorEastAsia" w:hAnsiTheme="minorEastAsia" w:eastAsiaTheme="minorEastAsia"/>
                <w:color w:val="000000" w:themeColor="text1"/>
                <w:sz w:val="20"/>
                <w:szCs w:val="20"/>
                <w:highlight w:val="none"/>
                <w14:textFill>
                  <w14:solidFill>
                    <w14:schemeClr w14:val="tx1"/>
                  </w14:solidFill>
                </w14:textFill>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未按规定缴纳城市生活垃圾处理费</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按照规定执行。</w:t>
            </w:r>
          </w:p>
        </w:tc>
        <w:tc>
          <w:tcPr>
            <w:tcW w:w="824"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未按规定配套建设城市生活垃圾收集设施</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1.发生在</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车站、机场、居民小区、医院、学校、体育场馆、影剧院、繁华商业街区、旅游景区等人口集中地区的，系数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3-5；</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造成较大社会影响或者严重后果的其它情形，系数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6</w:t>
            </w:r>
            <w:r>
              <w:rPr>
                <w:rFonts w:hint="eastAsia"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0"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拟作出1000元以下罚款，说明理由并报案审会决定。</w:t>
            </w:r>
          </w:p>
          <w:p>
            <w:pP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spacing w:line="200"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擅自关闭、闲置或者拆除城市生活垃圾处置设施、场所</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1.位于</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车站、机场、居民小区、医院、学校、体育场馆、影剧院、繁华商业街区、旅游景区等人口集中地区的，系数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3-5；2.涉及</w:t>
            </w:r>
            <w:r>
              <w:rPr>
                <w:rFonts w:hint="eastAsia" w:asciiTheme="minorEastAsia" w:hAnsiTheme="minorEastAsia" w:eastAsiaTheme="minorEastAsia"/>
                <w:color w:val="000000" w:themeColor="text1"/>
                <w:sz w:val="15"/>
                <w:szCs w:val="15"/>
                <w:highlight w:val="none"/>
                <w14:textFill>
                  <w14:solidFill>
                    <w14:schemeClr w14:val="tx1"/>
                  </w14:solidFill>
                </w14:textFill>
              </w:rPr>
              <w:t>集中处理设施和场所</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，或者</w:t>
            </w:r>
            <w:r>
              <w:rPr>
                <w:rFonts w:hint="eastAsia" w:asciiTheme="minorEastAsia" w:hAnsiTheme="minorEastAsia" w:eastAsiaTheme="minorEastAsia"/>
                <w:color w:val="000000" w:themeColor="text1"/>
                <w:sz w:val="15"/>
                <w:szCs w:val="15"/>
                <w:highlight w:val="none"/>
                <w14:textFill>
                  <w14:solidFill>
                    <w14:schemeClr w14:val="tx1"/>
                  </w14:solidFill>
                </w14:textFill>
              </w:rPr>
              <w:t>较大餐饮服务单位</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大型蔬菜果品批发市场、物流配送中心</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等</w:t>
            </w:r>
            <w:r>
              <w:rPr>
                <w:rFonts w:hint="eastAsia" w:asciiTheme="minorEastAsia" w:hAnsiTheme="minorEastAsia" w:eastAsiaTheme="minorEastAsia"/>
                <w:color w:val="000000" w:themeColor="text1"/>
                <w:sz w:val="15"/>
                <w:szCs w:val="15"/>
                <w:highlight w:val="none"/>
                <w14:textFill>
                  <w14:solidFill>
                    <w14:schemeClr w14:val="tx1"/>
                  </w14:solidFill>
                </w14:textFill>
              </w:rPr>
              <w:t>违法</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的，</w:t>
            </w:r>
            <w:r>
              <w:rPr>
                <w:rFonts w:hint="eastAsia"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6</w:t>
            </w:r>
            <w:r>
              <w:rPr>
                <w:rFonts w:hint="eastAsia"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.造成较大社会影响或者严重后果的其它情形，系数</w:t>
            </w:r>
            <w:r>
              <w:rPr>
                <w:rFonts w:hint="eastAsia" w:asciiTheme="minorEastAsia" w:hAnsiTheme="minorEastAsia" w:eastAsiaTheme="minorEastAsia"/>
                <w:strike w:val="0"/>
                <w:dstrike w:val="0"/>
                <w:color w:val="000000" w:themeColor="text1"/>
                <w:sz w:val="15"/>
                <w:szCs w:val="15"/>
                <w:highlight w:val="none"/>
                <w:lang w:val="en-US" w:eastAsia="zh-CN"/>
                <w14:textFill>
                  <w14:solidFill>
                    <w14:schemeClr w14:val="tx1"/>
                  </w14:solidFill>
                </w14:textFill>
              </w:rPr>
              <w:t>6</w:t>
            </w: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-9</w:t>
            </w:r>
            <w:r>
              <w:rPr>
                <w:rFonts w:hint="eastAsia" w:asciiTheme="minorEastAsia" w:hAnsiTheme="minorEastAsia" w:eastAsiaTheme="minorEastAsia"/>
                <w:strike w:val="0"/>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spacing w:line="200" w:lineRule="exact"/>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14:textFill>
                  <w14:solidFill>
                    <w14:schemeClr w14:val="tx1"/>
                  </w14:solidFill>
                </w14:textFill>
              </w:rPr>
              <w:t>4</w:t>
            </w:r>
          </w:p>
        </w:tc>
        <w:tc>
          <w:tcPr>
            <w:tcW w:w="1500" w:type="dxa"/>
            <w:vMerge w:val="restart"/>
            <w:shd w:val="clear" w:color="auto" w:fill="auto"/>
            <w:vAlign w:val="center"/>
          </w:tcPr>
          <w:p>
            <w:pPr>
              <w:spacing w:line="200" w:lineRule="exact"/>
              <w:rPr>
                <w:rFonts w:asciiTheme="minorEastAsia" w:hAnsiTheme="minorEastAsia" w:eastAsiaTheme="minorEastAsia"/>
                <w:b w:val="0"/>
                <w:bCs w:val="0"/>
                <w:color w:val="000000" w:themeColor="text1"/>
                <w:sz w:val="15"/>
                <w:szCs w:val="15"/>
                <w:highlight w:val="none"/>
                <w14:textFill>
                  <w14:solidFill>
                    <w14:schemeClr w14:val="tx1"/>
                  </w14:solidFill>
                </w14:textFill>
              </w:rPr>
            </w:pP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随意倾倒、抛洒、堆放城市生活垃圾</w:t>
            </w:r>
          </w:p>
        </w:tc>
        <w:tc>
          <w:tcPr>
            <w:tcW w:w="2789" w:type="dxa"/>
            <w:vMerge w:val="restart"/>
            <w:shd w:val="clear" w:color="auto" w:fill="auto"/>
            <w:vAlign w:val="center"/>
          </w:tcPr>
          <w:p>
            <w:pPr>
              <w:spacing w:line="20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p>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（单位）</w:t>
            </w:r>
          </w:p>
        </w:tc>
        <w:tc>
          <w:tcPr>
            <w:tcW w:w="840" w:type="dxa"/>
            <w:shd w:val="clear" w:color="auto" w:fill="auto"/>
            <w:vAlign w:val="center"/>
          </w:tcPr>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1.污染道路</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长度</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米及以上的，系数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垃圾占地面积在5㎡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下的，系数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0；6－10㎡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随意倾倒、</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抛洒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、堆放至城市道路、绿地、林地、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、公厕、河道、铁路、轨道交通、桥下空间等公共场所及周边，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燃气、供暖、石油长输管道、供水、排水、电力、通信等公用管道和设施保护（管理）范围的，系数为3；</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w:t>
            </w:r>
            <w:r>
              <w:rPr>
                <w:rFonts w:hint="eastAsia" w:asciiTheme="minorEastAsia" w:hAnsiTheme="minorEastAsia" w:eastAsiaTheme="minorEastAsia"/>
                <w:color w:val="000000" w:themeColor="text1"/>
                <w:sz w:val="15"/>
                <w:szCs w:val="15"/>
                <w:highlight w:val="none"/>
                <w14:textFill>
                  <w14:solidFill>
                    <w14:schemeClr w14:val="tx1"/>
                  </w14:solidFill>
                </w14:textFill>
              </w:rPr>
              <w:t>倾倒、丢弃、堆放生活</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垃圾</w:t>
            </w:r>
            <w:r>
              <w:rPr>
                <w:rFonts w:hint="eastAsia" w:asciiTheme="minorEastAsia" w:hAnsiTheme="minorEastAsia" w:eastAsiaTheme="minorEastAsia"/>
                <w:color w:val="000000" w:themeColor="text1"/>
                <w:sz w:val="15"/>
                <w:szCs w:val="15"/>
                <w:highlight w:val="none"/>
                <w14:textFill>
                  <w14:solidFill>
                    <w14:schemeClr w14:val="tx1"/>
                  </w14:solidFill>
                </w14:textFill>
              </w:rPr>
              <w:t>总量较大、违法行为持续时间较长，系数4-6；</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w:t>
            </w:r>
            <w:r>
              <w:rPr>
                <w:rFonts w:hint="eastAsia" w:asciiTheme="minorEastAsia" w:hAnsiTheme="minorEastAsia" w:eastAsiaTheme="minorEastAsia"/>
                <w:color w:val="000000" w:themeColor="text1"/>
                <w:sz w:val="15"/>
                <w:szCs w:val="15"/>
                <w:highlight w:val="none"/>
                <w14:textFill>
                  <w14:solidFill>
                    <w14:schemeClr w14:val="tx1"/>
                  </w14:solidFill>
                </w14:textFill>
              </w:rPr>
              <w:t>.对环境秩序造成较严重影响的，系数6-9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倾倒、</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抛洒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点位重叠时，不适用区域系数。</w:t>
            </w:r>
          </w:p>
        </w:tc>
        <w:tc>
          <w:tcPr>
            <w:tcW w:w="824" w:type="dxa"/>
            <w:vMerge w:val="restart"/>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（个人）</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根据实际情况处罚</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未经批准从事城市生活垃圾经营性清扫、收集、运输活动</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未经批准从事城市生活垃圾经营性处置活动</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从事城市生活垃圾经营性清扫、收集、运输的企业在运输过程中沿途丢弃、遗撒生活垃圾</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污染道路长21－30米的，系数1；31－40米的，系数2；以此类推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2.随意丢弃、</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遗撒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至城市道路、绿地、林地、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、公厕、河道、铁路、轨道交通、桥下空间等公共场所及周边，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燃气、供暖、石油长输管道、供水、排水、电力、通信等公用管道和设施保护（管理）范围的，系数为3；3.</w:t>
            </w:r>
            <w:r>
              <w:rPr>
                <w:rFonts w:hint="eastAsia" w:asciiTheme="minorEastAsia" w:hAnsiTheme="minorEastAsia" w:eastAsiaTheme="minorEastAsia"/>
                <w:color w:val="000000" w:themeColor="text1"/>
                <w:sz w:val="15"/>
                <w:szCs w:val="15"/>
                <w:highlight w:val="none"/>
                <w14:textFill>
                  <w14:solidFill>
                    <w14:schemeClr w14:val="tx1"/>
                  </w14:solidFill>
                </w14:textFill>
              </w:rPr>
              <w:t>倾倒、丢弃、堆放生活</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垃圾</w:t>
            </w:r>
            <w:r>
              <w:rPr>
                <w:rFonts w:hint="eastAsia" w:asciiTheme="minorEastAsia" w:hAnsiTheme="minorEastAsia" w:eastAsiaTheme="minorEastAsia"/>
                <w:color w:val="000000" w:themeColor="text1"/>
                <w:sz w:val="15"/>
                <w:szCs w:val="15"/>
                <w:highlight w:val="none"/>
                <w14:textFill>
                  <w14:solidFill>
                    <w14:schemeClr w14:val="tx1"/>
                  </w14:solidFill>
                </w14:textFill>
              </w:rPr>
              <w:t>总量较大、违法行为持续时间较长，系数4-6；</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w:t>
            </w:r>
            <w:r>
              <w:rPr>
                <w:rFonts w:hint="eastAsia" w:asciiTheme="minorEastAsia" w:hAnsiTheme="minorEastAsia" w:eastAsiaTheme="minorEastAsia"/>
                <w:color w:val="000000" w:themeColor="text1"/>
                <w:sz w:val="15"/>
                <w:szCs w:val="15"/>
                <w:highlight w:val="none"/>
                <w14:textFill>
                  <w14:solidFill>
                    <w14:schemeClr w14:val="tx1"/>
                  </w14:solidFill>
                </w14:textFill>
              </w:rPr>
              <w:t>.对环境秩序造成较严重影响的，系数6-9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丢弃、</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遗撒点位重叠时，不适用区域系数。</w:t>
            </w:r>
          </w:p>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从事城市生活垃圾经营性清扫、收集、运输的企业未履行规定义务</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同时存在本条规定的</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种违法情形的，系数为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2-3，存在3种及以上情形的，系数为4-5；</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对环境秩序造成较严重影响的，系数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14:textFill>
                  <w14:solidFill>
                    <w14:schemeClr w14:val="tx1"/>
                  </w14:solidFill>
                </w14:textFill>
              </w:rPr>
              <w:t>-5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2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从事城市生活垃圾经营性处置的企业未履行规定义务</w:t>
            </w:r>
          </w:p>
        </w:tc>
        <w:tc>
          <w:tcPr>
            <w:tcW w:w="2789" w:type="dxa"/>
            <w:shd w:val="clear" w:color="auto" w:fill="auto"/>
            <w:vAlign w:val="center"/>
          </w:tcPr>
          <w:p>
            <w:pPr>
              <w:spacing w:line="22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同时存在本条规定的</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种违法情形的，系数为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1，存在3种及以上情形的，系数为2-3；</w:t>
            </w:r>
          </w:p>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造成较严重影响的，系数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2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从事城市生活垃圾经营性清扫、收集、运输的企业未经批准擅自停业、歇业的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违反条款：第二十一条第（二）项,第三十五条第一款；处罚条款：第四十六条，责令限期改正，并可处以1万元以上3万元以下罚款。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违法行为持续时间较长、造成较严重影响的，系数1-2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2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从事城市生活垃圾经营性处置的企业未经批准擅自停业、歇业的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违法行为持续时间较长、造成较严重影响的，系数1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pPr>
              <w:pStyle w:val="3"/>
              <w:widowControl w:val="0"/>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13" w:name="_Toc110851439"/>
            <w:bookmarkStart w:id="14" w:name="_Toc1544417110"/>
            <w:bookmarkStart w:id="15" w:name="_Toc1280965736"/>
            <w:r>
              <w:rPr>
                <w:rFonts w:hint="eastAsia" w:asciiTheme="minorEastAsia" w:hAnsiTheme="minorEastAsia" w:eastAsiaTheme="minorEastAsia"/>
                <w:color w:val="000000" w:themeColor="text1"/>
                <w:sz w:val="20"/>
                <w:szCs w:val="20"/>
                <w:highlight w:val="none"/>
                <w14:textFill>
                  <w14:solidFill>
                    <w14:schemeClr w14:val="tx1"/>
                  </w14:solidFill>
                </w14:textFill>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将建筑垃圾混入生活垃圾</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20"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根据实际情况酌定处罚</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将危险废物混入建筑垃圾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根据实际情况酌定处罚</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擅自设立弃置场受纳建筑垃圾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color w:val="000000" w:themeColor="text1"/>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违法行为持续时间较长、造成较严重影响的，系数1。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b/>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根据实际情况酌定处罚</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建筑垃圾储运消纳场受纳工业垃圾、生活垃圾和有毒有害垃圾</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违法行为持续时间较长、造成较严重影响的，系数1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未及时清运工程施工过程中产生的建筑垃圾造成环境污染</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1.垃圾占地面积10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0；11－15</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1；16－20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数2，以此类推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。2.逾期不清的，每逾期2天，系数为１，以此累加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18天及以上的，</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。3.造成尘土飞扬，严重污染环境的，系数为9。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施工单位将建筑垃圾交给个人或者未经核准从事建筑垃圾运输的单位处置</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建筑</w:t>
            </w:r>
            <w:r>
              <w:rPr>
                <w:rFonts w:asciiTheme="minorEastAsia" w:hAnsiTheme="minorEastAsia" w:eastAsiaTheme="minorEastAsia"/>
                <w:color w:val="000000" w:themeColor="text1"/>
                <w:sz w:val="15"/>
                <w:szCs w:val="15"/>
                <w:highlight w:val="none"/>
                <w14:textFill>
                  <w14:solidFill>
                    <w14:schemeClr w14:val="tx1"/>
                  </w14:solidFill>
                </w14:textFill>
              </w:rPr>
              <w:t>垃圾占地面积</w:t>
            </w:r>
            <w:r>
              <w:rPr>
                <w:rFonts w:hint="eastAsia" w:asciiTheme="minorEastAsia" w:hAnsiTheme="minorEastAsia" w:eastAsiaTheme="minorEastAsia"/>
                <w:color w:val="000000" w:themeColor="text1"/>
                <w:sz w:val="15"/>
                <w:szCs w:val="15"/>
                <w:highlight w:val="none"/>
                <w14:textFill>
                  <w14:solidFill>
                    <w14:schemeClr w14:val="tx1"/>
                  </w14:solidFill>
                </w14:textFill>
              </w:rPr>
              <w:t>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以下</w:t>
            </w:r>
            <w:r>
              <w:rPr>
                <w:rFonts w:asciiTheme="minorEastAsia" w:hAnsiTheme="minorEastAsia" w:eastAsiaTheme="minorEastAsia"/>
                <w:color w:val="000000" w:themeColor="text1"/>
                <w:sz w:val="15"/>
                <w:szCs w:val="15"/>
                <w:highlight w:val="none"/>
                <w14:textFill>
                  <w14:solidFill>
                    <w14:schemeClr w14:val="tx1"/>
                  </w14:solidFill>
                </w14:textFill>
              </w:rPr>
              <w:t>的，系数为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0；11—15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1；16</w:t>
            </w:r>
            <w:r>
              <w:rPr>
                <w:rFonts w:asciiTheme="minorEastAsia" w:hAnsiTheme="minorEastAsia" w:eastAsiaTheme="minorEastAsia"/>
                <w:color w:val="000000" w:themeColor="text1"/>
                <w:sz w:val="15"/>
                <w:szCs w:val="15"/>
                <w:highlight w:val="none"/>
                <w14:textFill>
                  <w14:solidFill>
                    <w14:schemeClr w14:val="tx1"/>
                  </w14:solidFill>
                </w14:textFill>
              </w:rPr>
              <w:t>-20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w:t>
            </w:r>
            <w:r>
              <w:rPr>
                <w:rFonts w:asciiTheme="minorEastAsia" w:hAnsiTheme="minorEastAsia" w:eastAsiaTheme="minorEastAsia"/>
                <w:color w:val="000000" w:themeColor="text1"/>
                <w:sz w:val="15"/>
                <w:szCs w:val="15"/>
                <w:highlight w:val="none"/>
                <w14:textFill>
                  <w14:solidFill>
                    <w14:schemeClr w14:val="tx1"/>
                  </w14:solidFill>
                </w14:textFill>
              </w:rPr>
              <w:t>为</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w:t>
            </w:r>
            <w:r>
              <w:rPr>
                <w:rFonts w:asciiTheme="minorEastAsia" w:hAnsiTheme="minorEastAsia" w:eastAsiaTheme="minorEastAsia"/>
                <w:color w:val="000000" w:themeColor="text1"/>
                <w:sz w:val="15"/>
                <w:szCs w:val="15"/>
                <w:highlight w:val="none"/>
                <w14:textFill>
                  <w14:solidFill>
                    <w14:schemeClr w14:val="tx1"/>
                  </w14:solidFill>
                </w14:textFill>
              </w:rPr>
              <w:t>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2.未按规定进行资源化利用或者处置建筑垃圾数量较大的、</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严重污染环境</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或者</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造成其他严重社会影响的，系数5-9。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pStyle w:val="17"/>
              <w:ind w:left="0" w:leftChars="0" w:firstLine="0" w:firstLineChars="0"/>
              <w:rPr>
                <w:rFonts w:hint="default"/>
                <w:strike/>
                <w:dstrike w:val="0"/>
                <w:color w:val="000000" w:themeColor="text1"/>
                <w:highlight w:val="none"/>
                <w:lang w:val="en-US" w:eastAsia="zh-CN"/>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处置建筑垃圾的单位在运输建筑垃圾过程中沿途丢弃、遗撒建筑垃圾</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污染道路长21－30米的，系数1；31－40米的，系数2；以此类推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建筑</w:t>
            </w:r>
            <w:r>
              <w:rPr>
                <w:rFonts w:asciiTheme="minorEastAsia" w:hAnsiTheme="minorEastAsia" w:eastAsiaTheme="minorEastAsia"/>
                <w:b w:val="0"/>
                <w:bCs w:val="0"/>
                <w:color w:val="000000" w:themeColor="text1"/>
                <w:sz w:val="15"/>
                <w:szCs w:val="15"/>
                <w:highlight w:val="none"/>
                <w14:textFill>
                  <w14:solidFill>
                    <w14:schemeClr w14:val="tx1"/>
                  </w14:solidFill>
                </w14:textFill>
              </w:rPr>
              <w:t>垃圾占地面积</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10</w:t>
            </w:r>
            <w:r>
              <w:rPr>
                <w:rFonts w:hint="eastAsia" w:cs="Batang"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以下</w:t>
            </w:r>
            <w:r>
              <w:rPr>
                <w:rFonts w:asciiTheme="minorEastAsia" w:hAnsiTheme="minorEastAsia" w:eastAsiaTheme="minorEastAsia"/>
                <w:b w:val="0"/>
                <w:bCs w:val="0"/>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0；11—15</w:t>
            </w:r>
            <w:r>
              <w:rPr>
                <w:rFonts w:hint="eastAsia" w:cs="Batang"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asciiTheme="minorEastAsia" w:hAnsiTheme="minorEastAsia" w:eastAsiaTheme="minorEastAsia"/>
                <w:b w:val="0"/>
                <w:bCs w:val="0"/>
                <w:color w:val="000000" w:themeColor="text1"/>
                <w:sz w:val="15"/>
                <w:szCs w:val="15"/>
                <w:highlight w:val="none"/>
                <w14:textFill>
                  <w14:solidFill>
                    <w14:schemeClr w14:val="tx1"/>
                  </w14:solidFill>
                </w14:textFill>
              </w:rPr>
              <w:t>系数为</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1；16</w:t>
            </w:r>
            <w:r>
              <w:rPr>
                <w:rFonts w:asciiTheme="minorEastAsia" w:hAnsiTheme="minorEastAsia" w:eastAsiaTheme="minorEastAsia"/>
                <w:b w:val="0"/>
                <w:bCs w:val="0"/>
                <w:color w:val="000000" w:themeColor="text1"/>
                <w:sz w:val="15"/>
                <w:szCs w:val="15"/>
                <w:highlight w:val="none"/>
                <w14:textFill>
                  <w14:solidFill>
                    <w14:schemeClr w14:val="tx1"/>
                  </w14:solidFill>
                </w14:textFill>
              </w:rPr>
              <w:t>-20</w:t>
            </w:r>
            <w:r>
              <w:rPr>
                <w:rFonts w:hint="eastAsia" w:cs="Batang"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b w:val="0"/>
                <w:bCs w:val="0"/>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系数2，以此</w:t>
            </w:r>
            <w:r>
              <w:rPr>
                <w:rFonts w:asciiTheme="minorEastAsia" w:hAnsiTheme="minorEastAsia" w:eastAsiaTheme="minorEastAsia"/>
                <w:b w:val="0"/>
                <w:bCs w:val="0"/>
                <w:color w:val="000000" w:themeColor="text1"/>
                <w:sz w:val="15"/>
                <w:szCs w:val="15"/>
                <w:highlight w:val="none"/>
                <w14:textFill>
                  <w14:solidFill>
                    <w14:schemeClr w14:val="tx1"/>
                  </w14:solidFill>
                </w14:textFill>
              </w:rPr>
              <w:t>类推</w:t>
            </w:r>
            <w:r>
              <w:rPr>
                <w:rFonts w:hint="eastAsia" w:asciiTheme="minorEastAsia" w:hAnsiTheme="minorEastAsia" w:eastAsiaTheme="minorEastAsia"/>
                <w:b w:val="0"/>
                <w:bCs w:val="0"/>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b w:val="0"/>
                <w:bCs w:val="0"/>
                <w:color w:val="000000" w:themeColor="text1"/>
                <w:sz w:val="15"/>
                <w:szCs w:val="15"/>
                <w:highlight w:val="none"/>
                <w:lang w:val="en-US" w:eastAsia="zh-CN"/>
                <w14:textFill>
                  <w14:solidFill>
                    <w14:schemeClr w14:val="tx1"/>
                  </w14:solidFill>
                </w14:textFill>
              </w:rPr>
              <w:t>51</w:t>
            </w:r>
            <w:r>
              <w:rPr>
                <w:rFonts w:hint="eastAsia" w:cs="Batang"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b w:val="0"/>
                <w:bCs w:val="0"/>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b w:val="0"/>
                <w:bCs w:val="0"/>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stheme="minorEastAsia"/>
                <w:b w:val="0"/>
                <w:bCs w:val="0"/>
                <w:color w:val="000000" w:themeColor="text1"/>
                <w:sz w:val="15"/>
                <w:szCs w:val="15"/>
                <w:highlight w:val="none"/>
                <w:lang w:val="en-US" w:eastAsia="zh-CN"/>
                <w14:textFill>
                  <w14:solidFill>
                    <w14:schemeClr w14:val="tx1"/>
                  </w14:solidFill>
                </w14:textFill>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.随意丢弃、</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遗撒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至城市道路、绿地、林地、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、公厕、河道、铁路、轨道交通、桥下空间等公共场所及周边，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燃气、供暖、石油长输管道、供水、排水、电力、通信等公用管道和设施保护（管理）范围的，系数为3；</w:t>
            </w:r>
            <w:r>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.违法行为持续时间较长、对环境秩序造成较严重影响的，系数</w:t>
            </w:r>
            <w:r>
              <w:rPr>
                <w:rFonts w:hint="default"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区域台帐与变量系数中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丢弃、</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遗撒点位重叠时，不适用区域系数。</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涂改、倒卖、出租、出借或者以其它形式非法转让城市建筑垃圾处置核准文件</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违法行为持续时间较长、造成较严重影响的，系数1-3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9</w:t>
            </w:r>
          </w:p>
        </w:tc>
        <w:tc>
          <w:tcPr>
            <w:tcW w:w="1500" w:type="dxa"/>
            <w:vMerge w:val="restart"/>
            <w:shd w:val="clear" w:color="auto" w:fill="auto"/>
            <w:vAlign w:val="center"/>
          </w:tcPr>
          <w:p>
            <w:pPr>
              <w:spacing w:line="232" w:lineRule="exact"/>
              <w:rPr>
                <w:rFonts w:asciiTheme="minorEastAsia" w:hAnsiTheme="minorEastAsia" w:eastAsiaTheme="minorEastAsia"/>
                <w:b w:val="0"/>
                <w:bCs w:val="0"/>
                <w:color w:val="000000" w:themeColor="text1"/>
                <w:sz w:val="15"/>
                <w:szCs w:val="15"/>
                <w:highlight w:val="none"/>
                <w14:textFill>
                  <w14:solidFill>
                    <w14:schemeClr w14:val="tx1"/>
                  </w14:solidFill>
                </w14:textFill>
              </w:rPr>
            </w:pP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未经核准擅自处置建筑垃圾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1.违法行为持续时间较长、处置建筑垃圾量较大，系数1-3；2.造成环境秩序较严重影响的，系数</w:t>
            </w:r>
            <w:r>
              <w:rPr>
                <w:rFonts w:asciiTheme="minorEastAsia" w:hAnsiTheme="minorEastAsia" w:eastAsiaTheme="minorEastAsia"/>
                <w:color w:val="000000" w:themeColor="text1"/>
                <w:sz w:val="15"/>
                <w:szCs w:val="15"/>
                <w:highlight w:val="none"/>
                <w14:textFill>
                  <w14:solidFill>
                    <w14:schemeClr w14:val="tx1"/>
                  </w14:solidFill>
                </w14:textFill>
              </w:rPr>
              <w:t>4</w:t>
            </w:r>
            <w:r>
              <w:rPr>
                <w:rFonts w:hint="eastAsia" w:asciiTheme="minorEastAsia" w:hAnsiTheme="minorEastAsia" w:eastAsiaTheme="minorEastAsia"/>
                <w:color w:val="000000" w:themeColor="text1"/>
                <w:sz w:val="15"/>
                <w:szCs w:val="15"/>
                <w:highlight w:val="none"/>
                <w14:textFill>
                  <w14:solidFill>
                    <w14:schemeClr w14:val="tx1"/>
                  </w14:solidFill>
                </w14:textFill>
              </w:rPr>
              <w:t>-9。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spacing w:line="232" w:lineRule="exact"/>
              <w:rPr>
                <w:rFonts w:asciiTheme="minorEastAsia" w:hAnsiTheme="minorEastAsia" w:eastAsiaTheme="minorEastAsia"/>
                <w:strike/>
                <w:color w:val="000000" w:themeColor="text1"/>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strike/>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b w:val="0"/>
                <w:bCs w:val="0"/>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1.违法行为持续时间较长、处置建筑垃圾量较大，系数1-3；2.造成环境秩序较严重影响的，系数4-5。</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000000" w:themeColor="text1"/>
                <w:sz w:val="15"/>
                <w:szCs w:val="15"/>
                <w:highlight w:val="none"/>
                <w14:textFill>
                  <w14:solidFill>
                    <w14:schemeClr w14:val="tx1"/>
                  </w14:solidFill>
                </w14:textFill>
              </w:rPr>
            </w:pP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处置超出核准范围的建筑垃圾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p>
            <w:pPr>
              <w:spacing w:line="18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1.违法行为持续时间较长、处置建筑垃圾量较大，系数1-3；2.造成环境秩序较严重影响的，系数4-9。</w:t>
            </w:r>
          </w:p>
        </w:tc>
        <w:tc>
          <w:tcPr>
            <w:tcW w:w="1785" w:type="dxa"/>
            <w:shd w:val="clear" w:color="auto" w:fill="auto"/>
            <w:vAlign w:val="center"/>
          </w:tcPr>
          <w:p>
            <w:pPr>
              <w:spacing w:line="18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vMerge w:val="restart"/>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18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18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p>
          <w:p>
            <w:pPr>
              <w:spacing w:line="18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1.违法行为持续时间较长、处置建筑垃圾量较大，系数1-3；2.造成环境秩序较严重影响的，系数4-5。</w:t>
            </w:r>
          </w:p>
        </w:tc>
        <w:tc>
          <w:tcPr>
            <w:tcW w:w="1785" w:type="dxa"/>
            <w:shd w:val="clear" w:color="auto" w:fill="auto"/>
            <w:vAlign w:val="center"/>
          </w:tcPr>
          <w:p>
            <w:pPr>
              <w:spacing w:line="18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vMerge w:val="continue"/>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yellow"/>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11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yellow"/>
                <w14:textFill>
                  <w14:solidFill>
                    <w14:schemeClr w14:val="tx1"/>
                  </w14:solidFill>
                </w14:textFill>
              </w:rPr>
            </w:pPr>
            <w:r>
              <w:rPr>
                <w:rFonts w:hint="eastAsia" w:asciiTheme="minorEastAsia" w:hAnsiTheme="minorEastAsia" w:eastAsiaTheme="minorEastAsia"/>
                <w:color w:val="000000" w:themeColor="text1"/>
                <w:sz w:val="15"/>
                <w:szCs w:val="15"/>
                <w:highlight w:val="yellow"/>
                <w14:textFill>
                  <w14:solidFill>
                    <w14:schemeClr w14:val="tx1"/>
                  </w14:solidFill>
                </w14:textFill>
              </w:rPr>
              <w:t>随意倾倒、抛撒或者堆放建筑垃圾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000000" w:themeColor="text1"/>
                <w:sz w:val="15"/>
                <w:szCs w:val="15"/>
                <w:highlight w:val="yellow"/>
                <w14:textFill>
                  <w14:solidFill>
                    <w14:schemeClr w14:val="tx1"/>
                  </w14:solidFill>
                </w14:textFill>
              </w:rPr>
            </w:pPr>
            <w:r>
              <w:rPr>
                <w:rFonts w:hint="eastAsia" w:asciiTheme="minorEastAsia" w:hAnsiTheme="minorEastAsia" w:eastAsiaTheme="minorEastAsia"/>
                <w:color w:val="000000" w:themeColor="text1"/>
                <w:sz w:val="15"/>
                <w:szCs w:val="15"/>
                <w:highlight w:val="yellow"/>
                <w14:textFill>
                  <w14:solidFill>
                    <w14:schemeClr w14:val="tx1"/>
                  </w14:solidFill>
                </w14:textFill>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yellow"/>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5000</w:t>
            </w:r>
          </w:p>
          <w:p>
            <w:pPr>
              <w:spacing w:line="180" w:lineRule="exact"/>
              <w:jc w:val="center"/>
              <w:rPr>
                <w:rFonts w:cs="宋体" w:asciiTheme="minorEastAsia" w:hAnsiTheme="minorEastAsia" w:eastAsiaTheme="minorEastAsia"/>
                <w:color w:val="000000" w:themeColor="text1"/>
                <w:kern w:val="0"/>
                <w:sz w:val="15"/>
                <w:szCs w:val="15"/>
                <w:highlight w:val="yellow"/>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yellow"/>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000000" w:themeColor="text1"/>
                <w:sz w:val="15"/>
                <w:szCs w:val="15"/>
                <w:highlight w:val="yellow"/>
                <w14:textFill>
                  <w14:solidFill>
                    <w14:schemeClr w14:val="tx1"/>
                  </w14:solidFill>
                </w14:textFill>
              </w:rPr>
            </w:pPr>
            <w:r>
              <w:rPr>
                <w:rFonts w:hint="eastAsia" w:asciiTheme="minorEastAsia" w:hAnsiTheme="minorEastAsia" w:eastAsiaTheme="minorEastAsia"/>
                <w:color w:val="000000" w:themeColor="text1"/>
                <w:sz w:val="15"/>
                <w:szCs w:val="15"/>
                <w:highlight w:val="yellow"/>
                <w14:textFill>
                  <w14:solidFill>
                    <w14:schemeClr w14:val="tx1"/>
                  </w14:solidFill>
                </w14:textFill>
              </w:rPr>
              <w:t>1.污染道路长21－30米的，系数1；31－40米的，系数2；以此类推</w:t>
            </w: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yellow"/>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yellow"/>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yellow"/>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yellow"/>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yellow"/>
                <w14:textFill>
                  <w14:solidFill>
                    <w14:schemeClr w14:val="tx1"/>
                  </w14:solidFill>
                </w14:textFill>
              </w:rPr>
              <w:t>。</w:t>
            </w:r>
            <w:r>
              <w:rPr>
                <w:rFonts w:hint="eastAsia" w:asciiTheme="minorEastAsia" w:hAnsiTheme="minorEastAsia" w:eastAsiaTheme="minorEastAsia"/>
                <w:color w:val="000000" w:themeColor="text1"/>
                <w:sz w:val="15"/>
                <w:szCs w:val="15"/>
                <w:highlight w:val="yellow"/>
                <w:lang w:val="en-US" w:eastAsia="zh-CN"/>
                <w14:textFill>
                  <w14:solidFill>
                    <w14:schemeClr w14:val="tx1"/>
                  </w14:solidFill>
                </w14:textFill>
              </w:rPr>
              <w:t>2.</w:t>
            </w:r>
            <w:r>
              <w:rPr>
                <w:rFonts w:hint="eastAsia" w:asciiTheme="minorEastAsia" w:hAnsiTheme="minorEastAsia" w:eastAsiaTheme="minorEastAsia"/>
                <w:color w:val="000000" w:themeColor="text1"/>
                <w:sz w:val="15"/>
                <w:szCs w:val="15"/>
                <w:highlight w:val="yellow"/>
                <w14:textFill>
                  <w14:solidFill>
                    <w14:schemeClr w14:val="tx1"/>
                  </w14:solidFill>
                </w14:textFill>
              </w:rPr>
              <w:t>建筑</w:t>
            </w:r>
            <w:r>
              <w:rPr>
                <w:rFonts w:asciiTheme="minorEastAsia" w:hAnsiTheme="minorEastAsia" w:eastAsiaTheme="minorEastAsia"/>
                <w:color w:val="000000" w:themeColor="text1"/>
                <w:sz w:val="15"/>
                <w:szCs w:val="15"/>
                <w:highlight w:val="yellow"/>
                <w14:textFill>
                  <w14:solidFill>
                    <w14:schemeClr w14:val="tx1"/>
                  </w14:solidFill>
                </w14:textFill>
              </w:rPr>
              <w:t>垃圾占地面积</w:t>
            </w:r>
            <w:r>
              <w:rPr>
                <w:rFonts w:hint="eastAsia" w:asciiTheme="minorEastAsia" w:hAnsiTheme="minorEastAsia" w:eastAsiaTheme="minorEastAsia"/>
                <w:color w:val="000000" w:themeColor="text1"/>
                <w:sz w:val="15"/>
                <w:szCs w:val="15"/>
                <w:highlight w:val="yellow"/>
                <w14:textFill>
                  <w14:solidFill>
                    <w14:schemeClr w14:val="tx1"/>
                  </w14:solidFill>
                </w14:textFill>
              </w:rPr>
              <w:t>10</w:t>
            </w:r>
            <w:r>
              <w:rPr>
                <w:rFonts w:hint="eastAsia" w:cs="Batang" w:asciiTheme="minorEastAsia" w:hAnsiTheme="minorEastAsia" w:eastAsiaTheme="minorEastAsia"/>
                <w:color w:val="000000" w:themeColor="text1"/>
                <w:sz w:val="15"/>
                <w:szCs w:val="15"/>
                <w:highlight w:val="yellow"/>
                <w14:textFill>
                  <w14:solidFill>
                    <w14:schemeClr w14:val="tx1"/>
                  </w14:solidFill>
                </w14:textFill>
              </w:rPr>
              <w:t>㎡</w:t>
            </w:r>
            <w:r>
              <w:rPr>
                <w:rFonts w:hint="eastAsia" w:asciiTheme="minorEastAsia" w:hAnsiTheme="minorEastAsia" w:eastAsiaTheme="minorEastAsia"/>
                <w:color w:val="000000" w:themeColor="text1"/>
                <w:sz w:val="15"/>
                <w:szCs w:val="15"/>
                <w:highlight w:val="yellow"/>
                <w14:textFill>
                  <w14:solidFill>
                    <w14:schemeClr w14:val="tx1"/>
                  </w14:solidFill>
                </w14:textFill>
              </w:rPr>
              <w:t>以下</w:t>
            </w:r>
            <w:r>
              <w:rPr>
                <w:rFonts w:asciiTheme="minorEastAsia" w:hAnsiTheme="minorEastAsia" w:eastAsiaTheme="minorEastAsia"/>
                <w:color w:val="000000" w:themeColor="text1"/>
                <w:sz w:val="15"/>
                <w:szCs w:val="15"/>
                <w:highlight w:val="yellow"/>
                <w14:textFill>
                  <w14:solidFill>
                    <w14:schemeClr w14:val="tx1"/>
                  </w14:solidFill>
                </w14:textFill>
              </w:rPr>
              <w:t>的，系数为</w:t>
            </w:r>
            <w:r>
              <w:rPr>
                <w:rFonts w:hint="eastAsia" w:asciiTheme="minorEastAsia" w:hAnsiTheme="minorEastAsia" w:eastAsiaTheme="minorEastAsia"/>
                <w:color w:val="000000" w:themeColor="text1"/>
                <w:sz w:val="15"/>
                <w:szCs w:val="15"/>
                <w:highlight w:val="yellow"/>
                <w14:textFill>
                  <w14:solidFill>
                    <w14:schemeClr w14:val="tx1"/>
                  </w14:solidFill>
                </w14:textFill>
              </w:rPr>
              <w:t>0；.11—15</w:t>
            </w:r>
            <w:r>
              <w:rPr>
                <w:rFonts w:hint="eastAsia" w:cs="Batang" w:asciiTheme="minorEastAsia" w:hAnsiTheme="minorEastAsia" w:eastAsiaTheme="minorEastAsia"/>
                <w:color w:val="000000" w:themeColor="text1"/>
                <w:sz w:val="15"/>
                <w:szCs w:val="15"/>
                <w:highlight w:val="yellow"/>
                <w14:textFill>
                  <w14:solidFill>
                    <w14:schemeClr w14:val="tx1"/>
                  </w14:solidFill>
                </w14:textFill>
              </w:rPr>
              <w:t>㎡</w:t>
            </w:r>
            <w:r>
              <w:rPr>
                <w:rFonts w:hint="eastAsia" w:asciiTheme="minorEastAsia" w:hAnsiTheme="minorEastAsia" w:eastAsiaTheme="minorEastAsia"/>
                <w:color w:val="000000" w:themeColor="text1"/>
                <w:sz w:val="15"/>
                <w:szCs w:val="15"/>
                <w:highlight w:val="yellow"/>
                <w14:textFill>
                  <w14:solidFill>
                    <w14:schemeClr w14:val="tx1"/>
                  </w14:solidFill>
                </w14:textFill>
              </w:rPr>
              <w:t>，</w:t>
            </w:r>
            <w:r>
              <w:rPr>
                <w:rFonts w:asciiTheme="minorEastAsia" w:hAnsiTheme="minorEastAsia" w:eastAsiaTheme="minorEastAsia"/>
                <w:color w:val="000000" w:themeColor="text1"/>
                <w:sz w:val="15"/>
                <w:szCs w:val="15"/>
                <w:highlight w:val="yellow"/>
                <w14:textFill>
                  <w14:solidFill>
                    <w14:schemeClr w14:val="tx1"/>
                  </w14:solidFill>
                </w14:textFill>
              </w:rPr>
              <w:t>系数为</w:t>
            </w:r>
            <w:r>
              <w:rPr>
                <w:rFonts w:hint="eastAsia" w:asciiTheme="minorEastAsia" w:hAnsiTheme="minorEastAsia" w:eastAsiaTheme="minorEastAsia"/>
                <w:color w:val="000000" w:themeColor="text1"/>
                <w:sz w:val="15"/>
                <w:szCs w:val="15"/>
                <w:highlight w:val="yellow"/>
                <w14:textFill>
                  <w14:solidFill>
                    <w14:schemeClr w14:val="tx1"/>
                  </w14:solidFill>
                </w14:textFill>
              </w:rPr>
              <w:t>1；16</w:t>
            </w:r>
            <w:r>
              <w:rPr>
                <w:rFonts w:asciiTheme="minorEastAsia" w:hAnsiTheme="minorEastAsia" w:eastAsiaTheme="minorEastAsia"/>
                <w:color w:val="000000" w:themeColor="text1"/>
                <w:sz w:val="15"/>
                <w:szCs w:val="15"/>
                <w:highlight w:val="yellow"/>
                <w14:textFill>
                  <w14:solidFill>
                    <w14:schemeClr w14:val="tx1"/>
                  </w14:solidFill>
                </w14:textFill>
              </w:rPr>
              <w:t>-20</w:t>
            </w:r>
            <w:r>
              <w:rPr>
                <w:rFonts w:hint="eastAsia" w:cs="Batang" w:asciiTheme="minorEastAsia" w:hAnsiTheme="minorEastAsia" w:eastAsiaTheme="minorEastAsia"/>
                <w:color w:val="000000" w:themeColor="text1"/>
                <w:sz w:val="15"/>
                <w:szCs w:val="15"/>
                <w:highlight w:val="yellow"/>
                <w14:textFill>
                  <w14:solidFill>
                    <w14:schemeClr w14:val="tx1"/>
                  </w14:solidFill>
                </w14:textFill>
              </w:rPr>
              <w:t>㎡</w:t>
            </w:r>
            <w:r>
              <w:rPr>
                <w:rFonts w:hint="eastAsia" w:asciiTheme="minorEastAsia" w:hAnsiTheme="minorEastAsia" w:eastAsiaTheme="minorEastAsia"/>
                <w:color w:val="000000" w:themeColor="text1"/>
                <w:sz w:val="15"/>
                <w:szCs w:val="15"/>
                <w:highlight w:val="yellow"/>
                <w14:textFill>
                  <w14:solidFill>
                    <w14:schemeClr w14:val="tx1"/>
                  </w14:solidFill>
                </w14:textFill>
              </w:rPr>
              <w:t>系数</w:t>
            </w:r>
            <w:r>
              <w:rPr>
                <w:rFonts w:asciiTheme="minorEastAsia" w:hAnsiTheme="minorEastAsia" w:eastAsiaTheme="minorEastAsia"/>
                <w:color w:val="000000" w:themeColor="text1"/>
                <w:sz w:val="15"/>
                <w:szCs w:val="15"/>
                <w:highlight w:val="yellow"/>
                <w14:textFill>
                  <w14:solidFill>
                    <w14:schemeClr w14:val="tx1"/>
                  </w14:solidFill>
                </w14:textFill>
              </w:rPr>
              <w:t>为</w:t>
            </w:r>
            <w:r>
              <w:rPr>
                <w:rFonts w:hint="eastAsia" w:asciiTheme="minorEastAsia" w:hAnsiTheme="minorEastAsia" w:eastAsiaTheme="minorEastAsia"/>
                <w:color w:val="000000" w:themeColor="text1"/>
                <w:sz w:val="15"/>
                <w:szCs w:val="15"/>
                <w:highlight w:val="yellow"/>
                <w14:textFill>
                  <w14:solidFill>
                    <w14:schemeClr w14:val="tx1"/>
                  </w14:solidFill>
                </w14:textFill>
              </w:rPr>
              <w:t>2，以此</w:t>
            </w:r>
            <w:r>
              <w:rPr>
                <w:rFonts w:asciiTheme="minorEastAsia" w:hAnsiTheme="minorEastAsia" w:eastAsiaTheme="minorEastAsia"/>
                <w:color w:val="000000" w:themeColor="text1"/>
                <w:sz w:val="15"/>
                <w:szCs w:val="15"/>
                <w:highlight w:val="yellow"/>
                <w14:textFill>
                  <w14:solidFill>
                    <w14:schemeClr w14:val="tx1"/>
                  </w14:solidFill>
                </w14:textFill>
              </w:rPr>
              <w:t>类推</w:t>
            </w:r>
            <w:r>
              <w:rPr>
                <w:rFonts w:hint="eastAsia" w:asciiTheme="minorEastAsia" w:hAnsiTheme="minorEastAsia" w:eastAsiaTheme="minorEastAsia"/>
                <w:color w:val="000000" w:themeColor="text1"/>
                <w:sz w:val="15"/>
                <w:szCs w:val="15"/>
                <w:highlight w:val="yellow"/>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yellow"/>
                <w:lang w:val="en-US" w:eastAsia="zh-CN"/>
                <w14:textFill>
                  <w14:solidFill>
                    <w14:schemeClr w14:val="tx1"/>
                  </w14:solidFill>
                </w14:textFill>
              </w:rPr>
              <w:t>51</w:t>
            </w:r>
            <w:r>
              <w:rPr>
                <w:rFonts w:hint="eastAsia" w:cs="Batang" w:asciiTheme="minorEastAsia" w:hAnsiTheme="minorEastAsia" w:eastAsiaTheme="minorEastAsia"/>
                <w:color w:val="000000" w:themeColor="text1"/>
                <w:sz w:val="15"/>
                <w:szCs w:val="15"/>
                <w:highlight w:val="yellow"/>
                <w14:textFill>
                  <w14:solidFill>
                    <w14:schemeClr w14:val="tx1"/>
                  </w14:solidFill>
                </w14:textFill>
              </w:rPr>
              <w:t>㎡</w:t>
            </w:r>
            <w:r>
              <w:rPr>
                <w:rFonts w:hint="eastAsia" w:cs="Batang" w:asciiTheme="minorEastAsia" w:hAnsiTheme="minorEastAsia" w:eastAsiaTheme="minorEastAsia"/>
                <w:color w:val="000000" w:themeColor="text1"/>
                <w:sz w:val="15"/>
                <w:szCs w:val="15"/>
                <w:highlight w:val="yellow"/>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yellow"/>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yellow"/>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yellow"/>
                <w14:textFill>
                  <w14:solidFill>
                    <w14:schemeClr w14:val="tx1"/>
                  </w14:solidFill>
                </w14:textFill>
              </w:rPr>
              <w:t>.将垃圾</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随意倾倒、</w:t>
            </w: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抛撒</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、堆放至城市道路、绿地、林地、</w:t>
            </w: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河道、铁路、轨道交通、公厕、桥下空间等公共场所及周边，</w:t>
            </w: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燃气、供暖、石油长输管道、供水、排水、电力、通信等公用管道和设施保护（管理）范围的，系数3；</w:t>
            </w:r>
            <w:r>
              <w:rPr>
                <w:rFonts w:hint="eastAsia" w:cs="宋体" w:asciiTheme="minorEastAsia" w:hAnsiTheme="minorEastAsia" w:eastAsiaTheme="minorEastAsia"/>
                <w:color w:val="000000" w:themeColor="text1"/>
                <w:kern w:val="0"/>
                <w:sz w:val="15"/>
                <w:szCs w:val="15"/>
                <w:highlight w:val="yellow"/>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w:t>
            </w:r>
            <w:r>
              <w:rPr>
                <w:rFonts w:hint="eastAsia" w:asciiTheme="minorEastAsia" w:hAnsiTheme="minorEastAsia" w:eastAsiaTheme="minorEastAsia"/>
                <w:color w:val="000000" w:themeColor="text1"/>
                <w:sz w:val="15"/>
                <w:szCs w:val="15"/>
                <w:highlight w:val="yellow"/>
                <w14:textFill>
                  <w14:solidFill>
                    <w14:schemeClr w14:val="tx1"/>
                  </w14:solidFill>
                </w14:textFill>
              </w:rPr>
              <w:t>倾倒、丢弃、堆放生活</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垃圾</w:t>
            </w:r>
            <w:r>
              <w:rPr>
                <w:rFonts w:hint="eastAsia" w:asciiTheme="minorEastAsia" w:hAnsiTheme="minorEastAsia" w:eastAsiaTheme="minorEastAsia"/>
                <w:color w:val="000000" w:themeColor="text1"/>
                <w:sz w:val="15"/>
                <w:szCs w:val="15"/>
                <w:highlight w:val="yellow"/>
                <w14:textFill>
                  <w14:solidFill>
                    <w14:schemeClr w14:val="tx1"/>
                  </w14:solidFill>
                </w14:textFill>
              </w:rPr>
              <w:t>总量较大、违法行为持续时间较长，系数4-6；</w:t>
            </w:r>
            <w:r>
              <w:rPr>
                <w:rFonts w:hint="eastAsia" w:asciiTheme="minorEastAsia" w:hAnsiTheme="minorEastAsia" w:eastAsiaTheme="minorEastAsia"/>
                <w:color w:val="000000" w:themeColor="text1"/>
                <w:sz w:val="15"/>
                <w:szCs w:val="15"/>
                <w:highlight w:val="yellow"/>
                <w:lang w:val="en-US" w:eastAsia="zh-CN"/>
                <w14:textFill>
                  <w14:solidFill>
                    <w14:schemeClr w14:val="tx1"/>
                  </w14:solidFill>
                </w14:textFill>
              </w:rPr>
              <w:t>5</w:t>
            </w:r>
            <w:r>
              <w:rPr>
                <w:rFonts w:hint="eastAsia" w:asciiTheme="minorEastAsia" w:hAnsiTheme="minorEastAsia" w:eastAsiaTheme="minorEastAsia"/>
                <w:color w:val="000000" w:themeColor="text1"/>
                <w:sz w:val="15"/>
                <w:szCs w:val="15"/>
                <w:highlight w:val="yellow"/>
                <w14:textFill>
                  <w14:solidFill>
                    <w14:schemeClr w14:val="tx1"/>
                  </w14:solidFill>
                </w14:textFill>
              </w:rPr>
              <w:t>.对环境秩序造成较严重影响的，系数6-9</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w:t>
            </w:r>
          </w:p>
        </w:tc>
        <w:tc>
          <w:tcPr>
            <w:tcW w:w="1785" w:type="dxa"/>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yellow"/>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w:t>
            </w:r>
          </w:p>
        </w:tc>
        <w:tc>
          <w:tcPr>
            <w:tcW w:w="2385" w:type="dxa"/>
            <w:shd w:val="clear" w:color="auto" w:fill="auto"/>
            <w:vAlign w:val="center"/>
          </w:tcPr>
          <w:p>
            <w:pPr>
              <w:spacing w:line="180" w:lineRule="exact"/>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区域台帐与变量系数中</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倾倒、</w:t>
            </w: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抛撒</w:t>
            </w:r>
            <w:r>
              <w:rPr>
                <w:rFonts w:hint="eastAsia" w:cs="宋体" w:asciiTheme="minorEastAsia" w:hAnsiTheme="minorEastAsia" w:eastAsiaTheme="minorEastAsia"/>
                <w:color w:val="000000" w:themeColor="text1"/>
                <w:kern w:val="0"/>
                <w:sz w:val="15"/>
                <w:szCs w:val="15"/>
                <w:highlight w:val="yellow"/>
                <w14:textFill>
                  <w14:solidFill>
                    <w14:schemeClr w14:val="tx1"/>
                  </w14:solidFill>
                </w14:textFill>
              </w:rPr>
              <w:t>、堆放</w:t>
            </w: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点位重叠时，不适用区域系数。</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18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18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18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参照基准规定，并根据实际情况处罚。</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16" w:name="_Toc110851440"/>
            <w:bookmarkStart w:id="17" w:name="_Toc80602247"/>
            <w:bookmarkStart w:id="18" w:name="_Toc1752345302"/>
            <w:r>
              <w:rPr>
                <w:rFonts w:hint="eastAsia" w:asciiTheme="minorEastAsia" w:hAnsiTheme="minorEastAsia" w:eastAsiaTheme="minorEastAsia"/>
                <w:color w:val="000000" w:themeColor="text1"/>
                <w:sz w:val="20"/>
                <w:szCs w:val="20"/>
                <w:highlight w:val="none"/>
                <w14:textFill>
                  <w14:solidFill>
                    <w14:schemeClr w14:val="tx1"/>
                  </w14:solidFill>
                </w14:textFill>
              </w:rPr>
              <w:t>《中华人民共和国固体废物污染环境防治法》案由</w:t>
            </w:r>
            <w:r>
              <w:rPr>
                <w:rFonts w:asciiTheme="minorEastAsia" w:hAnsiTheme="minorEastAsia" w:eastAsiaTheme="minorEastAsia"/>
                <w:color w:val="000000" w:themeColor="text1"/>
                <w:sz w:val="20"/>
                <w:szCs w:val="20"/>
                <w:highlight w:val="none"/>
                <w14:textFill>
                  <w14:solidFill>
                    <w14:schemeClr w14:val="tx1"/>
                  </w14:solidFill>
                </w14:textFill>
              </w:rPr>
              <w:t>10</w:t>
            </w:r>
            <w:r>
              <w:rPr>
                <w:rFonts w:hint="eastAsia" w:asciiTheme="minorEastAsia" w:hAnsiTheme="minorEastAsia" w:eastAsiaTheme="minorEastAsia"/>
                <w:color w:val="000000" w:themeColor="text1"/>
                <w:sz w:val="20"/>
                <w:szCs w:val="20"/>
                <w:highlight w:val="none"/>
                <w14:textFill>
                  <w14:solidFill>
                    <w14:schemeClr w14:val="tx1"/>
                  </w14:solidFill>
                </w14:textFill>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拒绝、阻扰固体废物污染环境防治监督检查或在接受监督检查时弄虚作假</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50000</w:t>
            </w:r>
          </w:p>
        </w:tc>
        <w:tc>
          <w:tcPr>
            <w:tcW w:w="840" w:type="dxa"/>
            <w:shd w:val="clear" w:color="auto" w:fill="auto"/>
            <w:vAlign w:val="center"/>
          </w:tcPr>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196"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造成严重</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影响</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9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19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19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20000（</w:t>
            </w:r>
            <w:r>
              <w:rPr>
                <w:rFonts w:asciiTheme="minorEastAsia" w:hAnsiTheme="minorEastAsia" w:eastAsiaTheme="minorEastAsia"/>
                <w:color w:val="000000" w:themeColor="text1"/>
                <w:sz w:val="15"/>
                <w:szCs w:val="15"/>
                <w:highlight w:val="none"/>
                <w14:textFill>
                  <w14:solidFill>
                    <w14:schemeClr w14:val="tx1"/>
                  </w14:solidFill>
                </w14:textFill>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造成严重</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影响</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9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19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工程施工单位未编制建筑垃圾处理方案报备案</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lang w:val="e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违反条款：第六十三条第一款；处罚条款：第一百一十一条第一款第（三）项、第二款 责令</w:t>
            </w:r>
            <w:r>
              <w:rPr>
                <w:rFonts w:asciiTheme="minorEastAsia" w:hAnsiTheme="minorEastAsia" w:eastAsiaTheme="minorEastAsia"/>
                <w:color w:val="000000" w:themeColor="text1"/>
                <w:sz w:val="15"/>
                <w:szCs w:val="15"/>
                <w:highlight w:val="none"/>
                <w14:textFill>
                  <w14:solidFill>
                    <w14:schemeClr w14:val="tx1"/>
                  </w14:solidFill>
                </w14:textFill>
              </w:rPr>
              <w:t>改正，没收违法所得，对</w:t>
            </w:r>
            <w:r>
              <w:rPr>
                <w:rFonts w:hint="eastAsia" w:asciiTheme="minorEastAsia" w:hAnsiTheme="minorEastAsia" w:eastAsiaTheme="minorEastAsia"/>
                <w:color w:val="000000" w:themeColor="text1"/>
                <w:sz w:val="15"/>
                <w:szCs w:val="15"/>
                <w:highlight w:val="none"/>
                <w14:textFill>
                  <w14:solidFill>
                    <w14:schemeClr w14:val="tx1"/>
                  </w14:solidFill>
                </w14:textFill>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100000</w:t>
            </w:r>
          </w:p>
        </w:tc>
        <w:tc>
          <w:tcPr>
            <w:tcW w:w="840" w:type="dxa"/>
            <w:shd w:val="clear" w:color="auto" w:fill="auto"/>
            <w:vAlign w:val="center"/>
          </w:tcPr>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3.造</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成环境秩序较严重影响的，系数5-9。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196"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shd w:val="clear" w:color="auto" w:fill="auto"/>
            <w:vAlign w:val="center"/>
          </w:tcPr>
          <w:p>
            <w:pPr>
              <w:spacing w:line="196"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单位未在指定的地点分类投放生活垃圾情节</w:t>
            </w:r>
            <w:r>
              <w:rPr>
                <w:rFonts w:cs="宋体" w:asciiTheme="minorEastAsia" w:hAnsiTheme="minorEastAsia" w:eastAsiaTheme="minorEastAsia"/>
                <w:color w:val="000000" w:themeColor="text1"/>
                <w:sz w:val="15"/>
                <w:szCs w:val="15"/>
                <w:highlight w:val="none"/>
                <w14:textFill>
                  <w14:solidFill>
                    <w14:schemeClr w14:val="tx1"/>
                  </w14:solidFill>
                </w14:textFill>
              </w:rPr>
              <w:t>严重</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违反条款：第四十九条第二款；</w:t>
            </w:r>
            <w:r>
              <w:rPr>
                <w:rFonts w:cs="宋体" w:asciiTheme="minorEastAsia" w:hAnsiTheme="minorEastAsia" w:eastAsiaTheme="minorEastAsia"/>
                <w:color w:val="000000" w:themeColor="text1"/>
                <w:sz w:val="15"/>
                <w:szCs w:val="15"/>
                <w:highlight w:val="none"/>
                <w14:textFill>
                  <w14:solidFill>
                    <w14:schemeClr w14:val="tx1"/>
                  </w14:solidFill>
                </w14:textFill>
              </w:rPr>
              <w:t>处罚条款：</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第一百一十一条第三款 责令</w:t>
            </w:r>
            <w:r>
              <w:rPr>
                <w:rFonts w:cs="宋体" w:asciiTheme="minorEastAsia" w:hAnsiTheme="minorEastAsia" w:eastAsiaTheme="minorEastAsia"/>
                <w:color w:val="000000" w:themeColor="text1"/>
                <w:sz w:val="15"/>
                <w:szCs w:val="15"/>
                <w:highlight w:val="none"/>
                <w14:textFill>
                  <w14:solidFill>
                    <w14:schemeClr w14:val="tx1"/>
                  </w14:solidFill>
                </w14:textFill>
              </w:rPr>
              <w:t>改正；情节严重的</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1．垃圾占地面积6－10㎡，系数1；</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11-15</w:t>
            </w:r>
            <w:r>
              <w:rPr>
                <w:rFonts w:hint="eastAsia"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w:t>
            </w:r>
            <w:r>
              <w:rPr>
                <w:rFonts w:hint="eastAsia" w:asciiTheme="minorEastAsia" w:hAnsiTheme="minorEastAsia"/>
                <w:color w:val="000000" w:themeColor="text1"/>
                <w:sz w:val="15"/>
                <w:szCs w:val="15"/>
                <w:highlight w:val="none"/>
                <w:lang w:val="en-US" w:eastAsia="zh-CN"/>
                <w14:textFill>
                  <w14:solidFill>
                    <w14:schemeClr w14:val="tx1"/>
                  </w14:solidFill>
                </w14:textFill>
              </w:rPr>
              <w:t>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随意倾倒、丢弃、堆放至城市道路、绿地、林地、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河道、铁路、轨道交通、公厕、桥下空间等公共场所及周边，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燃气、供暖、石油长输管道、供水、排水、电力、通信等公用管道和设施保护（管理）范围的，系数为3；3.</w:t>
            </w:r>
            <w:r>
              <w:rPr>
                <w:rFonts w:hint="eastAsia" w:asciiTheme="minorEastAsia" w:hAnsiTheme="minorEastAsia" w:eastAsiaTheme="minorEastAsia"/>
                <w:color w:val="000000" w:themeColor="text1"/>
                <w:sz w:val="15"/>
                <w:szCs w:val="15"/>
                <w:highlight w:val="none"/>
                <w14:textFill>
                  <w14:solidFill>
                    <w14:schemeClr w14:val="tx1"/>
                  </w14:solidFill>
                </w14:textFill>
              </w:rPr>
              <w:t>倾倒、丢弃、堆放生活</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垃圾</w:t>
            </w:r>
            <w:r>
              <w:rPr>
                <w:rFonts w:hint="eastAsia" w:asciiTheme="minorEastAsia" w:hAnsiTheme="minorEastAsia" w:eastAsiaTheme="minorEastAsia"/>
                <w:color w:val="000000" w:themeColor="text1"/>
                <w:sz w:val="15"/>
                <w:szCs w:val="15"/>
                <w:highlight w:val="none"/>
                <w14:textFill>
                  <w14:solidFill>
                    <w14:schemeClr w14:val="tx1"/>
                  </w14:solidFill>
                </w14:textFill>
              </w:rPr>
              <w:t>总量较大、违法行为持续时间较长，系数4-6；4.对环境秩序造成较严重影响的，系数6-9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50000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196"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构成变量系数、常量系数情形的，视为”情节严重“</w:t>
            </w:r>
          </w:p>
          <w:p>
            <w:pPr>
              <w:pStyle w:val="9"/>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p>
          <w:p>
            <w:pPr>
              <w:pStyle w:val="10"/>
              <w:rPr>
                <w:rFonts w:hint="eastAsia"/>
                <w:color w:val="000000" w:themeColor="text1"/>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区域台帐与变量系数中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倾倒、丢弃、堆放</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点位重叠时，不适用区域系数。</w:t>
            </w:r>
          </w:p>
        </w:tc>
        <w:tc>
          <w:tcPr>
            <w:tcW w:w="824" w:type="dxa"/>
            <w:shd w:val="clear" w:color="auto" w:fill="auto"/>
            <w:vAlign w:val="center"/>
          </w:tcPr>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19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4</w:t>
            </w:r>
          </w:p>
        </w:tc>
        <w:tc>
          <w:tcPr>
            <w:tcW w:w="1500" w:type="dxa"/>
            <w:vMerge w:val="restart"/>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随意倾倒、抛撒或者堆放生活垃圾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违反条款：第四十九条第二款；处罚条款：第一百一十一条第一款第（一）项、第二款，责令改正，没收违法所得</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r>
              <w:rPr>
                <w:rFonts w:asciiTheme="minorEastAsia" w:hAnsiTheme="minorEastAsia" w:eastAsiaTheme="minorEastAsia"/>
                <w:color w:val="000000" w:themeColor="text1"/>
                <w:sz w:val="15"/>
                <w:szCs w:val="15"/>
                <w:highlight w:val="none"/>
                <w14:textFill>
                  <w14:solidFill>
                    <w14:schemeClr w14:val="tx1"/>
                  </w14:solidFill>
                </w14:textFill>
              </w:rPr>
              <w:t>0</w:t>
            </w:r>
          </w:p>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（单位）</w:t>
            </w:r>
          </w:p>
        </w:tc>
        <w:tc>
          <w:tcPr>
            <w:tcW w:w="840" w:type="dxa"/>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vMerge w:val="restart"/>
            <w:shd w:val="clear" w:color="auto" w:fill="auto"/>
            <w:vAlign w:val="center"/>
          </w:tcPr>
          <w:p>
            <w:pPr>
              <w:widowControl w:val="0"/>
              <w:numPr>
                <w:ilvl w:val="0"/>
                <w:numId w:val="0"/>
              </w:numPr>
              <w:jc w:val="both"/>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污染道路长21－30米的，系数1；31－40米的，系数2；以此类推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米及以上的，系数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垃圾占地面积在5</w:t>
            </w:r>
            <w:r>
              <w:rPr>
                <w:rFonts w:hint="eastAsia" w:cs="Microsoft JhengHei"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0；6－10</w:t>
            </w:r>
            <w:r>
              <w:rPr>
                <w:rFonts w:hint="eastAsia" w:cs="Microsoft JhengHei"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w:t>
            </w:r>
            <w:r>
              <w:rPr>
                <w:rFonts w:hint="eastAsia" w:asciiTheme="minorEastAsia" w:hAnsiTheme="minorEastAsia"/>
                <w:color w:val="000000" w:themeColor="text1"/>
                <w:sz w:val="15"/>
                <w:szCs w:val="15"/>
                <w:highlight w:val="none"/>
                <w:lang w:val="en-US" w:eastAsia="zh-CN"/>
                <w14:textFill>
                  <w14:solidFill>
                    <w14:schemeClr w14:val="tx1"/>
                  </w14:solidFill>
                </w14:textFill>
              </w:rPr>
              <w:t>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随意倾倒、</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抛撒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、堆放至城市道路、绿地、林地、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河道、铁路、轨道交通、公厕、桥下空间等公共场所及周边，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燃气、供暖、石油长输管道、供水、排水、电力、通信等公用管道和设施保护（管理）范围的，系数为3；</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倾倒、丢弃、堆放生活</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垃圾</w:t>
            </w:r>
            <w:r>
              <w:rPr>
                <w:rFonts w:hint="eastAsia" w:asciiTheme="minorEastAsia" w:hAnsiTheme="minorEastAsia" w:eastAsiaTheme="minorEastAsia"/>
                <w:color w:val="000000" w:themeColor="text1"/>
                <w:sz w:val="15"/>
                <w:szCs w:val="15"/>
                <w:highlight w:val="none"/>
                <w14:textFill>
                  <w14:solidFill>
                    <w14:schemeClr w14:val="tx1"/>
                  </w14:solidFill>
                </w14:textFill>
              </w:rPr>
              <w:t>总量较大、违法行为持续时间较长，系数4-6；</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w:t>
            </w:r>
            <w:r>
              <w:rPr>
                <w:rFonts w:hint="eastAsia" w:asciiTheme="minorEastAsia" w:hAnsiTheme="minorEastAsia" w:eastAsiaTheme="minorEastAsia"/>
                <w:color w:val="000000" w:themeColor="text1"/>
                <w:sz w:val="15"/>
                <w:szCs w:val="15"/>
                <w:highlight w:val="none"/>
                <w14:textFill>
                  <w14:solidFill>
                    <w14:schemeClr w14:val="tx1"/>
                  </w14:solidFill>
                </w14:textFill>
              </w:rPr>
              <w:t>.对环境秩序造成较严重影响的，系数6-9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区域台帐与变量系数中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倾倒、</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抛撒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点位重叠时，不适用区域系数。</w:t>
            </w:r>
          </w:p>
        </w:tc>
        <w:tc>
          <w:tcPr>
            <w:tcW w:w="824" w:type="dxa"/>
            <w:vMerge w:val="restart"/>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pPr>
              <w:spacing w:line="19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auto"/>
            <w:vAlign w:val="center"/>
          </w:tcPr>
          <w:p>
            <w:pPr>
              <w:spacing w:line="19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w:t>
            </w:r>
          </w:p>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（个人）</w:t>
            </w:r>
          </w:p>
        </w:tc>
        <w:tc>
          <w:tcPr>
            <w:tcW w:w="840" w:type="dxa"/>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vMerge w:val="continue"/>
            <w:shd w:val="clear" w:color="auto" w:fill="auto"/>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区域台帐与变量系数中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倾倒、</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抛撒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点位重叠时，不适用区域系数。</w:t>
            </w:r>
          </w:p>
        </w:tc>
        <w:tc>
          <w:tcPr>
            <w:tcW w:w="824" w:type="dxa"/>
            <w:vMerge w:val="continue"/>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75" w:hRule="atLeast"/>
          <w:jc w:val="center"/>
        </w:trPr>
        <w:tc>
          <w:tcPr>
            <w:tcW w:w="940" w:type="dxa"/>
            <w:shd w:val="clear" w:color="auto" w:fill="auto"/>
            <w:vAlign w:val="center"/>
          </w:tcPr>
          <w:p>
            <w:pPr>
              <w:spacing w:line="19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5</w:t>
            </w:r>
          </w:p>
        </w:tc>
        <w:tc>
          <w:tcPr>
            <w:tcW w:w="1500" w:type="dxa"/>
            <w:shd w:val="clear" w:color="auto" w:fill="auto"/>
            <w:vAlign w:val="center"/>
          </w:tcPr>
          <w:p>
            <w:pPr>
              <w:spacing w:line="19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擅自关闭、闲置或者拆除生活垃圾处理设施、场所</w:t>
            </w:r>
          </w:p>
        </w:tc>
        <w:tc>
          <w:tcPr>
            <w:tcW w:w="2789"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违反条款：第五十五条第三款；处罚条款：第一百一十一条第一款第（二）项、第二款，责令</w:t>
            </w:r>
            <w:r>
              <w:rPr>
                <w:rFonts w:asciiTheme="minorEastAsia" w:hAnsiTheme="minorEastAsia" w:eastAsiaTheme="minorEastAsia"/>
                <w:color w:val="000000" w:themeColor="text1"/>
                <w:sz w:val="15"/>
                <w:szCs w:val="15"/>
                <w:highlight w:val="none"/>
                <w14:textFill>
                  <w14:solidFill>
                    <w14:schemeClr w14:val="tx1"/>
                  </w14:solidFill>
                </w14:textFill>
              </w:rPr>
              <w:t>改正，没收违法所得，</w:t>
            </w:r>
            <w:r>
              <w:rPr>
                <w:rFonts w:hint="eastAsia" w:asciiTheme="minorEastAsia" w:hAnsiTheme="minorEastAsia" w:eastAsiaTheme="minorEastAsia"/>
                <w:color w:val="000000" w:themeColor="text1"/>
                <w:sz w:val="15"/>
                <w:szCs w:val="15"/>
                <w:highlight w:val="none"/>
                <w14:textFill>
                  <w14:solidFill>
                    <w14:schemeClr w14:val="tx1"/>
                  </w14:solidFill>
                </w14:textFill>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p>
        </w:tc>
        <w:tc>
          <w:tcPr>
            <w:tcW w:w="840" w:type="dxa"/>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1.位于</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车站、机场、居民小区、医院、学校、体育场馆、影剧院、繁华商业街区、旅游景区等人口集中地区的，系数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3-5；2.涉及</w:t>
            </w:r>
            <w:r>
              <w:rPr>
                <w:rFonts w:hint="eastAsia" w:asciiTheme="minorEastAsia" w:hAnsiTheme="minorEastAsia" w:eastAsiaTheme="minorEastAsia"/>
                <w:color w:val="000000" w:themeColor="text1"/>
                <w:sz w:val="15"/>
                <w:szCs w:val="15"/>
                <w:highlight w:val="none"/>
                <w14:textFill>
                  <w14:solidFill>
                    <w14:schemeClr w14:val="tx1"/>
                  </w14:solidFill>
                </w14:textFill>
              </w:rPr>
              <w:t>集中处理设施和场所</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，或者</w:t>
            </w:r>
            <w:r>
              <w:rPr>
                <w:rFonts w:hint="eastAsia" w:asciiTheme="minorEastAsia" w:hAnsiTheme="minorEastAsia" w:eastAsiaTheme="minorEastAsia"/>
                <w:color w:val="000000" w:themeColor="text1"/>
                <w:sz w:val="15"/>
                <w:szCs w:val="15"/>
                <w:highlight w:val="none"/>
                <w14:textFill>
                  <w14:solidFill>
                    <w14:schemeClr w14:val="tx1"/>
                  </w14:solidFill>
                </w14:textFill>
              </w:rPr>
              <w:t>较大餐饮服务单位</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大型蔬菜果品批发市场、物流配送中心</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等</w:t>
            </w:r>
            <w:r>
              <w:rPr>
                <w:rFonts w:hint="eastAsia" w:asciiTheme="minorEastAsia" w:hAnsiTheme="minorEastAsia" w:eastAsiaTheme="minorEastAsia"/>
                <w:color w:val="000000" w:themeColor="text1"/>
                <w:sz w:val="15"/>
                <w:szCs w:val="15"/>
                <w:highlight w:val="none"/>
                <w14:textFill>
                  <w14:solidFill>
                    <w14:schemeClr w14:val="tx1"/>
                  </w14:solidFill>
                </w14:textFill>
              </w:rPr>
              <w:t>违法</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的，</w:t>
            </w:r>
            <w:r>
              <w:rPr>
                <w:rFonts w:hint="eastAsia"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6</w:t>
            </w:r>
            <w:r>
              <w:rPr>
                <w:rFonts w:hint="eastAsia"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.造成较大社会影响或者严重后果的其它情形，系数</w:t>
            </w:r>
            <w:r>
              <w:rPr>
                <w:rFonts w:hint="eastAsia" w:asciiTheme="minorEastAsia" w:hAnsiTheme="minorEastAsia" w:eastAsiaTheme="minorEastAsia"/>
                <w:strike w:val="0"/>
                <w:dstrike w:val="0"/>
                <w:color w:val="000000" w:themeColor="text1"/>
                <w:sz w:val="15"/>
                <w:szCs w:val="15"/>
                <w:highlight w:val="none"/>
                <w:lang w:val="en-US" w:eastAsia="zh-CN"/>
                <w14:textFill>
                  <w14:solidFill>
                    <w14:schemeClr w14:val="tx1"/>
                  </w14:solidFill>
                </w14:textFill>
              </w:rPr>
              <w:t>6</w:t>
            </w: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-9</w:t>
            </w:r>
            <w:r>
              <w:rPr>
                <w:rFonts w:hint="eastAsia" w:asciiTheme="minorEastAsia" w:hAnsiTheme="minorEastAsia" w:eastAsiaTheme="minorEastAsia"/>
                <w:strike w:val="0"/>
                <w:color w:val="000000" w:themeColor="text1"/>
                <w:sz w:val="15"/>
                <w:szCs w:val="15"/>
                <w:highlight w:val="none"/>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spacing w:line="190"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p>
        </w:tc>
        <w:tc>
          <w:tcPr>
            <w:tcW w:w="824" w:type="dxa"/>
            <w:shd w:val="clear" w:color="auto" w:fill="auto"/>
            <w:vAlign w:val="center"/>
          </w:tcPr>
          <w:p>
            <w:pPr>
              <w:spacing w:line="190" w:lineRule="exact"/>
              <w:jc w:val="cente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工程施工单位未及时清运施工过程中产生的固体废物</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违反条款：第六十三条第二款；处罚条款：第一百一十一条第一款第（三）项、第二款 责令</w:t>
            </w:r>
            <w:r>
              <w:rPr>
                <w:rFonts w:asciiTheme="minorEastAsia" w:hAnsiTheme="minorEastAsia" w:eastAsiaTheme="minorEastAsia"/>
                <w:color w:val="000000" w:themeColor="text1"/>
                <w:sz w:val="15"/>
                <w:szCs w:val="15"/>
                <w:highlight w:val="none"/>
                <w14:textFill>
                  <w14:solidFill>
                    <w14:schemeClr w14:val="tx1"/>
                  </w14:solidFill>
                </w14:textFill>
              </w:rPr>
              <w:t>改正，没收违法所得，对</w:t>
            </w:r>
            <w:r>
              <w:rPr>
                <w:rFonts w:hint="eastAsia" w:asciiTheme="minorEastAsia" w:hAnsiTheme="minorEastAsia" w:eastAsiaTheme="minorEastAsia"/>
                <w:color w:val="000000" w:themeColor="text1"/>
                <w:sz w:val="15"/>
                <w:szCs w:val="15"/>
                <w:highlight w:val="none"/>
                <w14:textFill>
                  <w14:solidFill>
                    <w14:schemeClr w14:val="tx1"/>
                  </w14:solidFill>
                </w14:textFill>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1.垃圾占地面积10㎡</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0；11－15㎡</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数1；16－20㎡</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。2.逾期不清的，每逾期2天，系数为１，以此累加</w:t>
            </w:r>
            <w:r>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18天及以上的，</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3.造成尘土飞扬，严重污染环境的，系数为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b/>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b/>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工程施工单位擅自倾倒、抛撒或者堆放工程施工过程中产生的建筑垃圾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违反条款：第六十三条第三款；处罚条款：第一百一十一条第一款第（四）项、第二款责令</w:t>
            </w:r>
            <w:r>
              <w:rPr>
                <w:rFonts w:asciiTheme="minorEastAsia" w:hAnsiTheme="minorEastAsia" w:eastAsiaTheme="minorEastAsia"/>
                <w:color w:val="000000" w:themeColor="text1"/>
                <w:sz w:val="15"/>
                <w:szCs w:val="15"/>
                <w:highlight w:val="none"/>
                <w14:textFill>
                  <w14:solidFill>
                    <w14:schemeClr w14:val="tx1"/>
                  </w14:solidFill>
                </w14:textFill>
              </w:rPr>
              <w:t>改正，没收违法所得，对</w:t>
            </w:r>
            <w:r>
              <w:rPr>
                <w:rFonts w:hint="eastAsia" w:asciiTheme="minorEastAsia" w:hAnsiTheme="minorEastAsia" w:eastAsiaTheme="minorEastAsia"/>
                <w:color w:val="000000" w:themeColor="text1"/>
                <w:sz w:val="15"/>
                <w:szCs w:val="15"/>
                <w:highlight w:val="none"/>
                <w14:textFill>
                  <w14:solidFill>
                    <w14:schemeClr w14:val="tx1"/>
                  </w14:solidFill>
                </w14:textFill>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.污染道路长21－30米的，系数1；31－40米的，系数2；以此类推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b/>
                <w:bCs/>
                <w:color w:val="000000" w:themeColor="text1"/>
                <w:sz w:val="15"/>
                <w:szCs w:val="15"/>
                <w:highlight w:val="none"/>
                <w:lang w:val="en-US" w:eastAsia="zh-CN"/>
                <w14:textFill>
                  <w14:solidFill>
                    <w14:schemeClr w14:val="tx1"/>
                  </w14:solidFill>
                </w14:textFill>
              </w:rPr>
              <w:t>2</w:t>
            </w:r>
            <w:r>
              <w:rPr>
                <w:rFonts w:hint="eastAsia" w:asciiTheme="minorEastAsia" w:hAnsiTheme="minorEastAsia" w:eastAsiaTheme="minorEastAsia"/>
                <w:b w:val="0"/>
                <w:bCs w:val="0"/>
                <w:color w:val="000000" w:themeColor="text1"/>
                <w:sz w:val="15"/>
                <w:szCs w:val="15"/>
                <w:highlight w:val="none"/>
                <w:lang w:val="en-US" w:eastAsia="zh-CN"/>
                <w14:textFill>
                  <w14:solidFill>
                    <w14:schemeClr w14:val="tx1"/>
                  </w14:solidFill>
                </w14:textFill>
              </w:rPr>
              <w:t>.</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建筑</w:t>
            </w:r>
            <w:r>
              <w:rPr>
                <w:rFonts w:asciiTheme="minorEastAsia" w:hAnsiTheme="minorEastAsia" w:eastAsiaTheme="minorEastAsia"/>
                <w:b w:val="0"/>
                <w:bCs w:val="0"/>
                <w:color w:val="000000" w:themeColor="text1"/>
                <w:sz w:val="15"/>
                <w:szCs w:val="15"/>
                <w:highlight w:val="none"/>
                <w14:textFill>
                  <w14:solidFill>
                    <w14:schemeClr w14:val="tx1"/>
                  </w14:solidFill>
                </w14:textFill>
              </w:rPr>
              <w:t>垃圾占地面积</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10</w:t>
            </w:r>
            <w:r>
              <w:rPr>
                <w:rFonts w:hint="eastAsia" w:cs="Batang"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以下</w:t>
            </w:r>
            <w:r>
              <w:rPr>
                <w:rFonts w:asciiTheme="minorEastAsia" w:hAnsiTheme="minorEastAsia" w:eastAsiaTheme="minorEastAsia"/>
                <w:b w:val="0"/>
                <w:bCs w:val="0"/>
                <w:color w:val="000000" w:themeColor="text1"/>
                <w:sz w:val="15"/>
                <w:szCs w:val="15"/>
                <w:highlight w:val="none"/>
                <w14:textFill>
                  <w14:solidFill>
                    <w14:schemeClr w14:val="tx1"/>
                  </w14:solidFill>
                </w14:textFill>
              </w:rPr>
              <w:t>的，系数为</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0；11—15</w:t>
            </w:r>
            <w:r>
              <w:rPr>
                <w:rFonts w:hint="eastAsia" w:cs="Batang"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asciiTheme="minorEastAsia" w:hAnsiTheme="minorEastAsia" w:eastAsiaTheme="minorEastAsia"/>
                <w:b w:val="0"/>
                <w:bCs w:val="0"/>
                <w:color w:val="000000" w:themeColor="text1"/>
                <w:sz w:val="15"/>
                <w:szCs w:val="15"/>
                <w:highlight w:val="none"/>
                <w14:textFill>
                  <w14:solidFill>
                    <w14:schemeClr w14:val="tx1"/>
                  </w14:solidFill>
                </w14:textFill>
              </w:rPr>
              <w:t>系数为</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1；16</w:t>
            </w:r>
            <w:r>
              <w:rPr>
                <w:rFonts w:asciiTheme="minorEastAsia" w:hAnsiTheme="minorEastAsia" w:eastAsiaTheme="minorEastAsia"/>
                <w:b w:val="0"/>
                <w:bCs w:val="0"/>
                <w:color w:val="000000" w:themeColor="text1"/>
                <w:sz w:val="15"/>
                <w:szCs w:val="15"/>
                <w:highlight w:val="none"/>
                <w14:textFill>
                  <w14:solidFill>
                    <w14:schemeClr w14:val="tx1"/>
                  </w14:solidFill>
                </w14:textFill>
              </w:rPr>
              <w:t>-20</w:t>
            </w:r>
            <w:r>
              <w:rPr>
                <w:rFonts w:hint="eastAsia" w:cs="Batang"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系数</w:t>
            </w:r>
            <w:r>
              <w:rPr>
                <w:rFonts w:asciiTheme="minorEastAsia" w:hAnsiTheme="minorEastAsia" w:eastAsiaTheme="minorEastAsia"/>
                <w:b w:val="0"/>
                <w:bCs w:val="0"/>
                <w:color w:val="000000" w:themeColor="text1"/>
                <w:sz w:val="15"/>
                <w:szCs w:val="15"/>
                <w:highlight w:val="none"/>
                <w14:textFill>
                  <w14:solidFill>
                    <w14:schemeClr w14:val="tx1"/>
                  </w14:solidFill>
                </w14:textFill>
              </w:rPr>
              <w:t>为</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2，以此</w:t>
            </w:r>
            <w:r>
              <w:rPr>
                <w:rFonts w:asciiTheme="minorEastAsia" w:hAnsiTheme="minorEastAsia" w:eastAsiaTheme="minorEastAsia"/>
                <w:b w:val="0"/>
                <w:bCs w:val="0"/>
                <w:color w:val="000000" w:themeColor="text1"/>
                <w:sz w:val="15"/>
                <w:szCs w:val="15"/>
                <w:highlight w:val="none"/>
                <w14:textFill>
                  <w14:solidFill>
                    <w14:schemeClr w14:val="tx1"/>
                  </w14:solidFill>
                </w14:textFill>
              </w:rPr>
              <w:t>类推</w:t>
            </w:r>
            <w:r>
              <w:rPr>
                <w:rFonts w:hint="eastAsia" w:asciiTheme="minorEastAsia" w:hAnsiTheme="minorEastAsia" w:eastAsiaTheme="minorEastAsia"/>
                <w:b w:val="0"/>
                <w:bCs w:val="0"/>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b w:val="0"/>
                <w:bCs w:val="0"/>
                <w:color w:val="000000" w:themeColor="text1"/>
                <w:sz w:val="15"/>
                <w:szCs w:val="15"/>
                <w:highlight w:val="none"/>
                <w:lang w:val="en-US" w:eastAsia="zh-CN"/>
                <w14:textFill>
                  <w14:solidFill>
                    <w14:schemeClr w14:val="tx1"/>
                  </w14:solidFill>
                </w14:textFill>
              </w:rPr>
              <w:t>51</w:t>
            </w:r>
            <w:r>
              <w:rPr>
                <w:rFonts w:hint="eastAsia" w:cs="Batang" w:asciiTheme="minorEastAsia" w:hAnsiTheme="minorEastAsia" w:eastAsiaTheme="minorEastAsia"/>
                <w:b w:val="0"/>
                <w:bCs w:val="0"/>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b w:val="0"/>
                <w:bCs w:val="0"/>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b w:val="0"/>
                <w:bCs w:val="0"/>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.将垃圾随意倾倒、</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抛撒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、堆放至城市道路、绿地、林地、</w:t>
            </w:r>
            <w:r>
              <w:rPr>
                <w:rFonts w:hint="eastAsia" w:cs="宋体" w:asciiTheme="minorEastAsia" w:hAnsi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河道、铁路、轨道交通、公厕、桥下空间等公共场所及周边，</w:t>
            </w:r>
            <w:r>
              <w:rPr>
                <w:rFonts w:hint="eastAsia" w:cs="宋体" w:asciiTheme="minorEastAsia" w:hAnsi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燃气、供暖、石油长输管道、供水、排水、电力、通信等公用管道和设施保护（管理）范围的，系数为3；</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.违法行为持续时间较长、对环境秩序造成较严重影响的，系数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b/>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区域台帐与变量系数中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倾倒、</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抛撒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、堆放</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点位重叠时，不适用区域系数。。</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b/>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工程施工单位未按照规定对施工过程中产生的固体废物进行利用或者处置的</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违反条款：第六十三条第二款；处罚条款：第一百一十一条第一款第（四）项、第二款 责令</w:t>
            </w:r>
            <w:r>
              <w:rPr>
                <w:rFonts w:asciiTheme="minorEastAsia" w:hAnsiTheme="minorEastAsia" w:eastAsiaTheme="minorEastAsia"/>
                <w:color w:val="000000" w:themeColor="text1"/>
                <w:sz w:val="15"/>
                <w:szCs w:val="15"/>
                <w:highlight w:val="none"/>
                <w14:textFill>
                  <w14:solidFill>
                    <w14:schemeClr w14:val="tx1"/>
                  </w14:solidFill>
                </w14:textFill>
              </w:rPr>
              <w:t>改正，没收违法所得，对</w:t>
            </w:r>
            <w:r>
              <w:rPr>
                <w:rFonts w:hint="eastAsia" w:asciiTheme="minorEastAsia" w:hAnsiTheme="minorEastAsia" w:eastAsiaTheme="minorEastAsia"/>
                <w:color w:val="000000" w:themeColor="text1"/>
                <w:sz w:val="15"/>
                <w:szCs w:val="15"/>
                <w:highlight w:val="none"/>
                <w14:textFill>
                  <w14:solidFill>
                    <w14:schemeClr w14:val="tx1"/>
                  </w14:solidFill>
                </w14:textFill>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利用或处置的固体废物</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占地面积10</w:t>
            </w:r>
            <w:r>
              <w:rPr>
                <w:rFonts w:hint="eastAsia" w:cs="Microsoft JhengHei"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0；11－15</w:t>
            </w:r>
            <w:r>
              <w:rPr>
                <w:rFonts w:hint="eastAsia" w:cs="Microsoft JhengHei"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1；16－20</w:t>
            </w:r>
            <w:r>
              <w:rPr>
                <w:rFonts w:hint="eastAsia" w:cs="Microsoft JhengHei"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56</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2.未按规定进行利用或者处置固体废物数量较大的、</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严重污染环境</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或者</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造成其他严重社会影响的，系数5-9。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b/>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b/>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未将厨余垃圾交由具备相应资质条件的单位进行无害化处理</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违反条款：第五十七条第二款；处罚条款：第一百一十一条第一款第（五）项、第二款 责令改正，没收违法所得</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.将厨余垃圾随意倾倒、丢弃、堆放城市道路、绿地、林地、</w:t>
            </w:r>
            <w:r>
              <w:rPr>
                <w:rFonts w:hint="eastAsia" w:cs="宋体" w:asciiTheme="minorEastAsia" w:hAnsi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河道、铁路、轨道交通、公厕、桥下空间等公共场所及周边，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燃气、供暖、石油长输管道、供水、排水、电力、通信等公用管道和设施保护（管理）范围的，系数为3</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厨余垃圾总量较大、持续时间较长、对环境秩序造成较严重影响的，系数3-9；</w:t>
            </w: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.将厨余垃圾随意倾倒、丢弃、堆放</w:t>
            </w: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至</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城市道路、绿地、林地、</w:t>
            </w:r>
            <w:r>
              <w:rPr>
                <w:rFonts w:hint="eastAsia" w:cs="宋体" w:asciiTheme="minorEastAsia" w:hAnsi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河道、铁路、轨道交通、公厕、桥下空间等公共场所及周边，</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厨余垃圾总量较大、持续时间较长、对环境秩序造成较严重影响的，系数</w:t>
            </w:r>
            <w:r>
              <w:rPr>
                <w:rFonts w:hint="eastAsia" w:cs="宋体" w:asciiTheme="minorEastAsia" w:hAnsiTheme="minorEastAsia" w:eastAsiaTheme="minorEastAsia"/>
                <w:color w:val="000000" w:themeColor="text1"/>
                <w:spacing w:val="-4"/>
                <w:kern w:val="0"/>
                <w:sz w:val="15"/>
                <w:szCs w:val="15"/>
                <w:highlight w:val="none"/>
                <w:lang w:val="en-US" w:eastAsia="zh-CN"/>
                <w14:textFill>
                  <w14:solidFill>
                    <w14:schemeClr w14:val="tx1"/>
                  </w14:solidFill>
                </w14:textFill>
              </w:rPr>
              <w:t>2-4</w:t>
            </w: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w:t>
            </w:r>
            <w:r>
              <w:rPr>
                <w:rFonts w:hint="default" w:cs="宋体" w:asciiTheme="minorEastAsia" w:hAnsiTheme="minorEastAsia" w:eastAsiaTheme="minorEastAsia"/>
                <w:color w:val="000000" w:themeColor="text1"/>
                <w:spacing w:val="-4"/>
                <w:kern w:val="0"/>
                <w:sz w:val="15"/>
                <w:szCs w:val="15"/>
                <w:highlight w:val="none"/>
                <w:lang w:val="en-US"/>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.知道或者应当知道无资质收运单位和个人收集厨余垃圾用于生产“地沟油”而继续交运的，系数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运输过程中沿途丢弃、遗撒生活垃圾</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违反条款：第二十条第一款；处罚条款：第一百一十一条第一款第（七）项、第二款，责令改正</w:t>
            </w:r>
            <w:r>
              <w:rPr>
                <w:rFonts w:asciiTheme="minorEastAsia" w:hAnsiTheme="minorEastAsia" w:eastAsiaTheme="minorEastAsia"/>
                <w:color w:val="000000" w:themeColor="text1"/>
                <w:sz w:val="15"/>
                <w:szCs w:val="15"/>
                <w:highlight w:val="none"/>
                <w14:textFill>
                  <w14:solidFill>
                    <w14:schemeClr w14:val="tx1"/>
                  </w14:solidFill>
                </w14:textFill>
              </w:rPr>
              <w:t>，没收违法所得</w:t>
            </w:r>
            <w:r>
              <w:rPr>
                <w:rFonts w:hint="eastAsia" w:asciiTheme="minorEastAsia" w:hAnsiTheme="minorEastAsia" w:eastAsiaTheme="minorEastAsia"/>
                <w:color w:val="000000" w:themeColor="text1"/>
                <w:sz w:val="15"/>
                <w:szCs w:val="15"/>
                <w:highlight w:val="none"/>
                <w14:textFill>
                  <w14:solidFill>
                    <w14:schemeClr w14:val="tx1"/>
                  </w14:solidFill>
                </w14:textFill>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r>
              <w:rPr>
                <w:rFonts w:asciiTheme="minorEastAsia" w:hAnsiTheme="minorEastAsia" w:eastAsiaTheme="minorEastAsia"/>
                <w:color w:val="000000" w:themeColor="text1"/>
                <w:sz w:val="15"/>
                <w:szCs w:val="15"/>
                <w:highlight w:val="none"/>
                <w14:textFill>
                  <w14:solidFill>
                    <w14:schemeClr w14:val="tx1"/>
                  </w14:solidFill>
                </w14:textFill>
              </w:rPr>
              <w:t>0</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污染道路长21－30米的，系数1；31－40米的，系数2；以此类推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p>
            <w:pPr>
              <w:numPr>
                <w:ilvl w:val="0"/>
                <w:numId w:val="0"/>
              </w:numP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随意倾</w:t>
            </w:r>
            <w:r>
              <w:rPr>
                <w:rFonts w:hint="eastAsia" w:asciiTheme="minorEastAsia" w:hAnsiTheme="minorEastAsia" w:eastAsiaTheme="minorEastAsia"/>
                <w:color w:val="000000" w:themeColor="text1"/>
                <w:sz w:val="15"/>
                <w:szCs w:val="15"/>
                <w:highlight w:val="none"/>
                <w14:textFill>
                  <w14:solidFill>
                    <w14:schemeClr w14:val="tx1"/>
                  </w14:solidFill>
                </w14:textFill>
              </w:rPr>
              <w:t>丢弃、遗撒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至城市道路、绿地、林地、</w:t>
            </w:r>
            <w:r>
              <w:rPr>
                <w:rFonts w:hint="eastAsia" w:cs="宋体" w:asciiTheme="minorEastAsia" w:hAnsi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河道、铁路、轨道交通、公厕、桥下空间等公共场所及周边，</w:t>
            </w:r>
            <w:r>
              <w:rPr>
                <w:rFonts w:hint="eastAsia" w:cs="宋体" w:asciiTheme="minorEastAsia" w:hAnsi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r>
              <w:rPr>
                <w:rFonts w:hint="eastAsia" w:asciiTheme="minorEastAsia" w:hAnsiTheme="minorEastAsia" w:eastAsiaTheme="minorEastAsia"/>
                <w:color w:val="000000" w:themeColor="text1"/>
                <w:sz w:val="15"/>
                <w:szCs w:val="15"/>
                <w:highlight w:val="none"/>
                <w14:textFill>
                  <w14:solidFill>
                    <w14:schemeClr w14:val="tx1"/>
                  </w14:solidFill>
                </w14:textFill>
              </w:rPr>
              <w:t>倾倒、丢弃、堆放生活</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垃圾</w:t>
            </w:r>
            <w:r>
              <w:rPr>
                <w:rFonts w:hint="eastAsia" w:asciiTheme="minorEastAsia" w:hAnsiTheme="minorEastAsia" w:eastAsiaTheme="minorEastAsia"/>
                <w:color w:val="000000" w:themeColor="text1"/>
                <w:sz w:val="15"/>
                <w:szCs w:val="15"/>
                <w:highlight w:val="none"/>
                <w14:textFill>
                  <w14:solidFill>
                    <w14:schemeClr w14:val="tx1"/>
                  </w14:solidFill>
                </w14:textFill>
              </w:rPr>
              <w:t>总量较大、违法行为持续时间较长，系数4-6；</w:t>
            </w:r>
          </w:p>
          <w:p>
            <w:pP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4.对环境秩序造成较严重影响的，系数6-9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w:t>
            </w:r>
            <w:r>
              <w:rPr>
                <w:rFonts w:asciiTheme="minorEastAsia" w:hAnsiTheme="minorEastAsia" w:eastAsiaTheme="minorEastAsia"/>
                <w:color w:val="000000" w:themeColor="text1"/>
                <w:sz w:val="15"/>
                <w:szCs w:val="15"/>
                <w:highlight w:val="none"/>
                <w14:textFill>
                  <w14:solidFill>
                    <w14:schemeClr w14:val="tx1"/>
                  </w14:solidFill>
                </w14:textFill>
              </w:rPr>
              <w:t>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区域台帐与变量系数中丢弃、遗撒点位重叠时，不适用区域系数。</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（个人）</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numPr>
                <w:ilvl w:val="0"/>
                <w:numId w:val="0"/>
              </w:numP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污染道路长21－30米的，系数1；31－40米的，系数2；以此类推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随意</w:t>
            </w:r>
            <w:r>
              <w:rPr>
                <w:rFonts w:hint="eastAsia" w:asciiTheme="minorEastAsia" w:hAnsiTheme="minorEastAsia" w:eastAsiaTheme="minorEastAsia"/>
                <w:color w:val="000000" w:themeColor="text1"/>
                <w:sz w:val="15"/>
                <w:szCs w:val="15"/>
                <w:highlight w:val="none"/>
                <w14:textFill>
                  <w14:solidFill>
                    <w14:schemeClr w14:val="tx1"/>
                  </w14:solidFill>
                </w14:textFill>
              </w:rPr>
              <w:t>丢弃、遗撒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至城市道路、绿地、林地、</w:t>
            </w:r>
            <w:r>
              <w:rPr>
                <w:rFonts w:hint="eastAsia" w:cs="宋体" w:asciiTheme="minorEastAsia" w:hAnsiTheme="minorEastAsia"/>
                <w:color w:val="000000" w:themeColor="text1"/>
                <w:kern w:val="0"/>
                <w:sz w:val="15"/>
                <w:szCs w:val="15"/>
                <w:highlight w:val="none"/>
                <w:lang w:eastAsia="zh-CN"/>
                <w14:textFill>
                  <w14:solidFill>
                    <w14:schemeClr w14:val="tx1"/>
                  </w14:solidFill>
                </w14:textFill>
              </w:rPr>
              <w:t>耕地、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河道、铁路、轨道交通、公厕、桥下空间等公共场所及周边，</w:t>
            </w:r>
            <w:r>
              <w:rPr>
                <w:rFonts w:hint="eastAsia" w:cs="宋体" w:asciiTheme="minorEastAsia" w:hAnsi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燃气、供暖、石油长输管道、供水、排水、电力、通信等公用管道和设施保护（管理）范围的，系数为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r>
              <w:rPr>
                <w:rFonts w:hint="eastAsia" w:asciiTheme="minorEastAsia" w:hAnsiTheme="minorEastAsia" w:eastAsiaTheme="minorEastAsia"/>
                <w:color w:val="000000" w:themeColor="text1"/>
                <w:sz w:val="15"/>
                <w:szCs w:val="15"/>
                <w:highlight w:val="none"/>
                <w14:textFill>
                  <w14:solidFill>
                    <w14:schemeClr w14:val="tx1"/>
                  </w14:solidFill>
                </w14:textFill>
              </w:rPr>
              <w:t>倾倒、丢弃、堆放生活</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垃圾</w:t>
            </w:r>
            <w:r>
              <w:rPr>
                <w:rFonts w:hint="eastAsia" w:asciiTheme="minorEastAsia" w:hAnsiTheme="minorEastAsia" w:eastAsiaTheme="minorEastAsia"/>
                <w:color w:val="000000" w:themeColor="text1"/>
                <w:sz w:val="15"/>
                <w:szCs w:val="15"/>
                <w:highlight w:val="none"/>
                <w14:textFill>
                  <w14:solidFill>
                    <w14:schemeClr w14:val="tx1"/>
                  </w14:solidFill>
                </w14:textFill>
              </w:rPr>
              <w:t>总量较大、违法行为持续时间较长，系数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2-3</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p>
            <w:pP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4.对环境秩序造成较严重影响的，系数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区域台帐与变量系数中丢弃、遗撒点位重叠时，不适用区域系数。</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19" w:name="_Toc110851441"/>
            <w:bookmarkStart w:id="20" w:name="_Toc812078872"/>
            <w:bookmarkStart w:id="21" w:name="_Toc1651336954"/>
            <w:r>
              <w:rPr>
                <w:rFonts w:hint="eastAsia" w:asciiTheme="minorEastAsia" w:hAnsiTheme="minorEastAsia" w:eastAsiaTheme="minorEastAsia"/>
                <w:color w:val="000000" w:themeColor="text1"/>
                <w:sz w:val="20"/>
                <w:szCs w:val="20"/>
                <w:highlight w:val="none"/>
                <w14:textFill>
                  <w14:solidFill>
                    <w14:schemeClr w14:val="tx1"/>
                  </w14:solidFill>
                </w14:textFill>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未落实“门前三包”责任制</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（对单位）</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 xml:space="preserve"> </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（对单位负责人）</w:t>
            </w: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单位是个体户的，仅处罚单位即可。</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22" w:name="_Toc1567388814"/>
            <w:bookmarkStart w:id="23" w:name="_Toc110851442"/>
            <w:bookmarkStart w:id="24" w:name="_Toc172958056"/>
            <w:r>
              <w:rPr>
                <w:rFonts w:hint="eastAsia" w:asciiTheme="minorEastAsia" w:hAnsiTheme="minorEastAsia" w:eastAsiaTheme="minorEastAsia"/>
                <w:color w:val="000000" w:themeColor="text1"/>
                <w:sz w:val="20"/>
                <w:szCs w:val="20"/>
                <w:highlight w:val="none"/>
                <w14:textFill>
                  <w14:solidFill>
                    <w14:schemeClr w14:val="tx1"/>
                  </w14:solidFill>
                </w14:textFill>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未按规定扫雪铲冰</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罚款数额＝200×（1＋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25" w:name="_Toc110851443"/>
            <w:bookmarkStart w:id="26" w:name="_Toc764526123"/>
            <w:bookmarkStart w:id="27" w:name="_Toc145735833"/>
            <w:r>
              <w:rPr>
                <w:rFonts w:hint="eastAsia" w:asciiTheme="minorEastAsia" w:hAnsiTheme="minorEastAsia" w:eastAsiaTheme="minorEastAsia"/>
                <w:color w:val="000000" w:themeColor="text1"/>
                <w:sz w:val="20"/>
                <w:szCs w:val="20"/>
                <w:highlight w:val="none"/>
                <w14:textFill>
                  <w14:solidFill>
                    <w14:schemeClr w14:val="tx1"/>
                  </w14:solidFill>
                </w14:textFill>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snapToGrid w:val="0"/>
                <w:color w:val="000000" w:themeColor="text1"/>
                <w:kern w:val="32"/>
                <w:sz w:val="15"/>
                <w:szCs w:val="15"/>
                <w:highlight w:val="none"/>
                <w14:textFill>
                  <w14:solidFill>
                    <w14:schemeClr w14:val="tx1"/>
                  </w14:solidFill>
                </w14:textFill>
              </w:rPr>
              <w:t>违法设置户外广告设施</w:t>
            </w:r>
          </w:p>
        </w:tc>
        <w:tc>
          <w:tcPr>
            <w:tcW w:w="2789" w:type="dxa"/>
            <w:shd w:val="clear" w:color="auto" w:fill="auto"/>
            <w:vAlign w:val="center"/>
          </w:tcPr>
          <w:p>
            <w:pPr>
              <w:spacing w:line="232" w:lineRule="exact"/>
              <w:rPr>
                <w:rFonts w:asciiTheme="minorEastAsia" w:hAnsiTheme="minorEastAsia" w:eastAsiaTheme="minorEastAsia"/>
                <w:snapToGrid w:val="0"/>
                <w:color w:val="000000" w:themeColor="text1"/>
                <w:kern w:val="32"/>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违反条款：第十五条；第十六条第一款；第十七条；第十八条第三款；第二十四条；第二十五条；</w:t>
            </w:r>
            <w:r>
              <w:rPr>
                <w:rFonts w:hint="eastAsia" w:asciiTheme="minorEastAsia" w:hAnsiTheme="minorEastAsia" w:eastAsiaTheme="minorEastAsia"/>
                <w:snapToGrid w:val="0"/>
                <w:color w:val="000000" w:themeColor="text1"/>
                <w:kern w:val="32"/>
                <w:sz w:val="15"/>
                <w:szCs w:val="15"/>
                <w:highlight w:val="none"/>
                <w14:textFill>
                  <w14:solidFill>
                    <w14:schemeClr w14:val="tx1"/>
                  </w14:solidFill>
                </w14:textFill>
              </w:rPr>
              <w:t>（根据发生违法行为选择适用）</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3.违法设置2处</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户外广告设施</w:t>
            </w:r>
            <w:r>
              <w:rPr>
                <w:rFonts w:hint="eastAsia" w:asciiTheme="minorEastAsia" w:hAnsiTheme="minorEastAsia" w:eastAsiaTheme="minorEastAsia"/>
                <w:color w:val="000000" w:themeColor="text1"/>
                <w:sz w:val="15"/>
                <w:szCs w:val="15"/>
                <w:highlight w:val="none"/>
                <w14:textFill>
                  <w14:solidFill>
                    <w14:schemeClr w14:val="tx1"/>
                  </w14:solidFill>
                </w14:textFill>
              </w:rPr>
              <w:t>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3处的，系数6，4处及以上的，系数9；4.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　</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为违法设置的户外广告设施提供载体</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w:t>
            </w:r>
            <w:r>
              <w:rPr>
                <w:rFonts w:asciiTheme="minorEastAsia" w:hAnsiTheme="minorEastAsia" w:eastAsiaTheme="minorEastAsia"/>
                <w:color w:val="000000" w:themeColor="text1"/>
                <w:sz w:val="15"/>
                <w:szCs w:val="15"/>
                <w:highlight w:val="none"/>
                <w14:textFill>
                  <w14:solidFill>
                    <w14:schemeClr w14:val="tx1"/>
                  </w14:solidFill>
                </w14:textFill>
              </w:rPr>
              <w:t>十八条第二款</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w:t>
            </w:r>
            <w:r>
              <w:rPr>
                <w:rFonts w:asciiTheme="minorEastAsia" w:hAnsiTheme="minorEastAsia" w:eastAsiaTheme="minorEastAsia"/>
                <w:color w:val="000000" w:themeColor="text1"/>
                <w:sz w:val="15"/>
                <w:szCs w:val="15"/>
                <w:highlight w:val="none"/>
                <w14:textFill>
                  <w14:solidFill>
                    <w14:schemeClr w14:val="tx1"/>
                  </w14:solidFill>
                </w14:textFill>
              </w:rPr>
              <w:t>第四十九条第二款，</w:t>
            </w:r>
            <w:r>
              <w:rPr>
                <w:rFonts w:hint="eastAsia" w:asciiTheme="minorEastAsia" w:hAnsiTheme="minorEastAsia" w:eastAsiaTheme="minorEastAsia"/>
                <w:color w:val="000000" w:themeColor="text1"/>
                <w:sz w:val="15"/>
                <w:szCs w:val="15"/>
                <w:highlight w:val="none"/>
                <w14:textFill>
                  <w14:solidFill>
                    <w14:schemeClr w14:val="tx1"/>
                  </w14:solidFill>
                </w14:textFill>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3.为2处违法设置户外广告设施提供载体的，系数为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3处的，系数6，4处及以上的，系数9；4.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大型户外广告设施是指任意边长大于等于四米，或者面积大于等于十平方米的户外广告设施。</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违法设置固定式牌匾标识</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shd w:val="clear" w:color="auto" w:fill="auto"/>
            <w:vAlign w:val="center"/>
          </w:tcPr>
          <w:p>
            <w:pPr>
              <w:spacing w:line="232" w:lineRule="exact"/>
              <w:rPr>
                <w:rFonts w:asciiTheme="minorEastAsia" w:hAnsiTheme="minorEastAsia" w:eastAsiaTheme="minorEastAsia"/>
                <w:snapToGrid w:val="0"/>
                <w:color w:val="000000" w:themeColor="text1"/>
                <w:kern w:val="32"/>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违反条款：第三十条；第三十一条；第三十五条第二款；</w:t>
            </w:r>
            <w:r>
              <w:rPr>
                <w:rFonts w:hint="eastAsia" w:asciiTheme="minorEastAsia" w:hAnsiTheme="minorEastAsia" w:eastAsiaTheme="minorEastAsia"/>
                <w:snapToGrid w:val="0"/>
                <w:color w:val="000000" w:themeColor="text1"/>
                <w:kern w:val="32"/>
                <w:sz w:val="15"/>
                <w:szCs w:val="15"/>
                <w:highlight w:val="none"/>
                <w14:textFill>
                  <w14:solidFill>
                    <w14:schemeClr w14:val="tx1"/>
                  </w14:solidFill>
                </w14:textFill>
              </w:rPr>
              <w:t>（根据发生违法行为选择适用）</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3处的，系数6，4处及以上的，系数9；4.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000000" w:themeColor="text1"/>
                <w:highlight w:val="none"/>
                <w14:textFill>
                  <w14:solidFill>
                    <w14:schemeClr w14:val="tx1"/>
                  </w14:solidFill>
                </w14:textFill>
              </w:rPr>
            </w:pPr>
            <w:r>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t>大型固定式牌匾标识，是指任意边长大于等于四米，或者面积大于等于十平方米的牌匾标识。</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电子显示装置不符合设置规范（或者运行时间要求）</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1.大型电子显示装置，系数为2；</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2.距地十米以上的电子显示装置，系数为2。</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未按照公共汽电车车身户外广告设置方案设置户外广告</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违反条款：第二十六条第一款；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在非公共汽电车车身上设置广告</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违反条款：第二十六条第二款。</w:t>
            </w:r>
          </w:p>
          <w:p>
            <w:pPr>
              <w:spacing w:line="232" w:lineRule="exact"/>
              <w:rPr>
                <w:rFonts w:asciiTheme="minorEastAsia" w:hAnsiTheme="minorEastAsia" w:eastAsiaTheme="minorEastAsia"/>
                <w:color w:val="000000" w:themeColor="text1"/>
                <w:spacing w:val="-6"/>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6"/>
                <w:sz w:val="15"/>
                <w:szCs w:val="15"/>
                <w:highlight w:val="none"/>
                <w14:textFill>
                  <w14:solidFill>
                    <w14:schemeClr w14:val="tx1"/>
                  </w14:solidFill>
                </w14:textFill>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公交候车亭户外广告设施不符合设置方案</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违反条款：第二十七条第二款。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罚款数额＝5000×N（N为公交候车亭数）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设置的车身标识不符合要求</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违反条款：第三十四条。</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罚款数额＝2000×N（N为车辆数）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未经许可设置标语宣传品</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设置标语宣传品不符合相关要求</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违反条款：第三十七条、第三十八条、第三十九条；（根据不同情形选择适用）</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1.设置2个不符合要求标语宣传品的，系数为2，以此类推</w:t>
            </w:r>
            <w:r>
              <w:rPr>
                <w:rFonts w:hint="eastAsia" w:asciiTheme="minorEastAsia" w:hAnsiTheme="minorEastAsia" w:eastAsiaTheme="minorEastAsia"/>
                <w:strike w:val="0"/>
                <w:dstrike w:val="0"/>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strike w:val="0"/>
                <w:dstrike w:val="0"/>
                <w:color w:val="000000" w:themeColor="text1"/>
                <w:sz w:val="15"/>
                <w:szCs w:val="15"/>
                <w:highlight w:val="none"/>
                <w:lang w:val="en-US" w:eastAsia="zh-CN"/>
                <w14:textFill>
                  <w14:solidFill>
                    <w14:schemeClr w14:val="tx1"/>
                  </w14:solidFill>
                </w14:textFill>
              </w:rPr>
              <w:t>9个及以上的，系数9</w:t>
            </w: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0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所有人未履行安全管理责任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eastAsiaTheme="minorEastAsia"/>
                <w:color w:val="000000" w:themeColor="text1"/>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4.其他存在严重安全隐患或者造成安全事故的，系数9。</w:t>
            </w:r>
          </w:p>
        </w:tc>
        <w:tc>
          <w:tcPr>
            <w:tcW w:w="1785" w:type="dxa"/>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tc>
        <w:tc>
          <w:tcPr>
            <w:tcW w:w="824" w:type="dxa"/>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04"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0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未定期对大型（或者距地十米以上的）户外广告设施进行安全鉴定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处罚条款：第五十五条第二款，责令限期改正；逾期不改正的，按照违法设置户外广告设施的行为处理，</w:t>
            </w:r>
            <w:r>
              <w:rPr>
                <w:rFonts w:asciiTheme="minorEastAsia" w:hAnsiTheme="minorEastAsia" w:eastAsiaTheme="minorEastAsia"/>
                <w:color w:val="000000" w:themeColor="text1"/>
                <w:sz w:val="15"/>
                <w:szCs w:val="15"/>
                <w:highlight w:val="none"/>
                <w14:textFill>
                  <w14:solidFill>
                    <w14:schemeClr w14:val="tx1"/>
                  </w14:solidFill>
                </w14:textFill>
              </w:rPr>
              <w:t>以及</w:t>
            </w:r>
            <w:r>
              <w:rPr>
                <w:rFonts w:hint="eastAsia" w:asciiTheme="minorEastAsia" w:hAnsiTheme="minorEastAsia" w:eastAsiaTheme="minorEastAsia"/>
                <w:color w:val="000000" w:themeColor="text1"/>
                <w:sz w:val="15"/>
                <w:szCs w:val="15"/>
                <w:highlight w:val="none"/>
                <w14:textFill>
                  <w14:solidFill>
                    <w14:schemeClr w14:val="tx1"/>
                  </w14:solidFill>
                </w14:textFill>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04"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未定期对大型（或者距地十米以上的）固定式牌匾标识进行安全鉴定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处罚条款：第五十五条第二款，责令限期改正；逾期不改正的，按照违法设置固定式牌匾标识的行为处理，</w:t>
            </w:r>
            <w:r>
              <w:rPr>
                <w:rFonts w:asciiTheme="minorEastAsia" w:hAnsiTheme="minorEastAsia" w:eastAsiaTheme="minorEastAsia"/>
                <w:color w:val="000000" w:themeColor="text1"/>
                <w:sz w:val="15"/>
                <w:szCs w:val="15"/>
                <w:highlight w:val="none"/>
                <w14:textFill>
                  <w14:solidFill>
                    <w14:schemeClr w14:val="tx1"/>
                  </w14:solidFill>
                </w14:textFill>
              </w:rPr>
              <w:t>以及</w:t>
            </w:r>
            <w:r>
              <w:rPr>
                <w:rFonts w:hint="eastAsia" w:asciiTheme="minorEastAsia" w:hAnsiTheme="minorEastAsia" w:eastAsiaTheme="minorEastAsia"/>
                <w:color w:val="000000" w:themeColor="text1"/>
                <w:sz w:val="15"/>
                <w:szCs w:val="15"/>
                <w:highlight w:val="none"/>
                <w14:textFill>
                  <w14:solidFill>
                    <w14:schemeClr w14:val="tx1"/>
                  </w14:solidFill>
                </w14:textFill>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所有人未履行日常维护责任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3.距地十米以上的户外广告设施、牌匾标识，变量系数为2。</w:t>
            </w:r>
          </w:p>
        </w:tc>
        <w:tc>
          <w:tcPr>
            <w:tcW w:w="1785" w:type="dxa"/>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w:t>
            </w:r>
            <w:r>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t>系数不累加计算</w:t>
            </w:r>
            <w:r>
              <w:rPr>
                <w:rFonts w:hint="eastAsia" w:cs="宋体" w:asciiTheme="minorEastAsia" w:hAnsiTheme="minorEastAsia" w:eastAsiaTheme="minorEastAsia"/>
                <w:strike/>
                <w:dstrike w:val="0"/>
                <w:color w:val="000000" w:themeColor="text1"/>
                <w:kern w:val="0"/>
                <w:sz w:val="15"/>
                <w:szCs w:val="15"/>
                <w:highlight w:val="none"/>
                <w:lang w:val="en-US" w:eastAsia="zh-CN"/>
                <w14:textFill>
                  <w14:solidFill>
                    <w14:schemeClr w14:val="tx1"/>
                  </w14:solidFill>
                </w14:textFill>
              </w:rPr>
              <w:t xml:space="preserve"> </w:t>
            </w: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不适用区域系数。</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28" w:name="_Toc110851445"/>
            <w:bookmarkStart w:id="29" w:name="_Toc295250662"/>
            <w:bookmarkStart w:id="30" w:name="_Toc1140185292"/>
            <w:r>
              <w:rPr>
                <w:rFonts w:hint="eastAsia" w:asciiTheme="minorEastAsia" w:hAnsiTheme="minorEastAsia" w:eastAsiaTheme="minorEastAsia"/>
                <w:color w:val="000000" w:themeColor="text1"/>
                <w:sz w:val="21"/>
                <w:szCs w:val="21"/>
                <w:highlight w:val="none"/>
                <w14:textFill>
                  <w14:solidFill>
                    <w14:schemeClr w14:val="tx1"/>
                  </w14:solidFill>
                </w14:textFill>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标语宣传品含有商业广告内容</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违反条款：第四条；</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造成较大社会影响的，系数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改变固定宣传设施的使用性质用于商业广告</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违反条款：第四条；</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造成较大社会影响的，系数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作出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其它处罚额度决定的，说明理由，报案审会决定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未经批准设置标语宣传品</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违反条款：第九条；</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未按批准要求设置标语宣传品</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违反条款：第十四条；</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1.设置2个不符合要求标语宣传品的，系数为2，以此类推</w:t>
            </w:r>
            <w:r>
              <w:rPr>
                <w:rFonts w:hint="eastAsia" w:asciiTheme="minorEastAsia" w:hAnsiTheme="minorEastAsia" w:eastAsiaTheme="minorEastAsia"/>
                <w:strike w:val="0"/>
                <w:dstrike w:val="0"/>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strike w:val="0"/>
                <w:dstrike w:val="0"/>
                <w:color w:val="000000" w:themeColor="text1"/>
                <w:sz w:val="15"/>
                <w:szCs w:val="15"/>
                <w:highlight w:val="none"/>
                <w:lang w:val="en-US" w:eastAsia="zh-CN"/>
                <w14:textFill>
                  <w14:solidFill>
                    <w14:schemeClr w14:val="tx1"/>
                  </w14:solidFill>
                </w14:textFill>
              </w:rPr>
              <w:t>9个及以上的，系数9</w:t>
            </w:r>
            <w:r>
              <w:rPr>
                <w:rFonts w:hint="eastAsia" w:asciiTheme="minorEastAsia" w:hAnsiTheme="minorEastAsia" w:eastAsiaTheme="minorEastAsia"/>
                <w:color w:val="000000" w:themeColor="text1"/>
                <w:sz w:val="15"/>
                <w:szCs w:val="15"/>
                <w:highlight w:val="none"/>
                <w14:textFill>
                  <w14:solidFill>
                    <w14:schemeClr w14:val="tx1"/>
                  </w14:solidFill>
                </w14:textFill>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未按规定管护宣传设施或者标语宣传品</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违反条款：第十五条第一款；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未及时撤除标语宣传品</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违反条款：第十五条第二款；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作出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其它处罚额度决定的，说明理由，报案审会决定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31" w:name="_Toc2072230684"/>
            <w:bookmarkStart w:id="32" w:name="_Toc110851446"/>
            <w:bookmarkStart w:id="33" w:name="_Toc1213367316"/>
            <w:r>
              <w:rPr>
                <w:rFonts w:hint="eastAsia" w:asciiTheme="minorEastAsia" w:hAnsiTheme="minorEastAsia" w:eastAsiaTheme="minorEastAsia"/>
                <w:color w:val="000000" w:themeColor="text1"/>
                <w:sz w:val="21"/>
                <w:szCs w:val="21"/>
                <w:highlight w:val="none"/>
                <w14:textFill>
                  <w14:solidFill>
                    <w14:schemeClr w14:val="tx1"/>
                  </w14:solidFill>
                </w14:textFill>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未按规定清扫保洁</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存在较大隐患或者造成较大社会影响的，系数5-9。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根据实际情况，选择对应款项。</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不及时清理果皮箱、垃圾箱</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未保持果皮箱、垃圾箱箱体整洁</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果皮箱、垃圾箱周围严重脏乱</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公共设施管护作业（绿化作业）未按规定清除废弃物</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严重影响市容环境卫生或者造成较大社会影响的，系数5-9。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未做好施工期间压尘和清扫保洁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以下的，系数0；11－25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的，系数1；26－40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建设工程竣工后未及时清除弃物弃料、围挡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1.占地面积10㎡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0；11－15㎡</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1；16－20㎡</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 xml:space="preserve"> 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经责令改正</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逾期不清除</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围挡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的，每逾期2天，系数为１，以此累加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18天及以上的，</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15"/>
                <w:szCs w:val="15"/>
                <w:highlight w:val="none"/>
                <w14:textFill>
                  <w14:solidFill>
                    <w14:schemeClr w14:val="tx1"/>
                  </w14:solidFill>
                </w14:textFill>
              </w:rPr>
              <w:t>.严重污染环境的，系数为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000000" w:themeColor="text1"/>
                <w:sz w:val="15"/>
                <w:szCs w:val="15"/>
                <w:highlight w:val="none"/>
                <w14:textFill>
                  <w14:solidFill>
                    <w14:schemeClr w14:val="tx1"/>
                  </w14:solidFill>
                </w14:textFill>
              </w:rPr>
            </w:pPr>
            <w:bookmarkStart w:id="34" w:name="_Toc110851447"/>
            <w:bookmarkStart w:id="35" w:name="_Toc660874911"/>
            <w:bookmarkStart w:id="36" w:name="_Toc1597996495"/>
            <w:r>
              <w:rPr>
                <w:rStyle w:val="32"/>
                <w:rFonts w:hint="eastAsia" w:asciiTheme="minorEastAsia" w:hAnsiTheme="minorEastAsia" w:eastAsiaTheme="minorEastAsia"/>
                <w:color w:val="000000" w:themeColor="text1"/>
                <w:sz w:val="21"/>
                <w:szCs w:val="21"/>
                <w:highlight w:val="none"/>
                <w14:textFill>
                  <w14:solidFill>
                    <w14:schemeClr w14:val="tx1"/>
                  </w14:solidFill>
                </w14:textFill>
              </w:rPr>
              <w:t>《北京市建筑</w:t>
            </w:r>
            <w:r>
              <w:rPr>
                <w:rStyle w:val="32"/>
                <w:rFonts w:asciiTheme="minorEastAsia" w:hAnsiTheme="minorEastAsia" w:eastAsiaTheme="minorEastAsia"/>
                <w:color w:val="000000" w:themeColor="text1"/>
                <w:sz w:val="21"/>
                <w:szCs w:val="21"/>
                <w:highlight w:val="none"/>
                <w14:textFill>
                  <w14:solidFill>
                    <w14:schemeClr w14:val="tx1"/>
                  </w14:solidFill>
                </w14:textFill>
              </w:rPr>
              <w:t>垃圾处置管理规定</w:t>
            </w:r>
            <w:r>
              <w:rPr>
                <w:rStyle w:val="32"/>
                <w:rFonts w:hint="eastAsia" w:asciiTheme="minorEastAsia" w:hAnsiTheme="minorEastAsia" w:eastAsiaTheme="minorEastAsia"/>
                <w:color w:val="000000" w:themeColor="text1"/>
                <w:sz w:val="21"/>
                <w:szCs w:val="21"/>
                <w:highlight w:val="none"/>
                <w14:textFill>
                  <w14:solidFill>
                    <w14:schemeClr w14:val="tx1"/>
                  </w14:solidFill>
                </w14:textFill>
              </w:rPr>
              <w:t>》案由</w:t>
            </w:r>
            <w:r>
              <w:rPr>
                <w:rStyle w:val="32"/>
                <w:rFonts w:asciiTheme="minorEastAsia" w:hAnsiTheme="minorEastAsia" w:eastAsiaTheme="minorEastAsia"/>
                <w:color w:val="000000" w:themeColor="text1"/>
                <w:sz w:val="21"/>
                <w:szCs w:val="21"/>
                <w:highlight w:val="none"/>
                <w14:textFill>
                  <w14:solidFill>
                    <w14:schemeClr w14:val="tx1"/>
                  </w14:solidFill>
                </w14:textFill>
              </w:rPr>
              <w:t>24</w:t>
            </w:r>
            <w:r>
              <w:rPr>
                <w:rStyle w:val="32"/>
                <w:rFonts w:hint="eastAsia" w:asciiTheme="minorEastAsia" w:hAnsiTheme="minorEastAsia" w:eastAsiaTheme="minorEastAsia"/>
                <w:color w:val="000000" w:themeColor="text1"/>
                <w:sz w:val="21"/>
                <w:szCs w:val="21"/>
                <w:highlight w:val="none"/>
                <w14:textFill>
                  <w14:solidFill>
                    <w14:schemeClr w14:val="tx1"/>
                  </w14:solidFill>
                </w14:textFill>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18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随意倾倒、抛撒或者堆放建筑垃圾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违反条款：第六条第二款；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处罚条款：第三十四条第一款 责令限期改正，对施工单位依法处10万元以上100万元以下罚款，没收违法所得；对运输服务单位依法处5万元以上50万元以下罚款，没收违法所得，情节严重的，由城市管理综合执法部门吊销生活垃圾运输经营许可；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100000</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w:t>
            </w:r>
            <w:r>
              <w:rPr>
                <w:rFonts w:hint="eastAsia" w:ascii="宋体" w:hAnsi="宋体" w:eastAsia="宋体" w:cs="宋体"/>
                <w:color w:val="000000" w:themeColor="text1"/>
                <w:sz w:val="15"/>
                <w:szCs w:val="15"/>
                <w:highlight w:val="yellow"/>
                <w:lang w:eastAsia="zh-CN"/>
                <w14:textFill>
                  <w14:solidFill>
                    <w14:schemeClr w14:val="tx1"/>
                  </w14:solidFill>
                </w14:textFill>
              </w:rPr>
              <w:t>施工</w:t>
            </w:r>
            <w:r>
              <w:rPr>
                <w:rFonts w:hint="eastAsia" w:ascii="宋体" w:hAnsi="宋体" w:eastAsia="宋体" w:cs="宋体"/>
                <w:color w:val="000000" w:themeColor="text1"/>
                <w:sz w:val="15"/>
                <w:szCs w:val="15"/>
                <w:highlight w:val="yellow"/>
                <w14:textFill>
                  <w14:solidFill>
                    <w14:schemeClr w14:val="tx1"/>
                  </w14:solidFill>
                </w14:textFill>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color w:val="000000" w:themeColor="text1"/>
                <w:kern w:val="0"/>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Theme="minorEastAsia" w:hAnsiTheme="minorEastAsia" w:eastAsiaTheme="minorEastAsia"/>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1</w:t>
            </w:r>
            <w:r>
              <w:rPr>
                <w:rFonts w:hint="eastAsia" w:ascii="宋体" w:hAnsi="宋体" w:eastAsia="宋体" w:cs="宋体"/>
                <w:color w:val="000000" w:themeColor="text1"/>
                <w:kern w:val="0"/>
                <w:sz w:val="15"/>
                <w:szCs w:val="15"/>
                <w:highlight w:val="yellow"/>
                <w14:textFill>
                  <w14:solidFill>
                    <w14:schemeClr w14:val="tx1"/>
                  </w14:solidFill>
                </w14:textFill>
              </w:rPr>
              <w:t>.</w:t>
            </w:r>
            <w:r>
              <w:rPr>
                <w:rFonts w:hint="eastAsia" w:ascii="宋体" w:hAnsi="宋体" w:eastAsia="宋体" w:cs="宋体"/>
                <w:b w:val="0"/>
                <w:bCs w:val="0"/>
                <w:color w:val="000000" w:themeColor="text1"/>
                <w:sz w:val="15"/>
                <w:szCs w:val="15"/>
                <w:highlight w:val="yellow"/>
                <w14:textFill>
                  <w14:solidFill>
                    <w14:schemeClr w14:val="tx1"/>
                  </w14:solidFill>
                </w14:textFill>
              </w:rPr>
              <w:t>建筑垃圾占地面积10㎡以下的，系数0；11—15㎡，系数为1；16-20㎡</w:t>
            </w:r>
            <w:r>
              <w:rPr>
                <w:rFonts w:hint="eastAsia" w:ascii="宋体" w:hAnsi="宋体" w:eastAsia="宋体" w:cs="宋体"/>
                <w:b w:val="0"/>
                <w:bCs w:val="0"/>
                <w:color w:val="000000" w:themeColor="text1"/>
                <w:sz w:val="15"/>
                <w:szCs w:val="15"/>
                <w:highlight w:val="yellow"/>
                <w:lang w:eastAsia="zh-CN"/>
                <w14:textFill>
                  <w14:solidFill>
                    <w14:schemeClr w14:val="tx1"/>
                  </w14:solidFill>
                </w14:textFill>
              </w:rPr>
              <w:t>，</w:t>
            </w:r>
            <w:r>
              <w:rPr>
                <w:rFonts w:hint="eastAsia" w:ascii="宋体" w:hAnsi="宋体" w:eastAsia="宋体" w:cs="宋体"/>
                <w:b w:val="0"/>
                <w:bCs w:val="0"/>
                <w:color w:val="000000" w:themeColor="text1"/>
                <w:sz w:val="15"/>
                <w:szCs w:val="15"/>
                <w:highlight w:val="yellow"/>
                <w14:textFill>
                  <w14:solidFill>
                    <w14:schemeClr w14:val="tx1"/>
                  </w14:solidFill>
                </w14:textFill>
              </w:rPr>
              <w:t>系数2，以此类推</w:t>
            </w:r>
            <w:r>
              <w:rPr>
                <w:rFonts w:hint="eastAsia" w:ascii="宋体" w:hAnsi="宋体" w:eastAsia="宋体" w:cs="宋体"/>
                <w:b w:val="0"/>
                <w:bCs w:val="0"/>
                <w:color w:val="000000" w:themeColor="text1"/>
                <w:sz w:val="15"/>
                <w:szCs w:val="15"/>
                <w:highlight w:val="yellow"/>
                <w:lang w:eastAsia="zh-CN"/>
                <w14:textFill>
                  <w14:solidFill>
                    <w14:schemeClr w14:val="tx1"/>
                  </w14:solidFill>
                </w14:textFill>
              </w:rPr>
              <w:t>，面积</w:t>
            </w:r>
            <w:r>
              <w:rPr>
                <w:rFonts w:hint="eastAsia" w:ascii="宋体" w:hAnsi="宋体" w:eastAsia="宋体" w:cs="宋体"/>
                <w:b w:val="0"/>
                <w:bCs w:val="0"/>
                <w:color w:val="000000" w:themeColor="text1"/>
                <w:sz w:val="15"/>
                <w:szCs w:val="15"/>
                <w:highlight w:val="yellow"/>
                <w:lang w:val="en-US" w:eastAsia="zh-CN"/>
                <w14:textFill>
                  <w14:solidFill>
                    <w14:schemeClr w14:val="tx1"/>
                  </w14:solidFill>
                </w14:textFill>
              </w:rPr>
              <w:t>51</w:t>
            </w:r>
            <w:r>
              <w:rPr>
                <w:rFonts w:hint="eastAsia" w:ascii="宋体" w:hAnsi="宋体" w:eastAsia="宋体" w:cs="宋体"/>
                <w:b w:val="0"/>
                <w:bCs w:val="0"/>
                <w:color w:val="000000" w:themeColor="text1"/>
                <w:sz w:val="15"/>
                <w:szCs w:val="15"/>
                <w:highlight w:val="yellow"/>
                <w14:textFill>
                  <w14:solidFill>
                    <w14:schemeClr w14:val="tx1"/>
                  </w14:solidFill>
                </w14:textFill>
              </w:rPr>
              <w:t>㎡</w:t>
            </w:r>
            <w:r>
              <w:rPr>
                <w:rFonts w:hint="eastAsia" w:ascii="宋体" w:hAnsi="宋体" w:eastAsia="宋体" w:cs="宋体"/>
                <w:b w:val="0"/>
                <w:bCs w:val="0"/>
                <w:color w:val="000000" w:themeColor="text1"/>
                <w:sz w:val="15"/>
                <w:szCs w:val="15"/>
                <w:highlight w:val="yellow"/>
                <w:lang w:eastAsia="zh-CN"/>
                <w14:textFill>
                  <w14:solidFill>
                    <w14:schemeClr w14:val="tx1"/>
                  </w14:solidFill>
                </w14:textFill>
              </w:rPr>
              <w:t>及以上的，系数</w:t>
            </w:r>
            <w:r>
              <w:rPr>
                <w:rFonts w:hint="eastAsia" w:ascii="宋体" w:hAnsi="宋体" w:eastAsia="宋体" w:cs="宋体"/>
                <w:b w:val="0"/>
                <w:bCs w:val="0"/>
                <w:color w:val="000000" w:themeColor="text1"/>
                <w:sz w:val="15"/>
                <w:szCs w:val="15"/>
                <w:highlight w:val="yellow"/>
                <w:lang w:val="en-US" w:eastAsia="zh-CN"/>
                <w14:textFill>
                  <w14:solidFill>
                    <w14:schemeClr w14:val="tx1"/>
                  </w14:solidFill>
                </w14:textFill>
              </w:rPr>
              <w:t>9；2.</w:t>
            </w:r>
            <w:r>
              <w:rPr>
                <w:rFonts w:hint="eastAsia" w:ascii="宋体" w:hAnsi="宋体" w:eastAsia="宋体" w:cs="宋体"/>
                <w:color w:val="000000" w:themeColor="text1"/>
                <w:kern w:val="0"/>
                <w:sz w:val="15"/>
                <w:szCs w:val="15"/>
                <w:highlight w:val="yellow"/>
                <w14:textFill>
                  <w14:solidFill>
                    <w14:schemeClr w14:val="tx1"/>
                  </w14:solidFill>
                </w14:textFill>
              </w:rPr>
              <w:t>污染道路长21－30米的，系数1；31－40米的，系数2；以此类推</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w:t>
            </w:r>
            <w:r>
              <w:rPr>
                <w:rFonts w:hint="eastAsia" w:ascii="宋体" w:hAnsi="宋体" w:eastAsia="宋体" w:cs="宋体"/>
                <w:color w:val="000000" w:themeColor="text1"/>
                <w:sz w:val="15"/>
                <w:szCs w:val="15"/>
                <w:highlight w:val="yellow"/>
                <w:lang w:eastAsia="zh-CN"/>
                <w14:textFill>
                  <w14:solidFill>
                    <w14:schemeClr w14:val="tx1"/>
                  </w14:solidFill>
                </w14:textFill>
              </w:rPr>
              <w:t>长度</w:t>
            </w:r>
            <w:r>
              <w:rPr>
                <w:rFonts w:hint="eastAsia" w:ascii="宋体" w:hAnsi="宋体" w:eastAsia="宋体" w:cs="宋体"/>
                <w:color w:val="000000" w:themeColor="text1"/>
                <w:sz w:val="15"/>
                <w:szCs w:val="15"/>
                <w:highlight w:val="yellow"/>
                <w:lang w:val="en-US" w:eastAsia="zh-CN"/>
                <w14:textFill>
                  <w14:solidFill>
                    <w14:schemeClr w14:val="tx1"/>
                  </w14:solidFill>
                </w14:textFill>
              </w:rPr>
              <w:t>101米</w:t>
            </w:r>
            <w:r>
              <w:rPr>
                <w:rFonts w:hint="eastAsia" w:ascii="宋体" w:hAnsi="宋体" w:eastAsia="宋体" w:cs="宋体"/>
                <w:color w:val="000000" w:themeColor="text1"/>
                <w:sz w:val="15"/>
                <w:szCs w:val="15"/>
                <w:highlight w:val="yellow"/>
                <w:lang w:eastAsia="zh-CN"/>
                <w14:textFill>
                  <w14:solidFill>
                    <w14:schemeClr w14:val="tx1"/>
                  </w14:solidFill>
                </w14:textFill>
              </w:rPr>
              <w:t>及以上的，系数</w:t>
            </w:r>
            <w:r>
              <w:rPr>
                <w:rFonts w:hint="eastAsia" w:ascii="宋体" w:hAnsi="宋体" w:eastAsia="宋体" w:cs="宋体"/>
                <w:color w:val="000000" w:themeColor="text1"/>
                <w:sz w:val="15"/>
                <w:szCs w:val="15"/>
                <w:highlight w:val="yellow"/>
                <w:lang w:val="en-US" w:eastAsia="zh-CN"/>
                <w14:textFill>
                  <w14:solidFill>
                    <w14:schemeClr w14:val="tx1"/>
                  </w14:solidFill>
                </w14:textFill>
              </w:rPr>
              <w:t>9</w:t>
            </w:r>
            <w:r>
              <w:rPr>
                <w:rFonts w:hint="eastAsia" w:ascii="宋体" w:hAnsi="宋体" w:eastAsia="宋体" w:cs="宋体"/>
                <w:color w:val="000000" w:themeColor="text1"/>
                <w:sz w:val="15"/>
                <w:szCs w:val="15"/>
                <w:highlight w:val="yellow"/>
                <w14:textFill>
                  <w14:solidFill>
                    <w14:schemeClr w14:val="tx1"/>
                  </w14:solidFill>
                </w14:textFill>
              </w:rPr>
              <w:t>。</w:t>
            </w:r>
            <w:r>
              <w:rPr>
                <w:rFonts w:hint="eastAsia" w:ascii="宋体" w:hAnsi="宋体" w:eastAsia="宋体" w:cs="宋体"/>
                <w:b w:val="0"/>
                <w:bCs w:val="0"/>
                <w:color w:val="000000" w:themeColor="text1"/>
                <w:sz w:val="15"/>
                <w:szCs w:val="15"/>
                <w:highlight w:val="yellow"/>
                <w:lang w:val="en-US" w:eastAsia="zh-CN"/>
                <w14:textFill>
                  <w14:solidFill>
                    <w14:schemeClr w14:val="tx1"/>
                  </w14:solidFill>
                </w14:textFill>
              </w:rPr>
              <w:t>3.建筑垃圾重量在4.5吨以下的，系数0；4.5-9吨的，系数1，以此类推，40.5吨及以上的，系数9；在面积和长度无法取证的情况下，可以适用此情形。</w:t>
            </w:r>
            <w:r>
              <w:rPr>
                <w:rFonts w:hint="eastAsia" w:ascii="宋体" w:hAnsi="宋体" w:eastAsia="宋体" w:cs="宋体"/>
                <w:color w:val="000000" w:themeColor="text1"/>
                <w:kern w:val="0"/>
                <w:sz w:val="15"/>
                <w:szCs w:val="15"/>
                <w:highlight w:val="yellow"/>
                <w:lang w:val="en-US" w:eastAsia="zh-CN"/>
                <w14:textFill>
                  <w14:solidFill>
                    <w14:schemeClr w14:val="tx1"/>
                  </w14:solidFill>
                </w14:textFill>
              </w:rPr>
              <w:t>4</w:t>
            </w:r>
            <w:r>
              <w:rPr>
                <w:rFonts w:hint="eastAsia" w:ascii="宋体" w:hAnsi="宋体" w:eastAsia="宋体" w:cs="宋体"/>
                <w:color w:val="000000" w:themeColor="text1"/>
                <w:kern w:val="0"/>
                <w:sz w:val="15"/>
                <w:szCs w:val="15"/>
                <w:highlight w:val="yellow"/>
                <w14:textFill>
                  <w14:solidFill>
                    <w14:schemeClr w14:val="tx1"/>
                  </w14:solidFill>
                </w14:textFill>
              </w:rPr>
              <w:t>.将垃圾随意倾倒、</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抛撒</w:t>
            </w:r>
            <w:r>
              <w:rPr>
                <w:rFonts w:hint="eastAsia" w:ascii="宋体" w:hAnsi="宋体" w:eastAsia="宋体" w:cs="宋体"/>
                <w:color w:val="000000" w:themeColor="text1"/>
                <w:kern w:val="0"/>
                <w:sz w:val="15"/>
                <w:szCs w:val="15"/>
                <w:highlight w:val="yellow"/>
                <w14:textFill>
                  <w14:solidFill>
                    <w14:schemeClr w14:val="tx1"/>
                  </w14:solidFill>
                </w14:textFill>
              </w:rPr>
              <w:t>、堆放至城市道路、绿地、林地、</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耕地、</w:t>
            </w:r>
            <w:r>
              <w:rPr>
                <w:rFonts w:hint="eastAsia" w:ascii="宋体" w:hAnsi="宋体" w:eastAsia="宋体" w:cs="宋体"/>
                <w:color w:val="000000" w:themeColor="text1"/>
                <w:kern w:val="0"/>
                <w:sz w:val="15"/>
                <w:szCs w:val="15"/>
                <w:highlight w:val="yellow"/>
                <w14:textFill>
                  <w14:solidFill>
                    <w14:schemeClr w14:val="tx1"/>
                  </w14:solidFill>
                </w14:textFill>
              </w:rPr>
              <w:t>河道、铁路、轨道交通、公厕、桥下空间等公共场所及周边，</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或者</w:t>
            </w:r>
            <w:r>
              <w:rPr>
                <w:rFonts w:hint="eastAsia" w:ascii="宋体" w:hAnsi="宋体" w:eastAsia="宋体" w:cs="宋体"/>
                <w:color w:val="000000" w:themeColor="text1"/>
                <w:kern w:val="0"/>
                <w:sz w:val="15"/>
                <w:szCs w:val="15"/>
                <w:highlight w:val="yellow"/>
                <w14:textFill>
                  <w14:solidFill>
                    <w14:schemeClr w14:val="tx1"/>
                  </w14:solidFill>
                </w14:textFill>
              </w:rPr>
              <w:t>燃气、供暖、石油长输管道、供水、排水、电力、通信等公用管道和设施保护（管理）范围的，系数3；</w:t>
            </w:r>
            <w:r>
              <w:rPr>
                <w:rFonts w:hint="eastAsia" w:ascii="宋体" w:hAnsi="宋体" w:eastAsia="宋体" w:cs="宋体"/>
                <w:color w:val="000000" w:themeColor="text1"/>
                <w:kern w:val="0"/>
                <w:sz w:val="15"/>
                <w:szCs w:val="15"/>
                <w:highlight w:val="yellow"/>
                <w:lang w:val="en-US" w:eastAsia="zh-CN"/>
                <w14:textFill>
                  <w14:solidFill>
                    <w14:schemeClr w14:val="tx1"/>
                  </w14:solidFill>
                </w14:textFill>
              </w:rPr>
              <w:t>5</w:t>
            </w:r>
            <w:r>
              <w:rPr>
                <w:rFonts w:hint="eastAsia" w:ascii="宋体" w:hAnsi="宋体" w:eastAsia="宋体" w:cs="宋体"/>
                <w:color w:val="000000" w:themeColor="text1"/>
                <w:kern w:val="0"/>
                <w:sz w:val="15"/>
                <w:szCs w:val="15"/>
                <w:highlight w:val="yellow"/>
                <w14:textFill>
                  <w14:solidFill>
                    <w14:schemeClr w14:val="tx1"/>
                  </w14:solidFill>
                </w14:textFill>
              </w:rPr>
              <w:t>.违法行为持续时间较长、对环境秩序造成较严重影响的，系数</w:t>
            </w:r>
            <w:r>
              <w:rPr>
                <w:rFonts w:hint="eastAsia" w:ascii="宋体" w:hAnsi="宋体" w:eastAsia="宋体" w:cs="宋体"/>
                <w:strike w:val="0"/>
                <w:dstrike w:val="0"/>
                <w:color w:val="000000" w:themeColor="text1"/>
                <w:kern w:val="0"/>
                <w:sz w:val="15"/>
                <w:szCs w:val="15"/>
                <w:highlight w:val="yellow"/>
                <w:lang w:val="en-US" w:eastAsia="zh-CN"/>
                <w14:textFill>
                  <w14:solidFill>
                    <w14:schemeClr w14:val="tx1"/>
                  </w14:solidFill>
                </w14:textFill>
              </w:rPr>
              <w:t xml:space="preserve"> </w:t>
            </w:r>
            <w:r>
              <w:rPr>
                <w:rFonts w:hint="eastAsia" w:ascii="宋体" w:hAnsi="宋体" w:eastAsia="宋体" w:cs="宋体"/>
                <w:color w:val="000000" w:themeColor="text1"/>
                <w:kern w:val="0"/>
                <w:sz w:val="15"/>
                <w:szCs w:val="15"/>
                <w:highlight w:val="yellow"/>
                <w:lang w:val="en-US" w:eastAsia="zh-CN"/>
                <w14:textFill>
                  <w14:solidFill>
                    <w14:schemeClr w14:val="tx1"/>
                  </w14:solidFill>
                </w14:textFill>
              </w:rPr>
              <w:t>5</w:t>
            </w:r>
            <w:r>
              <w:rPr>
                <w:rFonts w:hint="eastAsia" w:ascii="宋体" w:hAnsi="宋体" w:eastAsia="宋体" w:cs="宋体"/>
                <w:color w:val="000000" w:themeColor="text1"/>
                <w:kern w:val="0"/>
                <w:sz w:val="15"/>
                <w:szCs w:val="15"/>
                <w:highlight w:val="yellow"/>
                <w14:textFill>
                  <w14:solidFill>
                    <w14:schemeClr w14:val="tx1"/>
                  </w14:solidFill>
                </w14:textFill>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罚款数额＝100000×（1＋</w:t>
            </w:r>
            <w:r>
              <w:rPr>
                <w:rFonts w:hint="eastAsia" w:ascii="宋体" w:hAnsi="宋体" w:eastAsia="宋体" w:cs="宋体"/>
                <w:color w:val="000000" w:themeColor="text1"/>
                <w:sz w:val="15"/>
                <w:szCs w:val="15"/>
                <w:highlight w:val="yellow"/>
                <w:lang w:eastAsia="zh-CN"/>
                <w14:textFill>
                  <w14:solidFill>
                    <w14:schemeClr w14:val="tx1"/>
                  </w14:solidFill>
                </w14:textFill>
              </w:rPr>
              <w:t>常量系数＋变量系数＋区域系数</w:t>
            </w:r>
            <w:r>
              <w:rPr>
                <w:rFonts w:hint="eastAsia" w:ascii="宋体" w:hAnsi="宋体" w:eastAsia="宋体" w:cs="宋体"/>
                <w:color w:val="000000" w:themeColor="text1"/>
                <w:sz w:val="15"/>
                <w:szCs w:val="15"/>
                <w:highlight w:val="yellow"/>
                <w14:textFill>
                  <w14:solidFill>
                    <w14:schemeClr w14:val="tx1"/>
                  </w14:solidFill>
                </w14:textFill>
              </w:rPr>
              <w:t>）</w:t>
            </w:r>
            <w:bookmarkStart w:id="200" w:name="_GoBack"/>
            <w:bookmarkEnd w:id="200"/>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pPr>
            <w:r>
              <w:rPr>
                <w:rFonts w:hint="eastAsia" w:ascii="宋体" w:hAnsi="宋体" w:eastAsia="宋体" w:cs="宋体"/>
                <w:color w:val="000000" w:themeColor="text1"/>
                <w:kern w:val="0"/>
                <w:sz w:val="15"/>
                <w:szCs w:val="15"/>
                <w:highlight w:val="yellow"/>
                <w:lang w:val="en-US" w:eastAsia="zh-CN"/>
                <w14:textFill>
                  <w14:solidFill>
                    <w14:schemeClr w14:val="tx1"/>
                  </w14:solidFill>
                </w14:textFill>
              </w:rPr>
              <w:t>1.</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区域台帐与倾倒、抛撒、堆放点位重叠时，</w:t>
            </w: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不适用区域系数。</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kern w:val="0"/>
                <w:sz w:val="15"/>
                <w:szCs w:val="15"/>
                <w:highlight w:val="yellow"/>
                <w:lang w:eastAsia="zh-CN"/>
                <w14:textFill>
                  <w14:solidFill>
                    <w14:schemeClr w14:val="tx1"/>
                  </w14:solidFill>
                </w14:textFill>
              </w:rPr>
            </w:pP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lang w:val="en-US" w:eastAsia="zh-CN"/>
                <w14:textFill>
                  <w14:solidFill>
                    <w14:schemeClr w14:val="tx1"/>
                  </w14:solidFill>
                </w14:textFill>
              </w:rPr>
              <w:t>2.</w:t>
            </w:r>
            <w:r>
              <w:rPr>
                <w:rFonts w:hint="eastAsia" w:ascii="宋体" w:hAnsi="宋体" w:eastAsia="宋体" w:cs="宋体"/>
                <w:color w:val="000000" w:themeColor="text1"/>
                <w:sz w:val="15"/>
                <w:szCs w:val="15"/>
                <w:highlight w:val="yellow"/>
                <w14:textFill>
                  <w14:solidFill>
                    <w14:schemeClr w14:val="tx1"/>
                  </w14:solidFill>
                </w14:textFill>
              </w:rPr>
              <w:t>存在下列情形的，可视为“情节严重”：一年内因同类违法行为，受到城管执法机关</w:t>
            </w:r>
            <w:r>
              <w:rPr>
                <w:rFonts w:hint="eastAsia" w:ascii="宋体" w:hAnsi="宋体" w:eastAsia="宋体" w:cs="宋体"/>
                <w:color w:val="000000" w:themeColor="text1"/>
                <w:sz w:val="15"/>
                <w:szCs w:val="15"/>
                <w:highlight w:val="yellow"/>
                <w:lang w:val="en-US" w:eastAsia="zh-CN"/>
                <w14:textFill>
                  <w14:solidFill>
                    <w14:schemeClr w14:val="tx1"/>
                  </w14:solidFill>
                </w14:textFill>
              </w:rPr>
              <w:t>2次</w:t>
            </w:r>
            <w:r>
              <w:rPr>
                <w:rFonts w:hint="eastAsia" w:ascii="宋体" w:hAnsi="宋体" w:eastAsia="宋体" w:cs="宋体"/>
                <w:color w:val="000000" w:themeColor="text1"/>
                <w:sz w:val="15"/>
                <w:szCs w:val="15"/>
                <w:highlight w:val="yellow"/>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pStyle w:val="9"/>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000000" w:themeColor="text1"/>
                <w:sz w:val="15"/>
                <w:szCs w:val="15"/>
                <w:highlight w:val="yellow"/>
                <w:lang w:eastAsia="zh-CN"/>
                <w14:textFill>
                  <w14:solidFill>
                    <w14:schemeClr w14:val="tx1"/>
                  </w14:solidFill>
                </w14:textFill>
              </w:rPr>
            </w:pPr>
            <w:r>
              <w:rPr>
                <w:rFonts w:hint="eastAsia" w:ascii="宋体" w:hAnsi="宋体" w:eastAsia="宋体" w:cs="宋体"/>
                <w:color w:val="000000" w:themeColor="text1"/>
                <w:sz w:val="15"/>
                <w:szCs w:val="15"/>
                <w:highlight w:val="yellow"/>
                <w:lang w:val="en-US" w:eastAsia="zh-CN"/>
                <w14:textFill>
                  <w14:solidFill>
                    <w14:schemeClr w14:val="tx1"/>
                  </w14:solidFill>
                </w14:textFill>
              </w:rPr>
              <w:t>3.</w:t>
            </w:r>
            <w:r>
              <w:rPr>
                <w:rFonts w:hint="eastAsia" w:ascii="宋体" w:hAnsi="宋体" w:eastAsia="宋体" w:cs="宋体"/>
                <w:color w:val="000000" w:themeColor="text1"/>
                <w:sz w:val="15"/>
                <w:szCs w:val="15"/>
                <w:highlight w:val="yellow"/>
                <w14:textFill>
                  <w14:solidFill>
                    <w14:schemeClr w14:val="tx1"/>
                  </w14:solidFill>
                </w14:textFill>
              </w:rPr>
              <w:t>依据</w:t>
            </w:r>
            <w:r>
              <w:rPr>
                <w:rFonts w:hint="eastAsia" w:ascii="宋体" w:hAnsi="宋体" w:eastAsia="宋体" w:cs="宋体"/>
                <w:color w:val="000000" w:themeColor="text1"/>
                <w:kern w:val="0"/>
                <w:sz w:val="15"/>
                <w:szCs w:val="15"/>
                <w:highlight w:val="yellow"/>
                <w14:textFill>
                  <w14:solidFill>
                    <w14:schemeClr w14:val="tx1"/>
                  </w14:solidFill>
                </w14:textFill>
              </w:rPr>
              <w:t>《北京市人民政府关于进一步相对集中城市管理领域部分行政处罚权的决定》（</w:t>
            </w:r>
            <w:r>
              <w:rPr>
                <w:rFonts w:hint="eastAsia" w:ascii="宋体" w:hAnsi="宋体" w:eastAsia="宋体" w:cs="宋体"/>
                <w:color w:val="000000" w:themeColor="text1"/>
                <w:sz w:val="15"/>
                <w:szCs w:val="15"/>
                <w:highlight w:val="yellow"/>
                <w14:textFill>
                  <w14:solidFill>
                    <w14:schemeClr w14:val="tx1"/>
                  </w14:solidFill>
                </w14:textFill>
              </w:rPr>
              <w:t>京政发〔2017〕32号），拟作出吊销处罚的，作出处罚决定前，要邀请城市管理部门共同会商；对于可能影响公共利益的，提请城市管理部门拟定接管方案。</w:t>
            </w:r>
          </w:p>
          <w:p>
            <w:pPr>
              <w:pStyle w:val="9"/>
              <w:keepNext w:val="0"/>
              <w:keepLines w:val="0"/>
              <w:pageBreakBefore w:val="0"/>
              <w:kinsoku/>
              <w:wordWrap/>
              <w:overflowPunct/>
              <w:topLinePunct w:val="0"/>
              <w:autoSpaceDE/>
              <w:autoSpaceDN/>
              <w:bidi w:val="0"/>
              <w:adjustRightInd/>
              <w:snapToGrid/>
              <w:spacing w:line="240" w:lineRule="auto"/>
              <w:rPr>
                <w:color w:val="000000" w:themeColor="text1"/>
                <w:highlight w:val="yellow"/>
                <w14:textFill>
                  <w14:solidFill>
                    <w14:schemeClr w14:val="tx1"/>
                  </w14:solidFill>
                </w14:textFill>
              </w:rPr>
            </w:pPr>
          </w:p>
        </w:tc>
        <w:tc>
          <w:tcPr>
            <w:tcW w:w="824" w:type="dxa"/>
            <w:vMerge w:val="restart"/>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180" w:lineRule="exact"/>
              <w:jc w:val="center"/>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18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000000" w:themeColor="text1"/>
                <w:kern w:val="0"/>
                <w:sz w:val="15"/>
                <w:szCs w:val="15"/>
                <w:highlight w:val="yellow"/>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000000" w:themeColor="text1"/>
                <w:kern w:val="0"/>
                <w:sz w:val="15"/>
                <w:szCs w:val="15"/>
                <w:highlight w:val="yellow"/>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lang w:val="en-US" w:eastAsia="zh-CN"/>
                <w14:textFill>
                  <w14:solidFill>
                    <w14:schemeClr w14:val="tx1"/>
                  </w14:solidFill>
                </w14:textFill>
              </w:rPr>
              <w:t>50000（</w:t>
            </w:r>
            <w:r>
              <w:rPr>
                <w:rFonts w:hint="eastAsia" w:ascii="宋体" w:hAnsi="宋体" w:eastAsia="宋体" w:cs="宋体"/>
                <w:color w:val="000000" w:themeColor="text1"/>
                <w:sz w:val="15"/>
                <w:szCs w:val="15"/>
                <w:highlight w:val="yellow"/>
                <w14:textFill>
                  <w14:solidFill>
                    <w14:schemeClr w14:val="tx1"/>
                  </w14:solidFill>
                </w14:textFill>
              </w:rPr>
              <w:t>运输服务单位</w:t>
            </w:r>
            <w:r>
              <w:rPr>
                <w:rFonts w:hint="eastAsia" w:ascii="宋体" w:hAnsi="宋体" w:eastAsia="宋体" w:cs="宋体"/>
                <w:color w:val="000000" w:themeColor="text1"/>
                <w:sz w:val="15"/>
                <w:szCs w:val="15"/>
                <w:highlight w:val="yellow"/>
                <w:lang w:val="en-US" w:eastAsia="zh-CN"/>
                <w14:textFill>
                  <w14:solidFill>
                    <w14:schemeClr w14:val="tx1"/>
                  </w14:solidFill>
                </w14:textFill>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000000" w:themeColor="text1"/>
                <w:kern w:val="0"/>
                <w:sz w:val="15"/>
                <w:szCs w:val="15"/>
                <w:highlight w:val="yellow"/>
                <w14:textFill>
                  <w14:solidFill>
                    <w14:schemeClr w14:val="tx1"/>
                  </w14:solidFill>
                </w14:textFill>
              </w:rPr>
            </w:pP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cs="宋体" w:asciiTheme="minorEastAsia" w:hAnsiTheme="minorEastAsia" w:eastAsiaTheme="minorEastAsia"/>
                <w:color w:val="000000" w:themeColor="text1"/>
                <w:kern w:val="0"/>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1</w:t>
            </w:r>
            <w:r>
              <w:rPr>
                <w:rFonts w:hint="eastAsia" w:ascii="宋体" w:hAnsi="宋体" w:eastAsia="宋体" w:cs="宋体"/>
                <w:color w:val="000000" w:themeColor="text1"/>
                <w:kern w:val="0"/>
                <w:sz w:val="15"/>
                <w:szCs w:val="15"/>
                <w:highlight w:val="yellow"/>
                <w14:textFill>
                  <w14:solidFill>
                    <w14:schemeClr w14:val="tx1"/>
                  </w14:solidFill>
                </w14:textFill>
              </w:rPr>
              <w:t>.</w:t>
            </w:r>
            <w:r>
              <w:rPr>
                <w:rFonts w:hint="eastAsia" w:ascii="宋体" w:hAnsi="宋体" w:eastAsia="宋体" w:cs="宋体"/>
                <w:b w:val="0"/>
                <w:bCs w:val="0"/>
                <w:color w:val="000000" w:themeColor="text1"/>
                <w:sz w:val="15"/>
                <w:szCs w:val="15"/>
                <w:highlight w:val="yellow"/>
                <w14:textFill>
                  <w14:solidFill>
                    <w14:schemeClr w14:val="tx1"/>
                  </w14:solidFill>
                </w14:textFill>
              </w:rPr>
              <w:t>建筑垃圾占地面积10㎡以下的，系数0；11—15㎡，系数为1；16-20㎡</w:t>
            </w:r>
            <w:r>
              <w:rPr>
                <w:rFonts w:hint="eastAsia" w:ascii="宋体" w:hAnsi="宋体" w:eastAsia="宋体" w:cs="宋体"/>
                <w:b w:val="0"/>
                <w:bCs w:val="0"/>
                <w:color w:val="000000" w:themeColor="text1"/>
                <w:sz w:val="15"/>
                <w:szCs w:val="15"/>
                <w:highlight w:val="yellow"/>
                <w:lang w:eastAsia="zh-CN"/>
                <w14:textFill>
                  <w14:solidFill>
                    <w14:schemeClr w14:val="tx1"/>
                  </w14:solidFill>
                </w14:textFill>
              </w:rPr>
              <w:t>，</w:t>
            </w:r>
            <w:r>
              <w:rPr>
                <w:rFonts w:hint="eastAsia" w:ascii="宋体" w:hAnsi="宋体" w:eastAsia="宋体" w:cs="宋体"/>
                <w:b w:val="0"/>
                <w:bCs w:val="0"/>
                <w:color w:val="000000" w:themeColor="text1"/>
                <w:sz w:val="15"/>
                <w:szCs w:val="15"/>
                <w:highlight w:val="yellow"/>
                <w14:textFill>
                  <w14:solidFill>
                    <w14:schemeClr w14:val="tx1"/>
                  </w14:solidFill>
                </w14:textFill>
              </w:rPr>
              <w:t>系数2，以此类推</w:t>
            </w:r>
            <w:r>
              <w:rPr>
                <w:rFonts w:hint="eastAsia" w:ascii="宋体" w:hAnsi="宋体" w:eastAsia="宋体" w:cs="宋体"/>
                <w:b w:val="0"/>
                <w:bCs w:val="0"/>
                <w:color w:val="000000" w:themeColor="text1"/>
                <w:sz w:val="15"/>
                <w:szCs w:val="15"/>
                <w:highlight w:val="yellow"/>
                <w:lang w:eastAsia="zh-CN"/>
                <w14:textFill>
                  <w14:solidFill>
                    <w14:schemeClr w14:val="tx1"/>
                  </w14:solidFill>
                </w14:textFill>
              </w:rPr>
              <w:t>，面积</w:t>
            </w:r>
            <w:r>
              <w:rPr>
                <w:rFonts w:hint="eastAsia" w:ascii="宋体" w:hAnsi="宋体" w:eastAsia="宋体" w:cs="宋体"/>
                <w:b w:val="0"/>
                <w:bCs w:val="0"/>
                <w:color w:val="000000" w:themeColor="text1"/>
                <w:sz w:val="15"/>
                <w:szCs w:val="15"/>
                <w:highlight w:val="yellow"/>
                <w:lang w:val="en-US" w:eastAsia="zh-CN"/>
                <w14:textFill>
                  <w14:solidFill>
                    <w14:schemeClr w14:val="tx1"/>
                  </w14:solidFill>
                </w14:textFill>
              </w:rPr>
              <w:t>51</w:t>
            </w:r>
            <w:r>
              <w:rPr>
                <w:rFonts w:hint="eastAsia" w:ascii="宋体" w:hAnsi="宋体" w:eastAsia="宋体" w:cs="宋体"/>
                <w:b w:val="0"/>
                <w:bCs w:val="0"/>
                <w:color w:val="000000" w:themeColor="text1"/>
                <w:sz w:val="15"/>
                <w:szCs w:val="15"/>
                <w:highlight w:val="yellow"/>
                <w14:textFill>
                  <w14:solidFill>
                    <w14:schemeClr w14:val="tx1"/>
                  </w14:solidFill>
                </w14:textFill>
              </w:rPr>
              <w:t>㎡</w:t>
            </w:r>
            <w:r>
              <w:rPr>
                <w:rFonts w:hint="eastAsia" w:ascii="宋体" w:hAnsi="宋体" w:eastAsia="宋体" w:cs="宋体"/>
                <w:b w:val="0"/>
                <w:bCs w:val="0"/>
                <w:color w:val="000000" w:themeColor="text1"/>
                <w:sz w:val="15"/>
                <w:szCs w:val="15"/>
                <w:highlight w:val="yellow"/>
                <w:lang w:eastAsia="zh-CN"/>
                <w14:textFill>
                  <w14:solidFill>
                    <w14:schemeClr w14:val="tx1"/>
                  </w14:solidFill>
                </w14:textFill>
              </w:rPr>
              <w:t>及以上的，系数</w:t>
            </w:r>
            <w:r>
              <w:rPr>
                <w:rFonts w:hint="eastAsia" w:ascii="宋体" w:hAnsi="宋体" w:eastAsia="宋体" w:cs="宋体"/>
                <w:b w:val="0"/>
                <w:bCs w:val="0"/>
                <w:color w:val="000000" w:themeColor="text1"/>
                <w:sz w:val="15"/>
                <w:szCs w:val="15"/>
                <w:highlight w:val="yellow"/>
                <w:lang w:val="en-US" w:eastAsia="zh-CN"/>
                <w14:textFill>
                  <w14:solidFill>
                    <w14:schemeClr w14:val="tx1"/>
                  </w14:solidFill>
                </w14:textFill>
              </w:rPr>
              <w:t>9；2.</w:t>
            </w:r>
            <w:r>
              <w:rPr>
                <w:rFonts w:hint="eastAsia" w:ascii="宋体" w:hAnsi="宋体" w:eastAsia="宋体" w:cs="宋体"/>
                <w:color w:val="000000" w:themeColor="text1"/>
                <w:kern w:val="0"/>
                <w:sz w:val="15"/>
                <w:szCs w:val="15"/>
                <w:highlight w:val="yellow"/>
                <w14:textFill>
                  <w14:solidFill>
                    <w14:schemeClr w14:val="tx1"/>
                  </w14:solidFill>
                </w14:textFill>
              </w:rPr>
              <w:t>污染道路长21－30米的，系数1；31－40米的，系数2；以此类推</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w:t>
            </w:r>
            <w:r>
              <w:rPr>
                <w:rFonts w:hint="eastAsia" w:ascii="宋体" w:hAnsi="宋体" w:eastAsia="宋体" w:cs="宋体"/>
                <w:color w:val="000000" w:themeColor="text1"/>
                <w:sz w:val="15"/>
                <w:szCs w:val="15"/>
                <w:highlight w:val="yellow"/>
                <w:lang w:eastAsia="zh-CN"/>
                <w14:textFill>
                  <w14:solidFill>
                    <w14:schemeClr w14:val="tx1"/>
                  </w14:solidFill>
                </w14:textFill>
              </w:rPr>
              <w:t>长度</w:t>
            </w:r>
            <w:r>
              <w:rPr>
                <w:rFonts w:hint="eastAsia" w:ascii="宋体" w:hAnsi="宋体" w:eastAsia="宋体" w:cs="宋体"/>
                <w:color w:val="000000" w:themeColor="text1"/>
                <w:sz w:val="15"/>
                <w:szCs w:val="15"/>
                <w:highlight w:val="yellow"/>
                <w:lang w:val="en-US" w:eastAsia="zh-CN"/>
                <w14:textFill>
                  <w14:solidFill>
                    <w14:schemeClr w14:val="tx1"/>
                  </w14:solidFill>
                </w14:textFill>
              </w:rPr>
              <w:t>101米</w:t>
            </w:r>
            <w:r>
              <w:rPr>
                <w:rFonts w:hint="eastAsia" w:ascii="宋体" w:hAnsi="宋体" w:eastAsia="宋体" w:cs="宋体"/>
                <w:color w:val="000000" w:themeColor="text1"/>
                <w:sz w:val="15"/>
                <w:szCs w:val="15"/>
                <w:highlight w:val="yellow"/>
                <w:lang w:eastAsia="zh-CN"/>
                <w14:textFill>
                  <w14:solidFill>
                    <w14:schemeClr w14:val="tx1"/>
                  </w14:solidFill>
                </w14:textFill>
              </w:rPr>
              <w:t>及以上的，系数</w:t>
            </w:r>
            <w:r>
              <w:rPr>
                <w:rFonts w:hint="eastAsia" w:ascii="宋体" w:hAnsi="宋体" w:eastAsia="宋体" w:cs="宋体"/>
                <w:color w:val="000000" w:themeColor="text1"/>
                <w:sz w:val="15"/>
                <w:szCs w:val="15"/>
                <w:highlight w:val="yellow"/>
                <w:lang w:val="en-US" w:eastAsia="zh-CN"/>
                <w14:textFill>
                  <w14:solidFill>
                    <w14:schemeClr w14:val="tx1"/>
                  </w14:solidFill>
                </w14:textFill>
              </w:rPr>
              <w:t>9</w:t>
            </w:r>
            <w:r>
              <w:rPr>
                <w:rFonts w:hint="eastAsia" w:ascii="宋体" w:hAnsi="宋体" w:eastAsia="宋体" w:cs="宋体"/>
                <w:color w:val="000000" w:themeColor="text1"/>
                <w:sz w:val="15"/>
                <w:szCs w:val="15"/>
                <w:highlight w:val="yellow"/>
                <w14:textFill>
                  <w14:solidFill>
                    <w14:schemeClr w14:val="tx1"/>
                  </w14:solidFill>
                </w14:textFill>
              </w:rPr>
              <w:t>。</w:t>
            </w:r>
            <w:r>
              <w:rPr>
                <w:rFonts w:hint="eastAsia" w:ascii="宋体" w:hAnsi="宋体" w:eastAsia="宋体" w:cs="宋体"/>
                <w:b w:val="0"/>
                <w:bCs w:val="0"/>
                <w:color w:val="000000" w:themeColor="text1"/>
                <w:sz w:val="15"/>
                <w:szCs w:val="15"/>
                <w:highlight w:val="yellow"/>
                <w:lang w:val="en-US" w:eastAsia="zh-CN"/>
                <w14:textFill>
                  <w14:solidFill>
                    <w14:schemeClr w14:val="tx1"/>
                  </w14:solidFill>
                </w14:textFill>
              </w:rPr>
              <w:t>3.建筑垃圾重量在4.5吨以下的，系数0；4.5-9吨的，系数1，以此类推，40.5吨及以上的，系数9；在面积和长度无法取证的情况下，可以适用此情形。</w:t>
            </w:r>
            <w:r>
              <w:rPr>
                <w:rFonts w:hint="eastAsia" w:ascii="宋体" w:hAnsi="宋体" w:eastAsia="宋体" w:cs="宋体"/>
                <w:color w:val="000000" w:themeColor="text1"/>
                <w:kern w:val="0"/>
                <w:sz w:val="15"/>
                <w:szCs w:val="15"/>
                <w:highlight w:val="yellow"/>
                <w:lang w:val="en-US" w:eastAsia="zh-CN"/>
                <w14:textFill>
                  <w14:solidFill>
                    <w14:schemeClr w14:val="tx1"/>
                  </w14:solidFill>
                </w14:textFill>
              </w:rPr>
              <w:t>4</w:t>
            </w:r>
            <w:r>
              <w:rPr>
                <w:rFonts w:hint="eastAsia" w:ascii="宋体" w:hAnsi="宋体" w:eastAsia="宋体" w:cs="宋体"/>
                <w:color w:val="000000" w:themeColor="text1"/>
                <w:kern w:val="0"/>
                <w:sz w:val="15"/>
                <w:szCs w:val="15"/>
                <w:highlight w:val="yellow"/>
                <w14:textFill>
                  <w14:solidFill>
                    <w14:schemeClr w14:val="tx1"/>
                  </w14:solidFill>
                </w14:textFill>
              </w:rPr>
              <w:t>.将垃圾随意倾倒、</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抛撒</w:t>
            </w:r>
            <w:r>
              <w:rPr>
                <w:rFonts w:hint="eastAsia" w:ascii="宋体" w:hAnsi="宋体" w:eastAsia="宋体" w:cs="宋体"/>
                <w:color w:val="000000" w:themeColor="text1"/>
                <w:kern w:val="0"/>
                <w:sz w:val="15"/>
                <w:szCs w:val="15"/>
                <w:highlight w:val="yellow"/>
                <w14:textFill>
                  <w14:solidFill>
                    <w14:schemeClr w14:val="tx1"/>
                  </w14:solidFill>
                </w14:textFill>
              </w:rPr>
              <w:t>、堆放至城市道路、绿地、林地、</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耕地、</w:t>
            </w:r>
            <w:r>
              <w:rPr>
                <w:rFonts w:hint="eastAsia" w:ascii="宋体" w:hAnsi="宋体" w:eastAsia="宋体" w:cs="宋体"/>
                <w:color w:val="000000" w:themeColor="text1"/>
                <w:kern w:val="0"/>
                <w:sz w:val="15"/>
                <w:szCs w:val="15"/>
                <w:highlight w:val="yellow"/>
                <w14:textFill>
                  <w14:solidFill>
                    <w14:schemeClr w14:val="tx1"/>
                  </w14:solidFill>
                </w14:textFill>
              </w:rPr>
              <w:t>河道、铁路、轨道交通、公厕、桥下空间等公共场所及周边，</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或者</w:t>
            </w:r>
            <w:r>
              <w:rPr>
                <w:rFonts w:hint="eastAsia" w:ascii="宋体" w:hAnsi="宋体" w:eastAsia="宋体" w:cs="宋体"/>
                <w:color w:val="000000" w:themeColor="text1"/>
                <w:kern w:val="0"/>
                <w:sz w:val="15"/>
                <w:szCs w:val="15"/>
                <w:highlight w:val="yellow"/>
                <w14:textFill>
                  <w14:solidFill>
                    <w14:schemeClr w14:val="tx1"/>
                  </w14:solidFill>
                </w14:textFill>
              </w:rPr>
              <w:t>燃气、供暖、石油长输管道、供水、排水、电力、通信等公用管道和设施保护（管理）范围的，系数3；</w:t>
            </w:r>
            <w:r>
              <w:rPr>
                <w:rFonts w:hint="eastAsia" w:ascii="宋体" w:hAnsi="宋体" w:eastAsia="宋体" w:cs="宋体"/>
                <w:color w:val="000000" w:themeColor="text1"/>
                <w:kern w:val="0"/>
                <w:sz w:val="15"/>
                <w:szCs w:val="15"/>
                <w:highlight w:val="yellow"/>
                <w:lang w:val="en-US" w:eastAsia="zh-CN"/>
                <w14:textFill>
                  <w14:solidFill>
                    <w14:schemeClr w14:val="tx1"/>
                  </w14:solidFill>
                </w14:textFill>
              </w:rPr>
              <w:t>5</w:t>
            </w:r>
            <w:r>
              <w:rPr>
                <w:rFonts w:hint="eastAsia" w:ascii="宋体" w:hAnsi="宋体" w:eastAsia="宋体" w:cs="宋体"/>
                <w:color w:val="000000" w:themeColor="text1"/>
                <w:kern w:val="0"/>
                <w:sz w:val="15"/>
                <w:szCs w:val="15"/>
                <w:highlight w:val="yellow"/>
                <w14:textFill>
                  <w14:solidFill>
                    <w14:schemeClr w14:val="tx1"/>
                  </w14:solidFill>
                </w14:textFill>
              </w:rPr>
              <w:t>.违法行为持续时间较长、对环境秩序造成较严重影响的，系数</w:t>
            </w:r>
            <w:r>
              <w:rPr>
                <w:rFonts w:hint="eastAsia" w:ascii="宋体" w:hAnsi="宋体" w:eastAsia="宋体" w:cs="宋体"/>
                <w:strike w:val="0"/>
                <w:dstrike w:val="0"/>
                <w:color w:val="000000" w:themeColor="text1"/>
                <w:kern w:val="0"/>
                <w:sz w:val="15"/>
                <w:szCs w:val="15"/>
                <w:highlight w:val="yellow"/>
                <w:lang w:val="en-US" w:eastAsia="zh-CN"/>
                <w14:textFill>
                  <w14:solidFill>
                    <w14:schemeClr w14:val="tx1"/>
                  </w14:solidFill>
                </w14:textFill>
              </w:rPr>
              <w:t xml:space="preserve"> </w:t>
            </w:r>
            <w:r>
              <w:rPr>
                <w:rFonts w:hint="eastAsia" w:ascii="宋体" w:hAnsi="宋体" w:eastAsia="宋体" w:cs="宋体"/>
                <w:color w:val="000000" w:themeColor="text1"/>
                <w:kern w:val="0"/>
                <w:sz w:val="15"/>
                <w:szCs w:val="15"/>
                <w:highlight w:val="yellow"/>
                <w:lang w:val="en-US" w:eastAsia="zh-CN"/>
                <w14:textFill>
                  <w14:solidFill>
                    <w14:schemeClr w14:val="tx1"/>
                  </w14:solidFill>
                </w14:textFill>
              </w:rPr>
              <w:t>5</w:t>
            </w:r>
            <w:r>
              <w:rPr>
                <w:rFonts w:hint="eastAsia" w:ascii="宋体" w:hAnsi="宋体" w:eastAsia="宋体" w:cs="宋体"/>
                <w:color w:val="000000" w:themeColor="text1"/>
                <w:kern w:val="0"/>
                <w:sz w:val="15"/>
                <w:szCs w:val="15"/>
                <w:highlight w:val="yellow"/>
                <w14:textFill>
                  <w14:solidFill>
                    <w14:schemeClr w14:val="tx1"/>
                  </w14:solidFill>
                </w14:textFill>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000000" w:themeColor="text1"/>
                <w:kern w:val="0"/>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14:textFill>
                  <w14:solidFill>
                    <w14:schemeClr w14:val="tx1"/>
                  </w14:solidFill>
                </w14:textFill>
              </w:rPr>
              <w:t>罚款数额＝</w:t>
            </w:r>
            <w:r>
              <w:rPr>
                <w:rFonts w:hint="eastAsia" w:ascii="宋体" w:hAnsi="宋体" w:eastAsia="宋体" w:cs="宋体"/>
                <w:color w:val="000000" w:themeColor="text1"/>
                <w:sz w:val="15"/>
                <w:szCs w:val="15"/>
                <w:highlight w:val="yellow"/>
                <w:lang w:val="en-US"/>
                <w14:textFill>
                  <w14:solidFill>
                    <w14:schemeClr w14:val="tx1"/>
                  </w14:solidFill>
                </w14:textFill>
              </w:rPr>
              <w:t>5</w:t>
            </w:r>
            <w:r>
              <w:rPr>
                <w:rFonts w:hint="eastAsia" w:ascii="宋体" w:hAnsi="宋体" w:eastAsia="宋体" w:cs="宋体"/>
                <w:color w:val="000000" w:themeColor="text1"/>
                <w:sz w:val="15"/>
                <w:szCs w:val="15"/>
                <w:highlight w:val="yellow"/>
                <w14:textFill>
                  <w14:solidFill>
                    <w14:schemeClr w14:val="tx1"/>
                  </w14:solidFill>
                </w14:textFill>
              </w:rPr>
              <w:t>0000×（1＋</w:t>
            </w:r>
            <w:r>
              <w:rPr>
                <w:rFonts w:hint="eastAsia" w:ascii="宋体" w:hAnsi="宋体" w:eastAsia="宋体" w:cs="宋体"/>
                <w:color w:val="000000" w:themeColor="text1"/>
                <w:sz w:val="15"/>
                <w:szCs w:val="15"/>
                <w:highlight w:val="yellow"/>
                <w:lang w:eastAsia="zh-CN"/>
                <w14:textFill>
                  <w14:solidFill>
                    <w14:schemeClr w14:val="tx1"/>
                  </w14:solidFill>
                </w14:textFill>
              </w:rPr>
              <w:t>常量系数＋变量系数＋区域系数</w:t>
            </w:r>
            <w:r>
              <w:rPr>
                <w:rFonts w:hint="eastAsia" w:ascii="宋体" w:hAnsi="宋体" w:eastAsia="宋体" w:cs="宋体"/>
                <w:color w:val="000000" w:themeColor="text1"/>
                <w:sz w:val="15"/>
                <w:szCs w:val="15"/>
                <w:highlight w:val="yellow"/>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pPr>
            <w:r>
              <w:rPr>
                <w:rFonts w:hint="eastAsia" w:ascii="宋体" w:hAnsi="宋体" w:eastAsia="宋体" w:cs="宋体"/>
                <w:color w:val="000000" w:themeColor="text1"/>
                <w:kern w:val="0"/>
                <w:sz w:val="15"/>
                <w:szCs w:val="15"/>
                <w:highlight w:val="yellow"/>
                <w:lang w:val="en-US" w:eastAsia="zh-CN"/>
                <w14:textFill>
                  <w14:solidFill>
                    <w14:schemeClr w14:val="tx1"/>
                  </w14:solidFill>
                </w14:textFill>
              </w:rPr>
              <w:t>1.</w:t>
            </w:r>
            <w:r>
              <w:rPr>
                <w:rFonts w:hint="eastAsia" w:ascii="宋体" w:hAnsi="宋体" w:eastAsia="宋体" w:cs="宋体"/>
                <w:color w:val="000000" w:themeColor="text1"/>
                <w:kern w:val="0"/>
                <w:sz w:val="15"/>
                <w:szCs w:val="15"/>
                <w:highlight w:val="yellow"/>
                <w:lang w:eastAsia="zh-CN"/>
                <w14:textFill>
                  <w14:solidFill>
                    <w14:schemeClr w14:val="tx1"/>
                  </w14:solidFill>
                </w14:textFill>
              </w:rPr>
              <w:t>区域台帐与倾倒、抛撒、堆放点位重叠时，</w:t>
            </w:r>
            <w:r>
              <w:rPr>
                <w:rFonts w:hint="eastAsia" w:cs="宋体" w:asciiTheme="minorEastAsia" w:hAnsiTheme="minorEastAsia" w:eastAsiaTheme="minorEastAsia"/>
                <w:color w:val="000000" w:themeColor="text1"/>
                <w:kern w:val="0"/>
                <w:sz w:val="15"/>
                <w:szCs w:val="15"/>
                <w:highlight w:val="yellow"/>
                <w:lang w:eastAsia="zh-CN"/>
                <w14:textFill>
                  <w14:solidFill>
                    <w14:schemeClr w14:val="tx1"/>
                  </w14:solidFill>
                </w14:textFill>
              </w:rPr>
              <w:t>不适用区域系数。</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kern w:val="0"/>
                <w:sz w:val="15"/>
                <w:szCs w:val="15"/>
                <w:highlight w:val="yellow"/>
                <w:lang w:eastAsia="zh-CN"/>
                <w14:textFill>
                  <w14:solidFill>
                    <w14:schemeClr w14:val="tx1"/>
                  </w14:solidFill>
                </w14:textFill>
              </w:rPr>
            </w:pP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lang w:val="en-US" w:eastAsia="zh-CN"/>
                <w14:textFill>
                  <w14:solidFill>
                    <w14:schemeClr w14:val="tx1"/>
                  </w14:solidFill>
                </w14:textFill>
              </w:rPr>
              <w:t>2.</w:t>
            </w:r>
            <w:r>
              <w:rPr>
                <w:rFonts w:hint="eastAsia" w:ascii="宋体" w:hAnsi="宋体" w:eastAsia="宋体" w:cs="宋体"/>
                <w:color w:val="000000" w:themeColor="text1"/>
                <w:sz w:val="15"/>
                <w:szCs w:val="15"/>
                <w:highlight w:val="yellow"/>
                <w14:textFill>
                  <w14:solidFill>
                    <w14:schemeClr w14:val="tx1"/>
                  </w14:solidFill>
                </w14:textFill>
              </w:rPr>
              <w:t>存在下列情形的，可视为“情节严重”：一年内因同类违法行为，受到城管执法机关</w:t>
            </w:r>
            <w:r>
              <w:rPr>
                <w:rFonts w:hint="eastAsia" w:ascii="宋体" w:hAnsi="宋体" w:eastAsia="宋体" w:cs="宋体"/>
                <w:color w:val="000000" w:themeColor="text1"/>
                <w:sz w:val="15"/>
                <w:szCs w:val="15"/>
                <w:highlight w:val="yellow"/>
                <w:lang w:val="en-US" w:eastAsia="zh-CN"/>
                <w14:textFill>
                  <w14:solidFill>
                    <w14:schemeClr w14:val="tx1"/>
                  </w14:solidFill>
                </w14:textFill>
              </w:rPr>
              <w:t>2次</w:t>
            </w:r>
            <w:r>
              <w:rPr>
                <w:rFonts w:hint="eastAsia" w:ascii="宋体" w:hAnsi="宋体" w:eastAsia="宋体" w:cs="宋体"/>
                <w:color w:val="000000" w:themeColor="text1"/>
                <w:sz w:val="15"/>
                <w:szCs w:val="15"/>
                <w:highlight w:val="yellow"/>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pStyle w:val="9"/>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000000" w:themeColor="text1"/>
                <w:sz w:val="15"/>
                <w:szCs w:val="15"/>
                <w:highlight w:val="yellow"/>
                <w14:textFill>
                  <w14:solidFill>
                    <w14:schemeClr w14:val="tx1"/>
                  </w14:solidFill>
                </w14:textFill>
              </w:rPr>
            </w:pPr>
            <w:r>
              <w:rPr>
                <w:rFonts w:hint="eastAsia" w:ascii="宋体" w:hAnsi="宋体" w:eastAsia="宋体" w:cs="宋体"/>
                <w:color w:val="000000" w:themeColor="text1"/>
                <w:sz w:val="15"/>
                <w:szCs w:val="15"/>
                <w:highlight w:val="yellow"/>
                <w:lang w:val="en-US" w:eastAsia="zh-CN"/>
                <w14:textFill>
                  <w14:solidFill>
                    <w14:schemeClr w14:val="tx1"/>
                  </w14:solidFill>
                </w14:textFill>
              </w:rPr>
              <w:t>3.</w:t>
            </w:r>
            <w:r>
              <w:rPr>
                <w:rFonts w:hint="eastAsia" w:ascii="宋体" w:hAnsi="宋体" w:eastAsia="宋体" w:cs="宋体"/>
                <w:color w:val="000000" w:themeColor="text1"/>
                <w:sz w:val="15"/>
                <w:szCs w:val="15"/>
                <w:highlight w:val="yellow"/>
                <w14:textFill>
                  <w14:solidFill>
                    <w14:schemeClr w14:val="tx1"/>
                  </w14:solidFill>
                </w14:textFill>
              </w:rPr>
              <w:t>依据</w:t>
            </w:r>
            <w:r>
              <w:rPr>
                <w:rFonts w:hint="eastAsia" w:ascii="宋体" w:hAnsi="宋体" w:eastAsia="宋体" w:cs="宋体"/>
                <w:color w:val="000000" w:themeColor="text1"/>
                <w:kern w:val="0"/>
                <w:sz w:val="15"/>
                <w:szCs w:val="15"/>
                <w:highlight w:val="yellow"/>
                <w14:textFill>
                  <w14:solidFill>
                    <w14:schemeClr w14:val="tx1"/>
                  </w14:solidFill>
                </w14:textFill>
              </w:rPr>
              <w:t>《北京市人民政府关于进一步相对集中城市管理领域部分行政处罚权的决定》（</w:t>
            </w:r>
            <w:r>
              <w:rPr>
                <w:rFonts w:hint="eastAsia" w:ascii="宋体" w:hAnsi="宋体" w:eastAsia="宋体" w:cs="宋体"/>
                <w:color w:val="000000" w:themeColor="text1"/>
                <w:sz w:val="15"/>
                <w:szCs w:val="15"/>
                <w:highlight w:val="yellow"/>
                <w14:textFill>
                  <w14:solidFill>
                    <w14:schemeClr w14:val="tx1"/>
                  </w14:solidFill>
                </w14:textFill>
              </w:rPr>
              <w:t>京政发〔2017〕32号），拟作出吊销处罚的，作出处罚决定前，要邀请城市管理部门共同会商；对于可能影响公共利益的，提请城市管理部门拟定接管方案。</w:t>
            </w:r>
          </w:p>
        </w:tc>
        <w:tc>
          <w:tcPr>
            <w:tcW w:w="824" w:type="dxa"/>
            <w:vMerge w:val="continue"/>
            <w:shd w:val="clear" w:color="auto" w:fill="auto"/>
            <w:vAlign w:val="center"/>
          </w:tcPr>
          <w:p>
            <w:pPr>
              <w:spacing w:line="204"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参照基准规定，并根据实际情况处罚。</w:t>
            </w:r>
          </w:p>
        </w:tc>
        <w:tc>
          <w:tcPr>
            <w:tcW w:w="824" w:type="dxa"/>
            <w:vMerge w:val="continue"/>
            <w:shd w:val="clear" w:color="auto" w:fill="auto"/>
            <w:vAlign w:val="center"/>
          </w:tcPr>
          <w:p>
            <w:pPr>
              <w:spacing w:line="204"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04"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建筑垃圾与其他</w:t>
            </w:r>
            <w:r>
              <w:rPr>
                <w:rFonts w:asciiTheme="minorEastAsia" w:hAnsiTheme="minorEastAsia" w:eastAsiaTheme="minorEastAsia"/>
                <w:color w:val="000000" w:themeColor="text1"/>
                <w:sz w:val="15"/>
                <w:szCs w:val="15"/>
                <w:highlight w:val="none"/>
                <w14:textFill>
                  <w14:solidFill>
                    <w14:schemeClr w14:val="tx1"/>
                  </w14:solidFill>
                </w14:textFill>
              </w:rPr>
              <w:t>生活垃圾</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危险</w:t>
            </w:r>
            <w:r>
              <w:rPr>
                <w:rFonts w:hint="eastAsia" w:asciiTheme="minorEastAsia" w:hAnsiTheme="minorEastAsia" w:eastAsiaTheme="minorEastAsia"/>
                <w:color w:val="000000" w:themeColor="text1"/>
                <w:sz w:val="15"/>
                <w:szCs w:val="15"/>
                <w:highlight w:val="none"/>
                <w14:textFill>
                  <w14:solidFill>
                    <w14:schemeClr w14:val="tx1"/>
                  </w14:solidFill>
                </w14:textFill>
              </w:rPr>
              <w:t>废物</w:t>
            </w:r>
            <w:r>
              <w:rPr>
                <w:rFonts w:asciiTheme="minorEastAsia" w:hAnsiTheme="minorEastAsia" w:eastAsiaTheme="minorEastAsia"/>
                <w:color w:val="000000" w:themeColor="text1"/>
                <w:sz w:val="15"/>
                <w:szCs w:val="15"/>
                <w:highlight w:val="none"/>
                <w14:textFill>
                  <w14:solidFill>
                    <w14:schemeClr w14:val="tx1"/>
                  </w14:solidFill>
                </w14:textFill>
              </w:rPr>
              <w:t>混合</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第六条第二款；</w:t>
            </w:r>
            <w:r>
              <w:rPr>
                <w:rFonts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第三十</w:t>
            </w:r>
            <w:r>
              <w:rPr>
                <w:rFonts w:asciiTheme="minorEastAsia" w:hAnsiTheme="minorEastAsia" w:eastAsiaTheme="minorEastAsia"/>
                <w:color w:val="000000" w:themeColor="text1"/>
                <w:sz w:val="15"/>
                <w:szCs w:val="15"/>
                <w:highlight w:val="none"/>
                <w14:textFill>
                  <w14:solidFill>
                    <w14:schemeClr w14:val="tx1"/>
                  </w14:solidFill>
                </w14:textFill>
              </w:rPr>
              <w:t>四条第三款</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（单位初次</w:t>
            </w:r>
            <w:r>
              <w:rPr>
                <w:rFonts w:asciiTheme="minorEastAsia" w:hAnsiTheme="minorEastAsia" w:eastAsiaTheme="minorEastAsia"/>
                <w:color w:val="000000" w:themeColor="text1"/>
                <w:sz w:val="15"/>
                <w:szCs w:val="15"/>
                <w:highlight w:val="none"/>
                <w14:textFill>
                  <w14:solidFill>
                    <w14:schemeClr w14:val="tx1"/>
                  </w14:solidFill>
                </w14:textFill>
              </w:rPr>
              <w:t>违反</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w:t>
            </w:r>
            <w:r>
              <w:rPr>
                <w:rFonts w:asciiTheme="minorEastAsia" w:hAnsiTheme="minorEastAsia" w:eastAsiaTheme="minorEastAsia"/>
                <w:color w:val="000000" w:themeColor="text1"/>
                <w:sz w:val="15"/>
                <w:szCs w:val="15"/>
                <w:highlight w:val="none"/>
                <w14:textFill>
                  <w14:solidFill>
                    <w14:schemeClr w14:val="tx1"/>
                  </w14:solidFill>
                </w14:textFill>
              </w:rPr>
              <w:t>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04"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（单位</w:t>
            </w:r>
            <w:r>
              <w:rPr>
                <w:rFonts w:asciiTheme="minorEastAsia" w:hAnsiTheme="minorEastAsia" w:eastAsiaTheme="minorEastAsia"/>
                <w:color w:val="000000" w:themeColor="text1"/>
                <w:sz w:val="15"/>
                <w:szCs w:val="15"/>
                <w:highlight w:val="none"/>
                <w14:textFill>
                  <w14:solidFill>
                    <w14:schemeClr w14:val="tx1"/>
                  </w14:solidFill>
                </w14:textFill>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.建筑垃圾混合危险废物的，系数为2；</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.建筑垃圾同时混合生活垃圾、危险废物，系数为3；</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违法事件持续较长，建筑垃圾与其他生活垃圾、危险废物混合产生量较大，造成环境秩序较严重影响的，系数为4</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曾因此违法行为受到过行政处罚，再次违反的适用此情形。</w:t>
            </w:r>
          </w:p>
        </w:tc>
        <w:tc>
          <w:tcPr>
            <w:tcW w:w="824" w:type="dxa"/>
            <w:vMerge w:val="restart"/>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04"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个人初次</w:t>
            </w:r>
            <w:r>
              <w:rPr>
                <w:rFonts w:asciiTheme="minorEastAsia" w:hAnsiTheme="minorEastAsia" w:eastAsiaTheme="minorEastAsia"/>
                <w:color w:val="000000" w:themeColor="text1"/>
                <w:sz w:val="15"/>
                <w:szCs w:val="15"/>
                <w:highlight w:val="none"/>
                <w14:textFill>
                  <w14:solidFill>
                    <w14:schemeClr w14:val="tx1"/>
                  </w14:solidFill>
                </w14:textFill>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个人拒不听从生活垃圾分类管理责任人劝阻，且拒不改正的，适用此情形。初次违反的，书面警告。</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（个人</w:t>
            </w:r>
            <w:r>
              <w:rPr>
                <w:rFonts w:asciiTheme="minorEastAsia" w:hAnsiTheme="minorEastAsia" w:eastAsiaTheme="minorEastAsia"/>
                <w:color w:val="000000" w:themeColor="text1"/>
                <w:sz w:val="15"/>
                <w:szCs w:val="15"/>
                <w:highlight w:val="none"/>
                <w14:textFill>
                  <w14:solidFill>
                    <w14:schemeClr w14:val="tx1"/>
                  </w14:solidFill>
                </w14:textFill>
              </w:rPr>
              <w:t>再次违反</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2.曾因此违法行为受过到行政处罚，再次违反的适用此情形。</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生活垃</w:t>
            </w: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圾</w:t>
            </w:r>
            <w:r>
              <w:rPr>
                <w:rFonts w:asciiTheme="minorEastAsia" w:hAnsiTheme="minorEastAsia" w:eastAsiaTheme="minorEastAsia"/>
                <w:color w:val="000000" w:themeColor="text1"/>
                <w:sz w:val="15"/>
                <w:szCs w:val="15"/>
                <w:highlight w:val="none"/>
                <w:shd w:val="clear"/>
                <w14:textFill>
                  <w14:solidFill>
                    <w14:schemeClr w14:val="tx1"/>
                  </w14:solidFill>
                </w14:textFill>
              </w:rPr>
              <w:t>分类管理</w:t>
            </w:r>
            <w:r>
              <w:rPr>
                <w:rFonts w:hint="eastAsia" w:asciiTheme="minorEastAsia" w:hAnsiTheme="minorEastAsia" w:eastAsiaTheme="minorEastAsia"/>
                <w:color w:val="000000" w:themeColor="text1"/>
                <w:sz w:val="15"/>
                <w:szCs w:val="15"/>
                <w:highlight w:val="none"/>
                <w:shd w:val="clear"/>
                <w:lang w:eastAsia="zh-CN"/>
                <w14:textFill>
                  <w14:solidFill>
                    <w14:schemeClr w14:val="tx1"/>
                  </w14:solidFill>
                </w14:textFill>
              </w:rPr>
              <w:t>责任</w:t>
            </w:r>
            <w:r>
              <w:rPr>
                <w:rFonts w:asciiTheme="minorEastAsia" w:hAnsiTheme="minorEastAsia" w:eastAsiaTheme="minorEastAsia"/>
                <w:color w:val="000000" w:themeColor="text1"/>
                <w:sz w:val="15"/>
                <w:szCs w:val="15"/>
                <w:highlight w:val="none"/>
                <w:shd w:val="clear"/>
                <w14:textFill>
                  <w14:solidFill>
                    <w14:schemeClr w14:val="tx1"/>
                  </w14:solidFill>
                </w14:textFill>
              </w:rPr>
              <w:t>人</w:t>
            </w: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对居民装</w:t>
            </w:r>
            <w:r>
              <w:rPr>
                <w:rFonts w:hint="eastAsia" w:asciiTheme="minorEastAsia" w:hAnsiTheme="minorEastAsia" w:eastAsiaTheme="minorEastAsia"/>
                <w:color w:val="000000" w:themeColor="text1"/>
                <w:sz w:val="15"/>
                <w:szCs w:val="15"/>
                <w:highlight w:val="none"/>
                <w14:textFill>
                  <w14:solidFill>
                    <w14:schemeClr w14:val="tx1"/>
                  </w14:solidFill>
                </w14:textFill>
              </w:rPr>
              <w:t>饰装修产生的建筑垃圾未制定治理方案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对环境造成影响的</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6-9。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30</w:t>
            </w:r>
            <w:r>
              <w:rPr>
                <w:rFonts w:asciiTheme="minorEastAsia" w:hAnsiTheme="minorEastAsia" w:eastAsiaTheme="minorEastAsia"/>
                <w:color w:val="000000" w:themeColor="text1"/>
                <w:sz w:val="15"/>
                <w:szCs w:val="15"/>
                <w:highlight w:val="none"/>
                <w14:textFill>
                  <w14:solidFill>
                    <w14:schemeClr w14:val="tx1"/>
                  </w14:solidFill>
                </w14:textFill>
              </w:rPr>
              <w:t>00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生活</w:t>
            </w:r>
            <w:r>
              <w:rPr>
                <w:rFonts w:asciiTheme="minorEastAsia" w:hAnsiTheme="minorEastAsia" w:eastAsiaTheme="minorEastAsia"/>
                <w:color w:val="000000" w:themeColor="text1"/>
                <w:sz w:val="15"/>
                <w:szCs w:val="15"/>
                <w:highlight w:val="none"/>
                <w14:textFill>
                  <w14:solidFill>
                    <w14:schemeClr w14:val="tx1"/>
                  </w14:solidFill>
                </w14:textFill>
              </w:rPr>
              <w:t>垃圾分类管理责任人</w:t>
            </w:r>
            <w:r>
              <w:rPr>
                <w:rFonts w:hint="eastAsia" w:asciiTheme="minorEastAsia" w:hAnsiTheme="minorEastAsia" w:eastAsiaTheme="minorEastAsia"/>
                <w:color w:val="000000" w:themeColor="text1"/>
                <w:sz w:val="15"/>
                <w:szCs w:val="15"/>
                <w:highlight w:val="none"/>
                <w14:textFill>
                  <w14:solidFill>
                    <w14:schemeClr w14:val="tx1"/>
                  </w14:solidFill>
                </w14:textFill>
              </w:rPr>
              <w:t>未明确建筑垃圾投放规范、时间和地点、监督投诉方式等事项</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1.有</w:t>
            </w:r>
            <w:r>
              <w:rPr>
                <w:rFonts w:asciiTheme="minorEastAsia" w:hAnsiTheme="minorEastAsia" w:eastAsiaTheme="minorEastAsia"/>
                <w:color w:val="000000" w:themeColor="text1"/>
                <w:sz w:val="15"/>
                <w:szCs w:val="15"/>
                <w:highlight w:val="none"/>
                <w14:textFill>
                  <w14:solidFill>
                    <w14:schemeClr w14:val="tx1"/>
                  </w14:solidFill>
                </w14:textFill>
              </w:rPr>
              <w:t>治理方案的</w:t>
            </w:r>
            <w:r>
              <w:rPr>
                <w:rFonts w:hint="eastAsia" w:asciiTheme="minorEastAsia" w:hAnsiTheme="minorEastAsia" w:eastAsiaTheme="minorEastAsia"/>
                <w:color w:val="000000" w:themeColor="text1"/>
                <w:sz w:val="15"/>
                <w:szCs w:val="15"/>
                <w:highlight w:val="none"/>
                <w14:textFill>
                  <w14:solidFill>
                    <w14:schemeClr w14:val="tx1"/>
                  </w14:solidFill>
                </w14:textFill>
              </w:rPr>
              <w:t>，但明确</w:t>
            </w:r>
            <w:r>
              <w:rPr>
                <w:rFonts w:asciiTheme="minorEastAsia" w:hAnsiTheme="minorEastAsia" w:eastAsiaTheme="minorEastAsia"/>
                <w:color w:val="000000" w:themeColor="text1"/>
                <w:sz w:val="15"/>
                <w:szCs w:val="15"/>
                <w:highlight w:val="none"/>
                <w14:textFill>
                  <w14:solidFill>
                    <w14:schemeClr w14:val="tx1"/>
                  </w14:solidFill>
                </w14:textFill>
              </w:rPr>
              <w:t>事项造成缺项，系数为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；2.有</w:t>
            </w:r>
            <w:r>
              <w:rPr>
                <w:rFonts w:asciiTheme="minorEastAsia" w:hAnsiTheme="minorEastAsia" w:eastAsiaTheme="minorEastAsia"/>
                <w:color w:val="000000" w:themeColor="text1"/>
                <w:sz w:val="15"/>
                <w:szCs w:val="15"/>
                <w:highlight w:val="none"/>
                <w14:textFill>
                  <w14:solidFill>
                    <w14:schemeClr w14:val="tx1"/>
                  </w14:solidFill>
                </w14:textFill>
              </w:rPr>
              <w:t>治理方案的，</w:t>
            </w:r>
            <w:r>
              <w:rPr>
                <w:rFonts w:hint="eastAsia" w:asciiTheme="minorEastAsia" w:hAnsiTheme="minorEastAsia" w:eastAsiaTheme="minorEastAsia"/>
                <w:color w:val="000000" w:themeColor="text1"/>
                <w:sz w:val="15"/>
                <w:szCs w:val="15"/>
                <w:highlight w:val="none"/>
                <w14:textFill>
                  <w14:solidFill>
                    <w14:schemeClr w14:val="tx1"/>
                  </w14:solidFill>
                </w14:textFill>
              </w:rPr>
              <w:t>明确</w:t>
            </w:r>
            <w:r>
              <w:rPr>
                <w:rFonts w:asciiTheme="minorEastAsia" w:hAnsiTheme="minorEastAsia" w:eastAsiaTheme="minorEastAsia"/>
                <w:color w:val="000000" w:themeColor="text1"/>
                <w:sz w:val="15"/>
                <w:szCs w:val="15"/>
                <w:highlight w:val="none"/>
                <w14:textFill>
                  <w14:solidFill>
                    <w14:schemeClr w14:val="tx1"/>
                  </w14:solidFill>
                </w14:textFill>
              </w:rPr>
              <w:t>事项造成缺项，且对环境</w:t>
            </w:r>
            <w:r>
              <w:rPr>
                <w:rFonts w:hint="eastAsia" w:asciiTheme="minorEastAsia" w:hAnsiTheme="minorEastAsia" w:eastAsiaTheme="minorEastAsia"/>
                <w:color w:val="000000" w:themeColor="text1"/>
                <w:sz w:val="15"/>
                <w:szCs w:val="15"/>
                <w:highlight w:val="none"/>
                <w14:textFill>
                  <w14:solidFill>
                    <w14:schemeClr w14:val="tx1"/>
                  </w14:solidFill>
                </w14:textFill>
              </w:rPr>
              <w:t>秩序</w:t>
            </w:r>
            <w:r>
              <w:rPr>
                <w:rFonts w:asciiTheme="minorEastAsia" w:hAnsiTheme="minorEastAsia" w:eastAsiaTheme="minorEastAsia"/>
                <w:color w:val="000000" w:themeColor="text1"/>
                <w:sz w:val="15"/>
                <w:szCs w:val="15"/>
                <w:highlight w:val="none"/>
                <w14:textFill>
                  <w14:solidFill>
                    <w14:schemeClr w14:val="tx1"/>
                  </w14:solidFill>
                </w14:textFill>
              </w:rPr>
              <w:t>造成影响的，系数为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3</w:t>
            </w:r>
            <w:r>
              <w:rPr>
                <w:rFonts w:asciiTheme="minorEastAsia" w:hAnsiTheme="minorEastAsia" w:eastAsiaTheme="minorEastAsia"/>
                <w:color w:val="000000" w:themeColor="text1"/>
                <w:sz w:val="15"/>
                <w:szCs w:val="15"/>
                <w:highlight w:val="none"/>
                <w14:textFill>
                  <w14:solidFill>
                    <w14:schemeClr w14:val="tx1"/>
                  </w14:solidFill>
                </w14:textFill>
              </w:rPr>
              <w:t>-4</w:t>
            </w:r>
            <w:r>
              <w:rPr>
                <w:rFonts w:hint="eastAsia" w:asciiTheme="minorEastAsia" w:hAnsiTheme="minorEastAsia" w:eastAsiaTheme="minorEastAsia"/>
                <w:color w:val="000000" w:themeColor="text1"/>
                <w:sz w:val="15"/>
                <w:szCs w:val="15"/>
                <w:highlight w:val="none"/>
                <w14:textFill>
                  <w14:solidFill>
                    <w14:schemeClr w14:val="tx1"/>
                  </w14:solidFill>
                </w14:textFill>
              </w:rPr>
              <w:t>；3.要素</w:t>
            </w:r>
            <w:r>
              <w:rPr>
                <w:rFonts w:asciiTheme="minorEastAsia" w:hAnsiTheme="minorEastAsia" w:eastAsiaTheme="minorEastAsia"/>
                <w:color w:val="000000" w:themeColor="text1"/>
                <w:sz w:val="15"/>
                <w:szCs w:val="15"/>
                <w:highlight w:val="none"/>
                <w14:textFill>
                  <w14:solidFill>
                    <w14:schemeClr w14:val="tx1"/>
                  </w14:solidFill>
                </w14:textFill>
              </w:rPr>
              <w:t>全部缺失</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对环境秩序造成</w:t>
            </w:r>
            <w:r>
              <w:rPr>
                <w:rFonts w:hint="eastAsia" w:asciiTheme="minorEastAsia" w:hAnsiTheme="minorEastAsia" w:eastAsiaTheme="minorEastAsia"/>
                <w:color w:val="000000" w:themeColor="text1"/>
                <w:sz w:val="15"/>
                <w:szCs w:val="15"/>
                <w:highlight w:val="none"/>
                <w14:textFill>
                  <w14:solidFill>
                    <w14:schemeClr w14:val="tx1"/>
                  </w14:solidFill>
                </w14:textFill>
              </w:rPr>
              <w:t>较</w:t>
            </w:r>
            <w:r>
              <w:rPr>
                <w:rFonts w:asciiTheme="minorEastAsia" w:hAnsiTheme="minorEastAsia" w:eastAsiaTheme="minorEastAsia"/>
                <w:color w:val="000000" w:themeColor="text1"/>
                <w:sz w:val="15"/>
                <w:szCs w:val="15"/>
                <w:highlight w:val="none"/>
                <w14:textFill>
                  <w14:solidFill>
                    <w14:schemeClr w14:val="tx1"/>
                  </w14:solidFill>
                </w14:textFill>
              </w:rPr>
              <w:t>严重影响的，系数为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5</w:t>
            </w:r>
            <w:r>
              <w:rPr>
                <w:rFonts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罚款数额＝3000×（1＋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建设单位（或生活垃圾分类管理责任人）委托他人</w:t>
            </w:r>
            <w:r>
              <w:rPr>
                <w:rFonts w:asciiTheme="minorEastAsia" w:hAnsiTheme="minorEastAsia" w:eastAsiaTheme="minorEastAsia"/>
                <w:color w:val="000000" w:themeColor="text1"/>
                <w:sz w:val="15"/>
                <w:szCs w:val="15"/>
                <w:highlight w:val="none"/>
                <w14:textFill>
                  <w14:solidFill>
                    <w14:schemeClr w14:val="tx1"/>
                  </w14:solidFill>
                </w14:textFill>
              </w:rPr>
              <w:t>处置建筑垃圾未选择有资质的运输服务单位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asciiTheme="minorEastAsia" w:hAnsiTheme="minorEastAsia" w:eastAsiaTheme="minorEastAsia"/>
                <w:color w:val="000000" w:themeColor="text1"/>
                <w:sz w:val="15"/>
                <w:szCs w:val="15"/>
                <w:highlight w:val="none"/>
                <w14:textFill>
                  <w14:solidFill>
                    <w14:schemeClr w14:val="tx1"/>
                  </w14:solidFill>
                </w14:textFill>
              </w:rPr>
              <w:t>生活垃圾分类管理责任单位（</w:t>
            </w:r>
            <w:r>
              <w:rPr>
                <w:rFonts w:hint="eastAsia" w:asciiTheme="minorEastAsia" w:hAnsiTheme="minorEastAsia" w:eastAsiaTheme="minorEastAsia"/>
                <w:color w:val="000000" w:themeColor="text1"/>
                <w:sz w:val="15"/>
                <w:szCs w:val="15"/>
                <w:highlight w:val="none"/>
                <w14:textFill>
                  <w14:solidFill>
                    <w14:schemeClr w14:val="tx1"/>
                  </w14:solidFill>
                </w14:textFill>
              </w:rPr>
              <w:t>不含</w:t>
            </w:r>
            <w:r>
              <w:rPr>
                <w:rFonts w:asciiTheme="minorEastAsia" w:hAnsiTheme="minorEastAsia" w:eastAsiaTheme="minorEastAsia"/>
                <w:color w:val="000000" w:themeColor="text1"/>
                <w:sz w:val="15"/>
                <w:szCs w:val="15"/>
                <w:highlight w:val="none"/>
                <w14:textFill>
                  <w14:solidFill>
                    <w14:schemeClr w14:val="tx1"/>
                  </w14:solidFill>
                </w14:textFill>
              </w:rPr>
              <w:t>建设单位）</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系数为0-2</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建设单位违反规定的，系数3；3.违法行为持续时间较长、建筑垃圾产生量较大、造成环境秩序较严重影响的，系数</w:t>
            </w:r>
            <w:r>
              <w:rPr>
                <w:rFonts w:asciiTheme="minorEastAsia" w:hAnsiTheme="minorEastAsia" w:eastAsiaTheme="minorEastAsia"/>
                <w:color w:val="000000" w:themeColor="text1"/>
                <w:sz w:val="15"/>
                <w:szCs w:val="15"/>
                <w:highlight w:val="none"/>
                <w14:textFill>
                  <w14:solidFill>
                    <w14:schemeClr w14:val="tx1"/>
                  </w14:solidFill>
                </w14:textFill>
              </w:rPr>
              <w:t>4</w:t>
            </w:r>
            <w:r>
              <w:rPr>
                <w:rFonts w:hint="eastAsia" w:asciiTheme="minorEastAsia" w:hAnsiTheme="minorEastAsia" w:eastAsiaTheme="minorEastAsia"/>
                <w:color w:val="000000" w:themeColor="text1"/>
                <w:sz w:val="15"/>
                <w:szCs w:val="15"/>
                <w:highlight w:val="none"/>
                <w14:textFill>
                  <w14:solidFill>
                    <w14:schemeClr w14:val="tx1"/>
                  </w14:solidFill>
                </w14:textFill>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未经许可擅自设置建筑垃圾消纳场所</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按照《基准》的有关规定执行</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5000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000000" w:themeColor="text1"/>
                <w:sz w:val="15"/>
                <w:szCs w:val="15"/>
                <w:highlight w:val="none"/>
                <w:lang w:val="en-US" w:eastAsia="zh-CN"/>
                <w14:textFill>
                  <w14:solidFill>
                    <w14:schemeClr w14:val="tx1"/>
                  </w14:solidFill>
                </w14:textFill>
              </w:rPr>
            </w:pPr>
            <w:r>
              <w:rPr>
                <w:rFonts w:hint="eastAsia" w:asciiTheme="minorEastAsia" w:hAnsiTheme="minorEastAsia" w:eastAsiaTheme="minorEastAsia"/>
                <w:b w:val="0"/>
                <w:bCs w:val="0"/>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占</w:t>
            </w:r>
            <w:r>
              <w:rPr>
                <w:rFonts w:hint="eastAsia" w:eastAsia="宋体"/>
                <w:b w:val="0"/>
                <w:bCs w:val="0"/>
                <w:color w:val="000000" w:themeColor="text1"/>
                <w:sz w:val="15"/>
                <w:szCs w:val="15"/>
                <w:highlight w:val="none"/>
                <w:lang w:val="en-US" w:eastAsia="zh-CN"/>
                <w14:textFill>
                  <w14:solidFill>
                    <w14:schemeClr w14:val="tx1"/>
                  </w14:solidFill>
                </w14:textFill>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9"/>
              <w:rPr>
                <w:rFonts w:hint="default"/>
                <w:color w:val="000000" w:themeColor="text1"/>
                <w:highlight w:val="none"/>
                <w:lang w:val="en-US" w:eastAsia="zh-CN"/>
                <w14:textFill>
                  <w14:solidFill>
                    <w14:schemeClr w14:val="tx1"/>
                  </w14:solidFill>
                </w14:textFill>
              </w:rPr>
            </w:pPr>
          </w:p>
        </w:tc>
        <w:tc>
          <w:tcPr>
            <w:tcW w:w="1785" w:type="dxa"/>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100000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default" w:eastAsia="宋体" w:cs="宋体" w:asciiTheme="minorEastAsia" w:hAnsiTheme="minorEastAsia"/>
                <w:color w:val="000000" w:themeColor="text1"/>
                <w:kern w:val="0"/>
                <w:sz w:val="15"/>
                <w:szCs w:val="15"/>
                <w:highlight w:val="none"/>
                <w:lang w:val="en-US" w:eastAsia="zh-CN"/>
                <w14:textFill>
                  <w14:solidFill>
                    <w14:schemeClr w14:val="tx1"/>
                  </w14:solidFill>
                </w14:textFill>
              </w:rPr>
            </w:pPr>
            <w:r>
              <w:rPr>
                <w:rFonts w:hint="eastAsia"/>
                <w:b w:val="0"/>
                <w:bCs w:val="0"/>
                <w:color w:val="000000" w:themeColor="text1"/>
                <w:sz w:val="15"/>
                <w:szCs w:val="15"/>
                <w:highlight w:val="none"/>
                <w:lang w:eastAsia="zh-CN"/>
                <w14:textFill>
                  <w14:solidFill>
                    <w14:schemeClr w14:val="tx1"/>
                  </w14:solidFill>
                </w14:textFill>
              </w:rPr>
              <w:t>存在以下情形之一的，视为“污染环境、破坏生态”：</w:t>
            </w:r>
            <w:r>
              <w:rPr>
                <w:rFonts w:hint="eastAsia"/>
                <w:b w:val="0"/>
                <w:bCs w:val="0"/>
                <w:color w:val="000000" w:themeColor="text1"/>
                <w:sz w:val="15"/>
                <w:szCs w:val="15"/>
                <w:highlight w:val="none"/>
                <w:lang w:val="en-US" w:eastAsia="zh-CN"/>
                <w14:textFill>
                  <w14:solidFill>
                    <w14:schemeClr w14:val="tx1"/>
                  </w14:solidFill>
                </w14:textFill>
              </w:rPr>
              <w:t>1.占用基本农田、饮用水水源保护区、自然保护地核心保护区等依法确定的重点保护区域的；2.占用公共用地面积3亩以上的（含3亩）；3.经环</w:t>
            </w:r>
            <w:r>
              <w:rPr>
                <w:rFonts w:hint="eastAsia" w:eastAsia="宋体"/>
                <w:b w:val="0"/>
                <w:bCs w:val="0"/>
                <w:color w:val="000000" w:themeColor="text1"/>
                <w:sz w:val="15"/>
                <w:szCs w:val="15"/>
                <w:highlight w:val="none"/>
                <w:lang w:val="en-US" w:eastAsia="zh-CN"/>
                <w14:textFill>
                  <w14:solidFill>
                    <w14:schemeClr w14:val="tx1"/>
                  </w14:solidFill>
                </w14:textFill>
              </w:rPr>
              <w:t>境保护等部门认定污染环境、破坏生态的；4.其他存在严重污染环境、破坏生态情形的。</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2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建筑垃圾消纳</w:t>
            </w:r>
            <w:r>
              <w:rPr>
                <w:rFonts w:asciiTheme="minorEastAsia" w:hAnsiTheme="minorEastAsia" w:eastAsiaTheme="minorEastAsia"/>
                <w:color w:val="000000" w:themeColor="text1"/>
                <w:sz w:val="15"/>
                <w:szCs w:val="15"/>
                <w:highlight w:val="none"/>
                <w14:textFill>
                  <w14:solidFill>
                    <w14:schemeClr w14:val="tx1"/>
                  </w14:solidFill>
                </w14:textFill>
              </w:rPr>
              <w:t>场所（</w:t>
            </w:r>
            <w:r>
              <w:rPr>
                <w:rFonts w:hint="eastAsia" w:asciiTheme="minorEastAsia" w:hAnsiTheme="minorEastAsia" w:eastAsiaTheme="minorEastAsia"/>
                <w:color w:val="000000" w:themeColor="text1"/>
                <w:sz w:val="15"/>
                <w:szCs w:val="15"/>
                <w:highlight w:val="none"/>
                <w14:textFill>
                  <w14:solidFill>
                    <w14:schemeClr w14:val="tx1"/>
                  </w14:solidFill>
                </w14:textFill>
              </w:rPr>
              <w:t>或</w:t>
            </w:r>
            <w:r>
              <w:rPr>
                <w:rFonts w:asciiTheme="minorEastAsia" w:hAnsiTheme="minorEastAsia" w:eastAsiaTheme="minorEastAsia"/>
                <w:color w:val="000000" w:themeColor="text1"/>
                <w:sz w:val="15"/>
                <w:szCs w:val="15"/>
                <w:highlight w:val="none"/>
                <w14:textFill>
                  <w14:solidFill>
                    <w14:schemeClr w14:val="tx1"/>
                  </w14:solidFill>
                </w14:textFill>
              </w:rPr>
              <w:t>临时处置点经营单位）</w:t>
            </w:r>
            <w:r>
              <w:rPr>
                <w:rFonts w:hint="eastAsia" w:asciiTheme="minorEastAsia" w:hAnsiTheme="minorEastAsia" w:eastAsiaTheme="minorEastAsia"/>
                <w:color w:val="000000" w:themeColor="text1"/>
                <w:sz w:val="15"/>
                <w:szCs w:val="15"/>
                <w:highlight w:val="none"/>
                <w14:textFill>
                  <w14:solidFill>
                    <w14:schemeClr w14:val="tx1"/>
                  </w14:solidFill>
                </w14:textFill>
              </w:rPr>
              <w:t>未按照消纳处置协议的约定接收符合分类标准的建筑垃圾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第十七条第一款第(一)项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第三十八条</w:t>
            </w:r>
            <w:r>
              <w:rPr>
                <w:rFonts w:asciiTheme="minorEastAsia" w:hAnsiTheme="minorEastAsia" w:eastAsiaTheme="minorEastAsia"/>
                <w:color w:val="000000" w:themeColor="text1"/>
                <w:sz w:val="15"/>
                <w:szCs w:val="15"/>
                <w:highlight w:val="none"/>
                <w14:textFill>
                  <w14:solidFill>
                    <w14:schemeClr w14:val="tx1"/>
                  </w14:solidFill>
                </w14:textFill>
              </w:rPr>
              <w:t>第一款</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造成</w:t>
            </w:r>
            <w:r>
              <w:rPr>
                <w:rFonts w:hint="eastAsia" w:asciiTheme="minorEastAsia" w:hAnsiTheme="minorEastAsia" w:eastAsiaTheme="minorEastAsia"/>
                <w:color w:val="000000" w:themeColor="text1"/>
                <w:sz w:val="15"/>
                <w:szCs w:val="15"/>
                <w:highlight w:val="none"/>
                <w14:textFill>
                  <w14:solidFill>
                    <w14:schemeClr w14:val="tx1"/>
                  </w14:solidFill>
                </w14:textFill>
              </w:rPr>
              <w:t>较大环境污染或者社会影响的，系数为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p>
        </w:tc>
        <w:tc>
          <w:tcPr>
            <w:tcW w:w="1785" w:type="dxa"/>
            <w:shd w:val="clear" w:color="auto" w:fill="auto"/>
            <w:vAlign w:val="center"/>
          </w:tcPr>
          <w:p>
            <w:pPr>
              <w:spacing w:line="232" w:lineRule="exact"/>
              <w:jc w:val="center"/>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50000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numPr>
                <w:ilvl w:val="0"/>
                <w:numId w:val="2"/>
              </w:num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存在下列情形的，可视为“情节严重”：一年内因同类违法行为，受到城管执法机关</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2次</w:t>
            </w:r>
            <w:r>
              <w:rPr>
                <w:rFonts w:hint="eastAsia" w:asciiTheme="minorEastAsia" w:hAnsiTheme="minorEastAsia" w:eastAsiaTheme="minorEastAsia"/>
                <w:color w:val="000000" w:themeColor="text1"/>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 依据</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《北京市人民政府关于进一步相对集中城市管理领域部分行政处罚权的决定》（</w:t>
            </w:r>
            <w:r>
              <w:rPr>
                <w:rFonts w:hint="eastAsia" w:asciiTheme="minorEastAsia" w:hAnsiTheme="minorEastAsia" w:eastAsiaTheme="minorEastAsia"/>
                <w:color w:val="000000" w:themeColor="text1"/>
                <w:sz w:val="15"/>
                <w:szCs w:val="15"/>
                <w:highlight w:val="none"/>
                <w14:textFill>
                  <w14:solidFill>
                    <w14:schemeClr w14:val="tx1"/>
                  </w14:solidFill>
                </w14:textFill>
              </w:rPr>
              <w:t>京政发〔2017〕32号），拟作出吊销处罚的，作出处罚决定前，要邀请城市管理</w:t>
            </w:r>
            <w:r>
              <w:rPr>
                <w:rFonts w:asciiTheme="minorEastAsia" w:hAnsiTheme="minorEastAsia" w:eastAsiaTheme="minorEastAsia"/>
                <w:color w:val="000000" w:themeColor="text1"/>
                <w:sz w:val="15"/>
                <w:szCs w:val="15"/>
                <w:highlight w:val="none"/>
                <w14:textFill>
                  <w14:solidFill>
                    <w14:schemeClr w14:val="tx1"/>
                  </w14:solidFill>
                </w14:textFill>
              </w:rPr>
              <w:t>部门</w:t>
            </w:r>
            <w:r>
              <w:rPr>
                <w:rFonts w:hint="eastAsia" w:asciiTheme="minorEastAsia" w:hAnsiTheme="minorEastAsia" w:eastAsiaTheme="minorEastAsia"/>
                <w:color w:val="000000" w:themeColor="text1"/>
                <w:sz w:val="15"/>
                <w:szCs w:val="15"/>
                <w:highlight w:val="none"/>
                <w14:textFill>
                  <w14:solidFill>
                    <w14:schemeClr w14:val="tx1"/>
                  </w14:solidFill>
                </w14:textFill>
              </w:rPr>
              <w:t>共同会商；对于可能影响公共利益的，提请城市管理部门拟定接管方案。</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建筑垃圾消纳场所（或临时处置点经营单位）未按照规定采取扬尘污染防治措施或者采取措施不当</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第十七条第一款第(二)项</w:t>
            </w:r>
          </w:p>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w:t>
            </w:r>
            <w:r>
              <w:rPr>
                <w:rFonts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第</w:t>
            </w:r>
            <w:r>
              <w:rPr>
                <w:rFonts w:asciiTheme="minorEastAsia" w:hAnsiTheme="minorEastAsia" w:eastAsiaTheme="minorEastAsia"/>
                <w:color w:val="000000" w:themeColor="text1"/>
                <w:sz w:val="15"/>
                <w:szCs w:val="15"/>
                <w:highlight w:val="none"/>
                <w14:textFill>
                  <w14:solidFill>
                    <w14:schemeClr w14:val="tx1"/>
                  </w14:solidFill>
                </w14:textFill>
              </w:rPr>
              <w:t>三十八条第二款</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1.产生较大环境污染或者社会影响的，系数为5-8；</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造成社会恶劣影响或者其它较严重后果的，系数为9。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案由</w:t>
            </w:r>
            <w:r>
              <w:rPr>
                <w:rFonts w:asciiTheme="minorEastAsia" w:hAnsiTheme="minorEastAsia" w:eastAsiaTheme="minorEastAsia"/>
                <w:color w:val="000000" w:themeColor="text1"/>
                <w:sz w:val="15"/>
                <w:szCs w:val="15"/>
                <w:highlight w:val="none"/>
                <w14:textFill>
                  <w14:solidFill>
                    <w14:schemeClr w14:val="tx1"/>
                  </w14:solidFill>
                </w14:textFill>
              </w:rPr>
              <w:t>根据实际情况选择</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9</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建筑垃圾消纳场所（或临时处置点经营单位）未按照</w:t>
            </w:r>
            <w:r>
              <w:rPr>
                <w:rFonts w:asciiTheme="minorEastAsia" w:hAnsiTheme="minorEastAsia" w:eastAsiaTheme="minorEastAsia"/>
                <w:color w:val="000000" w:themeColor="text1"/>
                <w:sz w:val="15"/>
                <w:szCs w:val="15"/>
                <w:highlight w:val="none"/>
                <w14:textFill>
                  <w14:solidFill>
                    <w14:schemeClr w14:val="tx1"/>
                  </w14:solidFill>
                </w14:textFill>
              </w:rPr>
              <w:t>规定设置双向称重系统</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第十七条第一款第(三)项</w:t>
            </w:r>
          </w:p>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w:t>
            </w:r>
            <w:r>
              <w:rPr>
                <w:rFonts w:asciiTheme="minorEastAsia" w:hAnsiTheme="minorEastAsia" w:eastAsiaTheme="minorEastAsia"/>
                <w:color w:val="000000" w:themeColor="text1"/>
                <w:sz w:val="15"/>
                <w:szCs w:val="15"/>
                <w:highlight w:val="none"/>
                <w14:textFill>
                  <w14:solidFill>
                    <w14:schemeClr w14:val="tx1"/>
                  </w14:solidFill>
                </w14:textFill>
              </w:rPr>
              <w:t>三十八条第三款</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责令限期改正，处1万元以上10万元以下罚款。</w:t>
            </w:r>
          </w:p>
        </w:tc>
        <w:tc>
          <w:tcPr>
            <w:tcW w:w="851" w:type="dxa"/>
            <w:shd w:val="clear" w:color="auto" w:fill="auto"/>
            <w:vAlign w:val="center"/>
          </w:tcPr>
          <w:p>
            <w:pPr>
              <w:spacing w:line="232" w:lineRule="exact"/>
              <w:jc w:val="center"/>
              <w:rPr>
                <w:rFonts w:hint="eastAsia" w:asciiTheme="minorEastAsia" w:hAnsiTheme="minorEastAsia" w:eastAsiaTheme="minorEastAsia"/>
                <w:strike/>
                <w:dstrike w:val="0"/>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1.持续时间5天及以下的，系数0；6-10天的，系数1；以此类推，46天及以上的，系数9。2.</w:t>
            </w:r>
            <w:r>
              <w:rPr>
                <w:rFonts w:hint="eastAsia" w:asciiTheme="minorEastAsia" w:hAnsiTheme="minorEastAsia" w:eastAsiaTheme="minorEastAsia"/>
                <w:color w:val="000000" w:themeColor="text1"/>
                <w:sz w:val="15"/>
                <w:szCs w:val="15"/>
                <w:highlight w:val="none"/>
                <w14:textFill>
                  <w14:solidFill>
                    <w14:schemeClr w14:val="tx1"/>
                  </w14:solidFill>
                </w14:textFill>
              </w:rPr>
              <w:t>作业场所20亩以下，系数为0；20-30亩，系数为1；30亩-40亩，系数为2；以此类推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100亩及以上的，系数为9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案由根据实际情况选择</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000000" w:themeColor="text1"/>
                <w:sz w:val="15"/>
                <w:szCs w:val="15"/>
                <w:highlight w:val="none"/>
                <w14:textFill>
                  <w14:solidFill>
                    <w14:schemeClr w14:val="tx1"/>
                  </w14:solidFill>
                </w14:textFill>
              </w:rPr>
              <w:t>。</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建筑垃圾消纳场所（或临时处置点经营单位）未保持双向称重系统正常运转</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违反条款：第十七条第一款第(三)项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1.持续时间5天及以下的，系数0；6-10天的，系数1；以此类推，46天及以上的，系数9。2.</w:t>
            </w:r>
            <w:r>
              <w:rPr>
                <w:rFonts w:hint="eastAsia" w:asciiTheme="minorEastAsia" w:hAnsiTheme="minorEastAsia" w:eastAsiaTheme="minorEastAsia"/>
                <w:color w:val="000000" w:themeColor="text1"/>
                <w:sz w:val="15"/>
                <w:szCs w:val="15"/>
                <w:highlight w:val="none"/>
                <w14:textFill>
                  <w14:solidFill>
                    <w14:schemeClr w14:val="tx1"/>
                  </w14:solidFill>
                </w14:textFill>
              </w:rPr>
              <w:t>作业场所20亩以下，系数为0；20-30亩，系数为1；30亩-40亩，系数为2；以此类推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100亩及以上的，系数为9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jc w:val="both"/>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案由根据实际情况选择</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建筑垃圾消纳场所（或临时处置点经营单位）未如实记录进出场的建筑垃圾运输车辆载重状况</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违反条款：第十七条第一款第(三)项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1.持续时间5天及以下的，系数0；6-10天的，系数1；以此类推，46天及以上的，系数9。2.</w:t>
            </w:r>
            <w:r>
              <w:rPr>
                <w:rFonts w:hint="eastAsia" w:asciiTheme="minorEastAsia" w:hAnsiTheme="minorEastAsia" w:eastAsiaTheme="minorEastAsia"/>
                <w:color w:val="000000" w:themeColor="text1"/>
                <w:sz w:val="15"/>
                <w:szCs w:val="15"/>
                <w:highlight w:val="none"/>
                <w14:textFill>
                  <w14:solidFill>
                    <w14:schemeClr w14:val="tx1"/>
                  </w14:solidFill>
                </w14:textFill>
              </w:rPr>
              <w:t>作业场所20亩以下，系数为0；20-30亩，系数为1；30亩-40亩，系数为2；以此类推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100亩及以上的，系数为9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案由根据实际情况选择</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建筑垃圾消纳场所（或临时处置点经营单位）在</w:t>
            </w:r>
            <w:r>
              <w:rPr>
                <w:rFonts w:asciiTheme="minorEastAsia" w:hAnsiTheme="minorEastAsia" w:eastAsiaTheme="minorEastAsia"/>
                <w:color w:val="000000" w:themeColor="text1"/>
                <w:sz w:val="15"/>
                <w:szCs w:val="15"/>
                <w:highlight w:val="none"/>
                <w14:textFill>
                  <w14:solidFill>
                    <w14:schemeClr w14:val="tx1"/>
                  </w14:solidFill>
                </w14:textFill>
              </w:rPr>
              <w:t>作业场所</w:t>
            </w:r>
            <w:r>
              <w:rPr>
                <w:rFonts w:hint="eastAsia" w:asciiTheme="minorEastAsia" w:hAnsiTheme="minorEastAsia" w:eastAsiaTheme="minorEastAsia"/>
                <w:color w:val="000000" w:themeColor="text1"/>
                <w:sz w:val="15"/>
                <w:szCs w:val="15"/>
                <w:highlight w:val="none"/>
                <w14:textFill>
                  <w14:solidFill>
                    <w14:schemeClr w14:val="tx1"/>
                  </w14:solidFill>
                </w14:textFill>
              </w:rPr>
              <w:t>未安装运输车辆识别装置（或扬尘污染实时监控装置）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w:t>
            </w:r>
            <w:r>
              <w:rPr>
                <w:rFonts w:asciiTheme="minorEastAsia" w:hAnsiTheme="minorEastAsia" w:eastAsiaTheme="minorEastAsia"/>
                <w:color w:val="000000" w:themeColor="text1"/>
                <w:sz w:val="15"/>
                <w:szCs w:val="15"/>
                <w:highlight w:val="none"/>
                <w14:textFill>
                  <w14:solidFill>
                    <w14:schemeClr w14:val="tx1"/>
                  </w14:solidFill>
                </w14:textFill>
              </w:rPr>
              <w:t>十七条第一款第（</w:t>
            </w:r>
            <w:r>
              <w:rPr>
                <w:rFonts w:hint="eastAsia" w:asciiTheme="minorEastAsia" w:hAnsiTheme="minorEastAsia" w:eastAsiaTheme="minorEastAsia"/>
                <w:color w:val="000000" w:themeColor="text1"/>
                <w:sz w:val="15"/>
                <w:szCs w:val="15"/>
                <w:highlight w:val="none"/>
                <w14:textFill>
                  <w14:solidFill>
                    <w14:schemeClr w14:val="tx1"/>
                  </w14:solidFill>
                </w14:textFill>
              </w:rPr>
              <w:t>四</w:t>
            </w:r>
            <w:r>
              <w:rPr>
                <w:rFonts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条款：第三十八条第四款</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1.持续时间5天及以下的，系数0；6-10天的，系数1；以此类推，46天及以上的，系数9。2.</w:t>
            </w:r>
            <w:r>
              <w:rPr>
                <w:rFonts w:hint="eastAsia" w:asciiTheme="minorEastAsia" w:hAnsiTheme="minorEastAsia" w:eastAsiaTheme="minorEastAsia"/>
                <w:color w:val="000000" w:themeColor="text1"/>
                <w:sz w:val="15"/>
                <w:szCs w:val="15"/>
                <w:highlight w:val="none"/>
                <w14:textFill>
                  <w14:solidFill>
                    <w14:schemeClr w14:val="tx1"/>
                  </w14:solidFill>
                </w14:textFill>
              </w:rPr>
              <w:t>作业场所20亩以下，系数为0；20-30亩，系数为1；30亩-40亩，系数为2；以此类推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100亩及以上的，系数为9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hint="eastAsia" w:cs="宋体" w:asciiTheme="minorEastAsia" w:hAnsiTheme="minorEastAsia" w:eastAsiaTheme="minorEastAsia"/>
                <w:b/>
                <w:bCs/>
                <w:color w:val="000000" w:themeColor="text1"/>
                <w:kern w:val="0"/>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2000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2385" w:type="dxa"/>
            <w:shd w:val="clear" w:color="auto" w:fill="auto"/>
            <w:vAlign w:val="center"/>
          </w:tcPr>
          <w:p>
            <w:pPr>
              <w:spacing w:line="232" w:lineRule="exact"/>
              <w:jc w:val="lef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案由根据实际情况选择</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建筑垃圾消纳场所（或临时处置点经营单位）在作业场所未</w:t>
            </w:r>
            <w:r>
              <w:rPr>
                <w:rFonts w:asciiTheme="minorEastAsia" w:hAnsiTheme="minorEastAsia" w:eastAsiaTheme="minorEastAsia"/>
                <w:color w:val="000000" w:themeColor="text1"/>
                <w:sz w:val="15"/>
                <w:szCs w:val="15"/>
                <w:highlight w:val="none"/>
                <w14:textFill>
                  <w14:solidFill>
                    <w14:schemeClr w14:val="tx1"/>
                  </w14:solidFill>
                </w14:textFill>
              </w:rPr>
              <w:t>正常使用</w:t>
            </w:r>
            <w:r>
              <w:rPr>
                <w:rFonts w:hint="eastAsia" w:asciiTheme="minorEastAsia" w:hAnsiTheme="minorEastAsia" w:eastAsiaTheme="minorEastAsia"/>
                <w:color w:val="000000" w:themeColor="text1"/>
                <w:sz w:val="15"/>
                <w:szCs w:val="15"/>
                <w:highlight w:val="none"/>
                <w14:textFill>
                  <w14:solidFill>
                    <w14:schemeClr w14:val="tx1"/>
                  </w14:solidFill>
                </w14:textFill>
              </w:rPr>
              <w:t>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违反条款：第十七条第一款第（四）项</w:t>
            </w:r>
          </w:p>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1.持续时间5天及以下的，系数0；6-10天的，系数1；以此类推，46天及以上的，系数9。2.</w:t>
            </w:r>
            <w:r>
              <w:rPr>
                <w:rFonts w:hint="eastAsia" w:asciiTheme="minorEastAsia" w:hAnsiTheme="minorEastAsia" w:eastAsiaTheme="minorEastAsia"/>
                <w:color w:val="000000" w:themeColor="text1"/>
                <w:sz w:val="15"/>
                <w:szCs w:val="15"/>
                <w:highlight w:val="none"/>
                <w14:textFill>
                  <w14:solidFill>
                    <w14:schemeClr w14:val="tx1"/>
                  </w14:solidFill>
                </w14:textFill>
              </w:rPr>
              <w:t>作业场所20亩以下，系数为0；20-30亩，系数为1；3.30亩-40亩，系数为2；以此类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推，</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100亩及以上的，系数为9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案由根据实际情况选择</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1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14</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建筑垃圾消纳场所（或临时处置点经营单位）未将建筑垃圾接收量（或处置量或再生产品生产供应等）数据</w:t>
            </w:r>
            <w:r>
              <w:rPr>
                <w:rFonts w:asciiTheme="minorEastAsia" w:hAnsiTheme="minorEastAsia" w:eastAsiaTheme="minorEastAsia"/>
                <w:color w:val="000000" w:themeColor="text1"/>
                <w:sz w:val="15"/>
                <w:szCs w:val="15"/>
                <w:highlight w:val="none"/>
                <w14:textFill>
                  <w14:solidFill>
                    <w14:schemeClr w14:val="tx1"/>
                  </w14:solidFill>
                </w14:textFill>
              </w:rPr>
              <w:t>实时传输至</w:t>
            </w:r>
            <w:r>
              <w:rPr>
                <w:rFonts w:hint="eastAsia" w:asciiTheme="minorEastAsia" w:hAnsiTheme="minorEastAsia" w:eastAsiaTheme="minorEastAsia"/>
                <w:color w:val="000000" w:themeColor="text1"/>
                <w:sz w:val="15"/>
                <w:szCs w:val="15"/>
                <w:highlight w:val="none"/>
                <w14:textFill>
                  <w14:solidFill>
                    <w14:schemeClr w14:val="tx1"/>
                  </w14:solidFill>
                </w14:textFill>
              </w:rPr>
              <w:t>建筑</w:t>
            </w:r>
            <w:r>
              <w:rPr>
                <w:rFonts w:asciiTheme="minorEastAsia" w:hAnsiTheme="minorEastAsia" w:eastAsiaTheme="minorEastAsia"/>
                <w:color w:val="000000" w:themeColor="text1"/>
                <w:sz w:val="15"/>
                <w:szCs w:val="15"/>
                <w:highlight w:val="none"/>
                <w14:textFill>
                  <w14:solidFill>
                    <w14:schemeClr w14:val="tx1"/>
                  </w14:solidFill>
                </w14:textFill>
              </w:rPr>
              <w:t>垃圾管理和服务平台</w:t>
            </w:r>
          </w:p>
        </w:tc>
        <w:tc>
          <w:tcPr>
            <w:tcW w:w="2789"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违反条款：第十七条第一款第（五）项</w:t>
            </w:r>
          </w:p>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1.持续时间5天及以下的，系数0；6-10天的，系数1；以此类推，46天及以上的，系数9。2.</w:t>
            </w:r>
            <w:r>
              <w:rPr>
                <w:rFonts w:hint="eastAsia" w:asciiTheme="minorEastAsia" w:hAnsiTheme="minorEastAsia" w:eastAsiaTheme="minorEastAsia"/>
                <w:color w:val="000000" w:themeColor="text1"/>
                <w:sz w:val="15"/>
                <w:szCs w:val="15"/>
                <w:highlight w:val="none"/>
                <w14:textFill>
                  <w14:solidFill>
                    <w14:schemeClr w14:val="tx1"/>
                  </w14:solidFill>
                </w14:textFill>
              </w:rPr>
              <w:t>作业场所20亩以下，系数为0；20-30亩，系数为1；30亩-40亩，系数为2；以此类推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100亩及以上的，系数为9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案由根据实际情况选择</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dstrike w:val="0"/>
                <w:color w:val="000000" w:themeColor="text1"/>
                <w:sz w:val="15"/>
                <w:szCs w:val="15"/>
                <w:highlight w:val="none"/>
                <w14:textFill>
                  <w14:solidFill>
                    <w14:schemeClr w14:val="tx1"/>
                  </w14:solidFill>
                </w14:textFill>
              </w:rPr>
              <w:t>建筑</w:t>
            </w:r>
            <w:r>
              <w:rPr>
                <w:rFonts w:asciiTheme="minorEastAsia" w:hAnsiTheme="minorEastAsia" w:eastAsiaTheme="minorEastAsia"/>
                <w:strike/>
                <w:dstrike w:val="0"/>
                <w:color w:val="000000" w:themeColor="text1"/>
                <w:sz w:val="15"/>
                <w:szCs w:val="15"/>
                <w:highlight w:val="none"/>
                <w14:textFill>
                  <w14:solidFill>
                    <w14:schemeClr w14:val="tx1"/>
                  </w14:solidFill>
                </w14:textFill>
              </w:rPr>
              <w:t>垃圾运输服务单位</w:t>
            </w:r>
            <w:r>
              <w:rPr>
                <w:rFonts w:hint="eastAsia" w:asciiTheme="minorEastAsia" w:hAnsiTheme="minorEastAsia" w:eastAsiaTheme="minorEastAsia"/>
                <w:color w:val="000000" w:themeColor="text1"/>
                <w:sz w:val="15"/>
                <w:szCs w:val="15"/>
                <w:highlight w:val="none"/>
                <w14:textFill>
                  <w14:solidFill>
                    <w14:schemeClr w14:val="tx1"/>
                  </w14:solidFill>
                </w14:textFill>
              </w:rPr>
              <w:t>未取得生活垃圾运输经营许可擅自运输建筑垃圾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第十八条第一款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w:t>
            </w:r>
            <w:r>
              <w:rPr>
                <w:rFonts w:asciiTheme="minorEastAsia" w:hAnsiTheme="minorEastAsia" w:eastAsiaTheme="minorEastAsia"/>
                <w:color w:val="000000" w:themeColor="text1"/>
                <w:sz w:val="15"/>
                <w:szCs w:val="15"/>
                <w:highlight w:val="none"/>
                <w14:textFill>
                  <w14:solidFill>
                    <w14:schemeClr w14:val="tx1"/>
                  </w14:solidFill>
                </w14:textFill>
              </w:rPr>
              <w:t>：第</w:t>
            </w:r>
            <w:r>
              <w:rPr>
                <w:rFonts w:hint="eastAsia" w:asciiTheme="minorEastAsia" w:hAnsiTheme="minorEastAsia" w:eastAsiaTheme="minorEastAsia"/>
                <w:color w:val="000000" w:themeColor="text1"/>
                <w:sz w:val="15"/>
                <w:szCs w:val="15"/>
                <w:highlight w:val="none"/>
                <w14:textFill>
                  <w14:solidFill>
                    <w14:schemeClr w14:val="tx1"/>
                  </w14:solidFill>
                </w14:textFill>
              </w:rPr>
              <w:t>三十九条 责令限期改正，给予警告，处5000元以上3万元以下罚款</w:t>
            </w:r>
            <w:r>
              <w:rPr>
                <w:rFonts w:asciiTheme="minorEastAsia" w:hAnsiTheme="minorEastAsia" w:eastAsiaTheme="minorEastAsia"/>
                <w:color w:val="000000" w:themeColor="text1"/>
                <w:sz w:val="15"/>
                <w:szCs w:val="15"/>
                <w:highlight w:val="none"/>
                <w14:textFill>
                  <w14:solidFill>
                    <w14:schemeClr w14:val="tx1"/>
                  </w14:solidFill>
                </w14:textFill>
              </w:rPr>
              <w:t>。</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违法时间</w:t>
            </w:r>
            <w:r>
              <w:rPr>
                <w:rFonts w:asciiTheme="minorEastAsia" w:hAnsiTheme="minorEastAsia" w:eastAsiaTheme="minorEastAsia"/>
                <w:color w:val="000000" w:themeColor="text1"/>
                <w:sz w:val="15"/>
                <w:szCs w:val="15"/>
                <w:highlight w:val="none"/>
                <w14:textFill>
                  <w14:solidFill>
                    <w14:schemeClr w14:val="tx1"/>
                  </w14:solidFill>
                </w14:textFill>
              </w:rPr>
              <w:t>持续较长，造成严重环境秩序影响的，系数为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3</w:t>
            </w:r>
            <w:r>
              <w:rPr>
                <w:rFonts w:asciiTheme="minorEastAsia" w:hAnsiTheme="minorEastAsia" w:eastAsiaTheme="minorEastAsia"/>
                <w:color w:val="000000" w:themeColor="text1"/>
                <w:sz w:val="15"/>
                <w:szCs w:val="15"/>
                <w:highlight w:val="none"/>
                <w14:textFill>
                  <w14:solidFill>
                    <w14:schemeClr w14:val="tx1"/>
                  </w14:solidFill>
                </w14:textFill>
              </w:rPr>
              <w:t>-5</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5</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w:t>
            </w:r>
            <w:r>
              <w:rPr>
                <w:rFonts w:asciiTheme="minorEastAsia" w:hAnsiTheme="minorEastAsia" w:eastAsiaTheme="minorEastAsia"/>
                <w:color w:val="000000" w:themeColor="text1"/>
                <w:sz w:val="15"/>
                <w:szCs w:val="15"/>
                <w:highlight w:val="none"/>
                <w14:textFill>
                  <w14:solidFill>
                    <w14:schemeClr w14:val="tx1"/>
                  </w14:solidFill>
                </w14:textFill>
              </w:rPr>
              <w:t>垃圾运输服务单位</w:t>
            </w:r>
            <w:r>
              <w:rPr>
                <w:rFonts w:hint="eastAsia" w:asciiTheme="minorEastAsia" w:hAnsiTheme="minorEastAsia" w:eastAsiaTheme="minorEastAsia"/>
                <w:color w:val="000000" w:themeColor="text1"/>
                <w:sz w:val="15"/>
                <w:szCs w:val="15"/>
                <w:highlight w:val="none"/>
                <w14:textFill>
                  <w14:solidFill>
                    <w14:schemeClr w14:val="tx1"/>
                  </w14:solidFill>
                </w14:textFill>
              </w:rPr>
              <w:t>使用不符合</w:t>
            </w:r>
            <w:r>
              <w:rPr>
                <w:rFonts w:asciiTheme="minorEastAsia" w:hAnsiTheme="minorEastAsia" w:eastAsiaTheme="minorEastAsia"/>
                <w:color w:val="000000" w:themeColor="text1"/>
                <w:sz w:val="15"/>
                <w:szCs w:val="15"/>
                <w:highlight w:val="none"/>
                <w14:textFill>
                  <w14:solidFill>
                    <w14:schemeClr w14:val="tx1"/>
                  </w14:solidFill>
                </w14:textFill>
              </w:rPr>
              <w:t>标准的车辆（</w:t>
            </w:r>
            <w:r>
              <w:rPr>
                <w:rFonts w:hint="eastAsia" w:asciiTheme="minorEastAsia" w:hAnsiTheme="minorEastAsia" w:eastAsiaTheme="minorEastAsia"/>
                <w:color w:val="000000" w:themeColor="text1"/>
                <w:sz w:val="15"/>
                <w:szCs w:val="15"/>
                <w:highlight w:val="none"/>
                <w14:textFill>
                  <w14:solidFill>
                    <w14:schemeClr w14:val="tx1"/>
                  </w14:solidFill>
                </w14:textFill>
              </w:rPr>
              <w:t>或未取得建筑垃圾准运许可</w:t>
            </w:r>
            <w:r>
              <w:rPr>
                <w:rFonts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运输建筑垃圾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条款：第十八条第一款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numPr>
                <w:ilvl w:val="0"/>
                <w:numId w:val="0"/>
              </w:numPr>
              <w:spacing w:line="232" w:lineRule="exact"/>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涉及</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2辆车辆的，系数为1;</w:t>
            </w:r>
          </w:p>
          <w:p>
            <w:pPr>
              <w:numPr>
                <w:ilvl w:val="0"/>
                <w:numId w:val="0"/>
              </w:num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2辆及以上的，系数为2。</w:t>
            </w:r>
          </w:p>
        </w:tc>
        <w:tc>
          <w:tcPr>
            <w:tcW w:w="1785"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numPr>
                <w:ilvl w:val="0"/>
                <w:numId w:val="3"/>
              </w:num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存在下列情形的，可视为“情节严重”：一年内因同类违法行为，受到城管执法机关</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2次</w:t>
            </w:r>
            <w:r>
              <w:rPr>
                <w:rFonts w:hint="eastAsia" w:asciiTheme="minorEastAsia" w:hAnsiTheme="minorEastAsia" w:eastAsiaTheme="minorEastAsia"/>
                <w:color w:val="000000" w:themeColor="text1"/>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 依据</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《北京市人民政府关于进一步相对集中城市管理领域部分行政处罚权的决定》（</w:t>
            </w:r>
            <w:r>
              <w:rPr>
                <w:rFonts w:hint="eastAsia" w:asciiTheme="minorEastAsia" w:hAnsiTheme="minorEastAsia" w:eastAsiaTheme="minorEastAsia"/>
                <w:color w:val="000000" w:themeColor="text1"/>
                <w:sz w:val="15"/>
                <w:szCs w:val="15"/>
                <w:highlight w:val="none"/>
                <w14:textFill>
                  <w14:solidFill>
                    <w14:schemeClr w14:val="tx1"/>
                  </w14:solidFill>
                </w14:textFill>
              </w:rPr>
              <w:t>京政发〔2017〕32号），拟作出吊销处罚的，作出处罚决定前，要邀请城市管理</w:t>
            </w:r>
            <w:r>
              <w:rPr>
                <w:rFonts w:asciiTheme="minorEastAsia" w:hAnsiTheme="minorEastAsia" w:eastAsiaTheme="minorEastAsia"/>
                <w:color w:val="000000" w:themeColor="text1"/>
                <w:sz w:val="15"/>
                <w:szCs w:val="15"/>
                <w:highlight w:val="none"/>
                <w14:textFill>
                  <w14:solidFill>
                    <w14:schemeClr w14:val="tx1"/>
                  </w14:solidFill>
                </w14:textFill>
              </w:rPr>
              <w:t>部门</w:t>
            </w:r>
            <w:r>
              <w:rPr>
                <w:rFonts w:hint="eastAsia" w:asciiTheme="minorEastAsia" w:hAnsiTheme="minorEastAsia" w:eastAsiaTheme="minorEastAsia"/>
                <w:color w:val="000000" w:themeColor="text1"/>
                <w:sz w:val="15"/>
                <w:szCs w:val="15"/>
                <w:highlight w:val="none"/>
                <w14:textFill>
                  <w14:solidFill>
                    <w14:schemeClr w14:val="tx1"/>
                  </w14:solidFill>
                </w14:textFill>
              </w:rPr>
              <w:t>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17</w:t>
            </w:r>
          </w:p>
        </w:tc>
        <w:tc>
          <w:tcPr>
            <w:tcW w:w="150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建筑垃圾运输服务单位未采取措施</w:t>
            </w:r>
            <w:r>
              <w:rPr>
                <w:rFonts w:hint="eastAsia" w:ascii="宋体" w:hAnsi="宋体" w:eastAsia="宋体" w:cs="宋体"/>
                <w:color w:val="000000" w:themeColor="text1"/>
                <w:sz w:val="15"/>
                <w:szCs w:val="15"/>
                <w:highlight w:val="none"/>
                <w:lang w:eastAsia="zh-CN"/>
                <w14:textFill>
                  <w14:solidFill>
                    <w14:schemeClr w14:val="tx1"/>
                  </w14:solidFill>
                </w14:textFill>
              </w:rPr>
              <w:t>造成</w:t>
            </w:r>
            <w:r>
              <w:rPr>
                <w:rFonts w:hint="eastAsia" w:ascii="宋体" w:hAnsi="宋体" w:eastAsia="宋体" w:cs="宋体"/>
                <w:color w:val="000000" w:themeColor="text1"/>
                <w:sz w:val="15"/>
                <w:szCs w:val="15"/>
                <w:highlight w:val="none"/>
                <w14:textFill>
                  <w14:solidFill>
                    <w14:schemeClr w14:val="tx1"/>
                  </w14:solidFill>
                </w14:textFill>
              </w:rPr>
              <w:t>建筑垃圾遗撒、泄漏</w:t>
            </w:r>
          </w:p>
        </w:tc>
        <w:tc>
          <w:tcPr>
            <w:tcW w:w="278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违反条款：第十九条第一款；处罚条款：第四十条第一款 责令立即改正并清除遗撒、泄漏的建筑垃圾，</w:t>
            </w:r>
            <w:r>
              <w:rPr>
                <w:rStyle w:val="63"/>
                <w:rFonts w:hint="eastAsia" w:ascii="宋体" w:hAnsi="宋体" w:eastAsia="宋体" w:cs="宋体"/>
                <w:color w:val="000000" w:themeColor="text1"/>
                <w:sz w:val="15"/>
                <w:szCs w:val="15"/>
                <w:highlight w:val="none"/>
                <w:lang w:val="en-US" w:eastAsia="zh-CN" w:bidi="ar"/>
                <w14:textFill>
                  <w14:solidFill>
                    <w14:schemeClr w14:val="tx1"/>
                  </w14:solidFill>
                </w14:textFill>
              </w:rPr>
              <w:t>处5万元以上50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lang w:val="en-US"/>
                <w14:textFill>
                  <w14:solidFill>
                    <w14:schemeClr w14:val="tx1"/>
                  </w14:solidFill>
                </w14:textFill>
              </w:rPr>
              <w:t>5</w:t>
            </w:r>
            <w:r>
              <w:rPr>
                <w:rFonts w:hint="eastAsia" w:ascii="宋体" w:hAnsi="宋体" w:eastAsia="宋体" w:cs="宋体"/>
                <w:color w:val="000000" w:themeColor="text1"/>
                <w:sz w:val="15"/>
                <w:szCs w:val="15"/>
                <w:highlight w:val="none"/>
                <w14:textFill>
                  <w14:solidFill>
                    <w14:schemeClr w14:val="tx1"/>
                  </w14:solidFill>
                </w14:textFill>
              </w:rPr>
              <w:t>0000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1.</w:t>
            </w:r>
            <w:r>
              <w:rPr>
                <w:rFonts w:hint="eastAsia" w:ascii="宋体" w:hAnsi="宋体" w:eastAsia="宋体" w:cs="宋体"/>
                <w:color w:val="000000" w:themeColor="text1"/>
                <w:sz w:val="15"/>
                <w:szCs w:val="15"/>
                <w:highlight w:val="none"/>
                <w14:textFill>
                  <w14:solidFill>
                    <w14:schemeClr w14:val="tx1"/>
                  </w14:solidFill>
                </w14:textFill>
              </w:rPr>
              <w:t>污染道路长21－30米的，系数1；31－40米的，系数2；以此类推</w:t>
            </w:r>
            <w:r>
              <w:rPr>
                <w:rFonts w:hint="eastAsia" w:ascii="宋体" w:hAnsi="宋体" w:eastAsia="宋体" w:cs="宋体"/>
                <w:color w:val="000000" w:themeColor="text1"/>
                <w:sz w:val="15"/>
                <w:szCs w:val="15"/>
                <w:highlight w:val="none"/>
                <w:lang w:eastAsia="zh-CN"/>
                <w14:textFill>
                  <w14:solidFill>
                    <w14:schemeClr w14:val="tx1"/>
                  </w14:solidFill>
                </w14:textFill>
              </w:rPr>
              <w:t>，</w:t>
            </w:r>
            <w:r>
              <w:rPr>
                <w:rFonts w:hint="default" w:ascii="宋体" w:hAnsi="宋体" w:cs="宋体"/>
                <w:color w:val="000000" w:themeColor="text1"/>
                <w:sz w:val="15"/>
                <w:szCs w:val="15"/>
                <w:highlight w:val="none"/>
                <w:lang w:val="en-US" w:eastAsia="zh-CN"/>
                <w14:textFill>
                  <w14:solidFill>
                    <w14:schemeClr w14:val="tx1"/>
                  </w14:solidFill>
                </w14:textFill>
              </w:rPr>
              <w:t>101</w:t>
            </w:r>
            <w:r>
              <w:rPr>
                <w:rFonts w:hint="eastAsia" w:ascii="宋体" w:hAnsi="宋体" w:eastAsia="宋体" w:cs="宋体"/>
                <w:color w:val="000000" w:themeColor="text1"/>
                <w:sz w:val="15"/>
                <w:szCs w:val="15"/>
                <w:highlight w:val="none"/>
                <w:lang w:val="en-US" w:eastAsia="zh-CN"/>
                <w14:textFill>
                  <w14:solidFill>
                    <w14:schemeClr w14:val="tx1"/>
                  </w14:solidFill>
                </w14:textFill>
              </w:rPr>
              <w:t>米</w:t>
            </w:r>
            <w:r>
              <w:rPr>
                <w:rFonts w:hint="eastAsia" w:ascii="宋体" w:hAnsi="宋体" w:eastAsia="宋体" w:cs="宋体"/>
                <w:color w:val="000000" w:themeColor="text1"/>
                <w:sz w:val="15"/>
                <w:szCs w:val="15"/>
                <w:highlight w:val="none"/>
                <w:lang w:eastAsia="zh-CN"/>
                <w14:textFill>
                  <w14:solidFill>
                    <w14:schemeClr w14:val="tx1"/>
                  </w14:solidFill>
                </w14:textFill>
              </w:rPr>
              <w:t>及以上的，系数</w:t>
            </w:r>
            <w:r>
              <w:rPr>
                <w:rFonts w:hint="eastAsia" w:ascii="宋体" w:hAnsi="宋体" w:eastAsia="宋体" w:cs="宋体"/>
                <w:color w:val="000000" w:themeColor="text1"/>
                <w:sz w:val="15"/>
                <w:szCs w:val="15"/>
                <w:highlight w:val="none"/>
                <w:lang w:val="en-US" w:eastAsia="zh-CN"/>
                <w14:textFill>
                  <w14:solidFill>
                    <w14:schemeClr w14:val="tx1"/>
                  </w14:solidFill>
                </w14:textFill>
              </w:rPr>
              <w:t>9</w:t>
            </w:r>
            <w:r>
              <w:rPr>
                <w:rFonts w:hint="eastAsia" w:ascii="宋体" w:hAnsi="宋体" w:eastAsia="宋体" w:cs="宋体"/>
                <w:color w:val="000000" w:themeColor="text1"/>
                <w:sz w:val="15"/>
                <w:szCs w:val="15"/>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b w:val="0"/>
                <w:bCs w:val="0"/>
                <w:strike w:val="0"/>
                <w:dstrike w:val="0"/>
                <w:color w:val="000000" w:themeColor="text1"/>
                <w:sz w:val="15"/>
                <w:szCs w:val="15"/>
                <w:highlight w:val="none"/>
                <w:lang w:val="en-US" w:eastAsia="zh-CN"/>
                <w14:textFill>
                  <w14:solidFill>
                    <w14:schemeClr w14:val="tx1"/>
                  </w14:solidFill>
                </w14:textFill>
              </w:rPr>
            </w:pPr>
            <w:r>
              <w:rPr>
                <w:rFonts w:hint="eastAsia" w:ascii="宋体" w:hAnsi="宋体" w:eastAsia="宋体" w:cs="宋体"/>
                <w:b w:val="0"/>
                <w:bCs w:val="0"/>
                <w:strike w:val="0"/>
                <w:dstrike w:val="0"/>
                <w:color w:val="000000" w:themeColor="text1"/>
                <w:sz w:val="15"/>
                <w:szCs w:val="15"/>
                <w:highlight w:val="none"/>
                <w:lang w:val="en-US" w:eastAsia="zh-CN"/>
                <w14:textFill>
                  <w14:solidFill>
                    <w14:schemeClr w14:val="tx1"/>
                  </w14:solidFill>
                </w14:textFill>
              </w:rPr>
              <w:t>2.建筑垃圾占地面积10㎡以下的，系数0；11—15㎡，系数为1；16-20㎡，系数2，以此类推，面积51㎡及以上的，系数9；</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b w:val="0"/>
                <w:bCs w:val="0"/>
                <w:strike w:val="0"/>
                <w:dstrike w:val="0"/>
                <w:color w:val="000000" w:themeColor="text1"/>
                <w:sz w:val="15"/>
                <w:szCs w:val="15"/>
                <w:highlight w:val="none"/>
                <w:lang w:val="en-US" w:eastAsia="zh-CN"/>
                <w14:textFill>
                  <w14:solidFill>
                    <w14:schemeClr w14:val="tx1"/>
                  </w14:solidFill>
                </w14:textFill>
              </w:rPr>
            </w:pPr>
            <w:r>
              <w:rPr>
                <w:rFonts w:hint="eastAsia" w:ascii="宋体" w:hAnsi="宋体" w:eastAsia="宋体" w:cs="宋体"/>
                <w:b w:val="0"/>
                <w:bCs w:val="0"/>
                <w:strike w:val="0"/>
                <w:dstrike w:val="0"/>
                <w:color w:val="000000" w:themeColor="text1"/>
                <w:sz w:val="15"/>
                <w:szCs w:val="15"/>
                <w:highlight w:val="none"/>
                <w:lang w:val="en-US" w:eastAsia="zh-CN"/>
                <w14:textFill>
                  <w14:solidFill>
                    <w14:schemeClr w14:val="tx1"/>
                  </w14:solidFill>
                </w14:textFill>
              </w:rPr>
              <w:t>3.建筑垃圾重量在4.5吨以下的，系数0；4.5-9吨的，系数1，以此类推，40.5吨及以上的，系数9；在面积和长度无法取证的情况下，可以适用此情形。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color w:val="000000" w:themeColor="text1"/>
                <w:kern w:val="2"/>
                <w:sz w:val="15"/>
                <w:szCs w:val="15"/>
                <w:highlight w:val="none"/>
                <w:lang w:val="en-US" w:eastAsia="zh-CN" w:bidi="ar-SA"/>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4.</w:t>
            </w:r>
            <w:r>
              <w:rPr>
                <w:rFonts w:hint="eastAsia" w:ascii="宋体" w:hAnsi="宋体" w:eastAsia="宋体" w:cs="宋体"/>
                <w:color w:val="000000" w:themeColor="text1"/>
                <w:sz w:val="15"/>
                <w:szCs w:val="15"/>
                <w:highlight w:val="none"/>
                <w14:textFill>
                  <w14:solidFill>
                    <w14:schemeClr w14:val="tx1"/>
                  </w14:solidFill>
                </w14:textFill>
              </w:rPr>
              <w:t>产生较大环境污染或者社会影响的，系数</w:t>
            </w:r>
            <w:r>
              <w:rPr>
                <w:rFonts w:hint="eastAsia" w:ascii="宋体" w:hAnsi="宋体" w:eastAsia="宋体" w:cs="宋体"/>
                <w:color w:val="000000" w:themeColor="text1"/>
                <w:sz w:val="15"/>
                <w:szCs w:val="15"/>
                <w:highlight w:val="none"/>
                <w:lang w:val="en-US" w:eastAsia="zh-CN"/>
                <w14:textFill>
                  <w14:solidFill>
                    <w14:schemeClr w14:val="tx1"/>
                  </w14:solidFill>
                </w14:textFill>
              </w:rPr>
              <w:t>5-9。</w:t>
            </w:r>
          </w:p>
          <w:p>
            <w:pPr>
              <w:keepNext w:val="0"/>
              <w:keepLines w:val="0"/>
              <w:pageBreakBefore w:val="0"/>
              <w:kinsoku/>
              <w:wordWrap/>
              <w:overflowPunct/>
              <w:topLinePunct w:val="0"/>
              <w:autoSpaceDE/>
              <w:autoSpaceDN/>
              <w:bidi w:val="0"/>
              <w:adjustRightInd/>
              <w:snapToGrid/>
              <w:spacing w:line="240" w:lineRule="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罚款数额＝</w:t>
            </w:r>
            <w:r>
              <w:rPr>
                <w:rFonts w:hint="eastAsia" w:ascii="宋体" w:hAnsi="宋体" w:eastAsia="宋体" w:cs="宋体"/>
                <w:color w:val="000000" w:themeColor="text1"/>
                <w:sz w:val="15"/>
                <w:szCs w:val="15"/>
                <w:highlight w:val="none"/>
                <w:lang w:val="en-US"/>
                <w14:textFill>
                  <w14:solidFill>
                    <w14:schemeClr w14:val="tx1"/>
                  </w14:solidFill>
                </w14:textFill>
              </w:rPr>
              <w:t>5</w:t>
            </w:r>
            <w:r>
              <w:rPr>
                <w:rFonts w:hint="eastAsia" w:ascii="宋体" w:hAnsi="宋体" w:eastAsia="宋体" w:cs="宋体"/>
                <w:color w:val="000000" w:themeColor="text1"/>
                <w:sz w:val="15"/>
                <w:szCs w:val="15"/>
                <w:highlight w:val="none"/>
                <w14:textFill>
                  <w14:solidFill>
                    <w14:schemeClr w14:val="tx1"/>
                  </w14:solidFill>
                </w14:textFill>
              </w:rPr>
              <w:t>0000×（1＋</w:t>
            </w:r>
            <w:r>
              <w:rPr>
                <w:rFonts w:hint="eastAsia" w:ascii="宋体" w:hAnsi="宋体" w:eastAsia="宋体" w:cs="宋体"/>
                <w:color w:val="000000" w:themeColor="text1"/>
                <w:sz w:val="15"/>
                <w:szCs w:val="15"/>
                <w:highlight w:val="none"/>
                <w:lang w:eastAsia="zh-CN"/>
                <w14:textFill>
                  <w14:solidFill>
                    <w14:schemeClr w14:val="tx1"/>
                  </w14:solidFill>
                </w14:textFill>
              </w:rPr>
              <w:t>常量系数＋变量系数＋区域系数</w:t>
            </w:r>
            <w:r>
              <w:rPr>
                <w:rFonts w:hint="eastAsia" w:ascii="宋体" w:hAnsi="宋体" w:eastAsia="宋体" w:cs="宋体"/>
                <w:color w:val="000000" w:themeColor="text1"/>
                <w:sz w:val="15"/>
                <w:szCs w:val="15"/>
                <w:highlight w:val="none"/>
                <w14:textFill>
                  <w14:solidFill>
                    <w14:schemeClr w14:val="tx1"/>
                  </w14:solidFill>
                </w14:textFill>
              </w:rPr>
              <w:t>）</w:t>
            </w:r>
          </w:p>
        </w:tc>
        <w:tc>
          <w:tcPr>
            <w:tcW w:w="2385" w:type="dxa"/>
            <w:shd w:val="clear" w:color="auto" w:fill="auto"/>
            <w:vAlign w:val="center"/>
          </w:tcPr>
          <w:p>
            <w:pPr>
              <w:numPr>
                <w:ilvl w:val="0"/>
                <w:numId w:val="4"/>
              </w:num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存在下列情形的，可视为“情节严重”：一年内因同类违法行为，受到城管执法机关</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2次</w:t>
            </w:r>
            <w:r>
              <w:rPr>
                <w:rFonts w:hint="eastAsia" w:asciiTheme="minorEastAsia" w:hAnsiTheme="minorEastAsia" w:eastAsiaTheme="minorEastAsia"/>
                <w:color w:val="000000" w:themeColor="text1"/>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 依据</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《北京市人民政府关于进一步相对集中城市管理领域部分行政处罚权的决定》（</w:t>
            </w:r>
            <w:r>
              <w:rPr>
                <w:rFonts w:hint="eastAsia" w:asciiTheme="minorEastAsia" w:hAnsiTheme="minorEastAsia" w:eastAsiaTheme="minorEastAsia"/>
                <w:color w:val="000000" w:themeColor="text1"/>
                <w:sz w:val="15"/>
                <w:szCs w:val="15"/>
                <w:highlight w:val="none"/>
                <w14:textFill>
                  <w14:solidFill>
                    <w14:schemeClr w14:val="tx1"/>
                  </w14:solidFill>
                </w14:textFill>
              </w:rPr>
              <w:t>京政发〔2017〕32号），拟作出吊销处罚的，作出处罚决定前，要邀请城市管理部门共同会商；对于可能影响公共利益的，提请城市管理</w:t>
            </w:r>
            <w:r>
              <w:rPr>
                <w:rFonts w:asciiTheme="minorEastAsia" w:hAnsiTheme="minorEastAsia" w:eastAsiaTheme="minorEastAsia"/>
                <w:color w:val="000000" w:themeColor="text1"/>
                <w:sz w:val="15"/>
                <w:szCs w:val="15"/>
                <w:highlight w:val="none"/>
                <w14:textFill>
                  <w14:solidFill>
                    <w14:schemeClr w14:val="tx1"/>
                  </w14:solidFill>
                </w14:textFill>
              </w:rPr>
              <w:t>部门</w:t>
            </w:r>
            <w:r>
              <w:rPr>
                <w:rFonts w:hint="eastAsia" w:asciiTheme="minorEastAsia" w:hAnsiTheme="minorEastAsia" w:eastAsiaTheme="minorEastAsia"/>
                <w:color w:val="000000" w:themeColor="text1"/>
                <w:sz w:val="15"/>
                <w:szCs w:val="15"/>
                <w:highlight w:val="none"/>
                <w14:textFill>
                  <w14:solidFill>
                    <w14:schemeClr w14:val="tx1"/>
                  </w14:solidFill>
                </w14:textFill>
              </w:rPr>
              <w:t>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90" w:hRule="atLeast"/>
          <w:jc w:val="center"/>
        </w:trPr>
        <w:tc>
          <w:tcPr>
            <w:tcW w:w="940" w:type="dxa"/>
            <w:shd w:val="clear" w:color="auto" w:fill="auto"/>
            <w:vAlign w:val="center"/>
          </w:tcPr>
          <w:p>
            <w:pPr>
              <w:spacing w:line="232" w:lineRule="exact"/>
              <w:jc w:val="center"/>
              <w:rPr>
                <w:rFonts w:hint="default" w:asciiTheme="minorEastAsia" w:hAnsiTheme="minorEastAsia" w:eastAsiaTheme="minorEastAsia"/>
                <w:color w:val="000000" w:themeColor="text1"/>
                <w:sz w:val="15"/>
                <w:szCs w:val="15"/>
                <w:highlight w:val="none"/>
                <w:lang w:val="en-US"/>
                <w14:textFill>
                  <w14:solidFill>
                    <w14:schemeClr w14:val="tx1"/>
                  </w14:solidFill>
                </w14:textFill>
              </w:rPr>
            </w:pPr>
            <w:r>
              <w:rPr>
                <w:rFonts w:hint="eastAsia" w:ascii="宋体" w:hAnsi="宋体" w:eastAsia="宋体"/>
                <w:color w:val="000000" w:themeColor="text1"/>
                <w:sz w:val="15"/>
                <w:szCs w:val="15"/>
                <w:highlight w:val="none"/>
                <w:lang w:val="en-US" w:eastAsia="zh-CN"/>
                <w14:textFill>
                  <w14:solidFill>
                    <w14:schemeClr w14:val="tx1"/>
                  </w14:solidFill>
                </w14:textFill>
              </w:rPr>
              <w:t>18</w:t>
            </w:r>
          </w:p>
        </w:tc>
        <w:tc>
          <w:tcPr>
            <w:tcW w:w="150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建筑垃圾运输服务单位将建筑垃圾与其他生活垃圾、危险废物混装混运</w:t>
            </w:r>
          </w:p>
        </w:tc>
        <w:tc>
          <w:tcPr>
            <w:tcW w:w="278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违反条款：第十九条第一款；处罚条款：第四十条第一款 责令立即改正并清除遗撒、泄漏的建筑垃圾，</w:t>
            </w:r>
            <w:r>
              <w:rPr>
                <w:rStyle w:val="63"/>
                <w:rFonts w:hint="eastAsia" w:ascii="宋体" w:hAnsi="宋体" w:eastAsia="宋体" w:cs="宋体"/>
                <w:color w:val="000000" w:themeColor="text1"/>
                <w:sz w:val="15"/>
                <w:szCs w:val="15"/>
                <w:highlight w:val="none"/>
                <w:lang w:val="en-US" w:eastAsia="zh-CN" w:bidi="ar"/>
                <w14:textFill>
                  <w14:solidFill>
                    <w14:schemeClr w14:val="tx1"/>
                  </w14:solidFill>
                </w14:textFill>
              </w:rPr>
              <w:t>处5万元以上50万元以下罚款；情节严重的，由城市管理综合执法部门吊销生活垃圾运输经营许可。</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lang w:val="en-US"/>
                <w14:textFill>
                  <w14:solidFill>
                    <w14:schemeClr w14:val="tx1"/>
                  </w14:solidFill>
                </w14:textFill>
              </w:rPr>
              <w:t>5</w:t>
            </w:r>
            <w:r>
              <w:rPr>
                <w:rFonts w:hint="eastAsia" w:ascii="宋体" w:hAnsi="宋体" w:eastAsia="宋体" w:cs="宋体"/>
                <w:color w:val="000000" w:themeColor="text1"/>
                <w:sz w:val="15"/>
                <w:szCs w:val="15"/>
                <w:highlight w:val="none"/>
                <w14:textFill>
                  <w14:solidFill>
                    <w14:schemeClr w14:val="tx1"/>
                  </w14:solidFill>
                </w14:textFill>
              </w:rPr>
              <w:t>0000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1</w:t>
            </w:r>
            <w:r>
              <w:rPr>
                <w:rFonts w:hint="eastAsia" w:ascii="宋体" w:hAnsi="宋体" w:eastAsia="宋体" w:cs="宋体"/>
                <w:color w:val="000000" w:themeColor="text1"/>
                <w:sz w:val="15"/>
                <w:szCs w:val="15"/>
                <w:highlight w:val="none"/>
                <w14:textFill>
                  <w14:solidFill>
                    <w14:schemeClr w14:val="tx1"/>
                  </w14:solidFill>
                </w14:textFill>
              </w:rPr>
              <w:t>.运输车辆（4.5吨以上），系数为</w:t>
            </w:r>
            <w:r>
              <w:rPr>
                <w:rFonts w:hint="eastAsia" w:ascii="宋体" w:hAnsi="宋体" w:eastAsia="宋体" w:cs="宋体"/>
                <w:color w:val="000000" w:themeColor="text1"/>
                <w:sz w:val="15"/>
                <w:szCs w:val="15"/>
                <w:highlight w:val="none"/>
                <w:lang w:val="en-US" w:eastAsia="zh-CN"/>
                <w14:textFill>
                  <w14:solidFill>
                    <w14:schemeClr w14:val="tx1"/>
                  </w14:solidFill>
                </w14:textFill>
              </w:rPr>
              <w:t>1-3</w:t>
            </w:r>
            <w:r>
              <w:rPr>
                <w:rFonts w:hint="eastAsia" w:ascii="宋体" w:hAnsi="宋体" w:eastAsia="宋体" w:cs="宋体"/>
                <w:color w:val="000000" w:themeColor="text1"/>
                <w:sz w:val="15"/>
                <w:szCs w:val="15"/>
                <w:highlight w:val="none"/>
                <w14:textFill>
                  <w14:solidFill>
                    <w14:schemeClr w14:val="tx1"/>
                  </w14:solidFill>
                </w14:textFill>
              </w:rPr>
              <w:t>；</w:t>
            </w:r>
            <w:r>
              <w:rPr>
                <w:rFonts w:hint="eastAsia" w:ascii="宋体" w:hAnsi="宋体" w:eastAsia="宋体" w:cs="宋体"/>
                <w:color w:val="000000" w:themeColor="text1"/>
                <w:sz w:val="15"/>
                <w:szCs w:val="15"/>
                <w:highlight w:val="none"/>
                <w:lang w:val="en-US" w:eastAsia="zh-CN"/>
                <w14:textFill>
                  <w14:solidFill>
                    <w14:schemeClr w14:val="tx1"/>
                  </w14:solidFill>
                </w14:textFill>
              </w:rPr>
              <w:t>2</w:t>
            </w:r>
            <w:r>
              <w:rPr>
                <w:rFonts w:hint="eastAsia" w:ascii="宋体" w:hAnsi="宋体" w:eastAsia="宋体" w:cs="宋体"/>
                <w:color w:val="000000" w:themeColor="text1"/>
                <w:sz w:val="15"/>
                <w:szCs w:val="15"/>
                <w:highlight w:val="none"/>
                <w14:textFill>
                  <w14:solidFill>
                    <w14:schemeClr w14:val="tx1"/>
                  </w14:solidFill>
                </w14:textFill>
              </w:rPr>
              <w:t>.与危险废物混装混运，系数为</w:t>
            </w:r>
            <w:r>
              <w:rPr>
                <w:rFonts w:hint="eastAsia" w:ascii="宋体" w:hAnsi="宋体" w:eastAsia="宋体" w:cs="宋体"/>
                <w:color w:val="000000" w:themeColor="text1"/>
                <w:sz w:val="15"/>
                <w:szCs w:val="15"/>
                <w:highlight w:val="none"/>
                <w:lang w:val="en-US" w:eastAsia="zh-CN"/>
                <w14:textFill>
                  <w14:solidFill>
                    <w14:schemeClr w14:val="tx1"/>
                  </w14:solidFill>
                </w14:textFill>
              </w:rPr>
              <w:t>4-6；3.同一运输单位存在多辆车辆混装混运的，系数为7-9。</w:t>
            </w:r>
          </w:p>
        </w:tc>
        <w:tc>
          <w:tcPr>
            <w:tcW w:w="178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罚款数额＝</w:t>
            </w:r>
            <w:r>
              <w:rPr>
                <w:rFonts w:hint="eastAsia" w:ascii="宋体" w:hAnsi="宋体" w:eastAsia="宋体" w:cs="宋体"/>
                <w:color w:val="000000" w:themeColor="text1"/>
                <w:sz w:val="15"/>
                <w:szCs w:val="15"/>
                <w:highlight w:val="none"/>
                <w:lang w:val="en-US"/>
                <w14:textFill>
                  <w14:solidFill>
                    <w14:schemeClr w14:val="tx1"/>
                  </w14:solidFill>
                </w14:textFill>
              </w:rPr>
              <w:t>5</w:t>
            </w:r>
            <w:r>
              <w:rPr>
                <w:rFonts w:hint="eastAsia" w:ascii="宋体" w:hAnsi="宋体" w:eastAsia="宋体" w:cs="宋体"/>
                <w:color w:val="000000" w:themeColor="text1"/>
                <w:sz w:val="15"/>
                <w:szCs w:val="15"/>
                <w:highlight w:val="none"/>
                <w14:textFill>
                  <w14:solidFill>
                    <w14:schemeClr w14:val="tx1"/>
                  </w14:solidFill>
                </w14:textFill>
              </w:rPr>
              <w:t>0000×（1＋</w:t>
            </w:r>
            <w:r>
              <w:rPr>
                <w:rFonts w:hint="eastAsia" w:ascii="宋体" w:hAnsi="宋体" w:eastAsia="宋体" w:cs="宋体"/>
                <w:color w:val="000000" w:themeColor="text1"/>
                <w:sz w:val="15"/>
                <w:szCs w:val="15"/>
                <w:highlight w:val="none"/>
                <w:lang w:eastAsia="zh-CN"/>
                <w14:textFill>
                  <w14:solidFill>
                    <w14:schemeClr w14:val="tx1"/>
                  </w14:solidFill>
                </w14:textFill>
              </w:rPr>
              <w:t>常量系数＋变量系数</w:t>
            </w:r>
            <w:r>
              <w:rPr>
                <w:rFonts w:hint="eastAsia" w:ascii="宋体" w:hAnsi="宋体" w:eastAsia="宋体" w:cs="宋体"/>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numPr>
                <w:ilvl w:val="0"/>
                <w:numId w:val="5"/>
              </w:numPr>
              <w:kinsoku/>
              <w:wordWrap/>
              <w:overflowPunct/>
              <w:topLinePunct w:val="0"/>
              <w:autoSpaceDE/>
              <w:autoSpaceDN/>
              <w:bidi w:val="0"/>
              <w:adjustRightInd/>
              <w:snapToGrid/>
              <w:spacing w:line="240" w:lineRule="auto"/>
              <w:rPr>
                <w:rFonts w:hint="eastAsia"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存在下列情形的，可视为“情节严重”：一年内因同类违法行为，受到城管执法机关</w:t>
            </w:r>
            <w:r>
              <w:rPr>
                <w:rFonts w:hint="eastAsia" w:ascii="宋体" w:hAnsi="宋体" w:eastAsia="宋体" w:cs="宋体"/>
                <w:color w:val="000000" w:themeColor="text1"/>
                <w:sz w:val="15"/>
                <w:szCs w:val="15"/>
                <w:highlight w:val="none"/>
                <w:lang w:val="en-US" w:eastAsia="zh-CN"/>
                <w14:textFill>
                  <w14:solidFill>
                    <w14:schemeClr w14:val="tx1"/>
                  </w14:solidFill>
                </w14:textFill>
              </w:rPr>
              <w:t>2次</w:t>
            </w:r>
            <w:r>
              <w:rPr>
                <w:rFonts w:hint="eastAsia" w:ascii="宋体" w:hAnsi="宋体" w:eastAsia="宋体" w:cs="宋体"/>
                <w:color w:val="000000" w:themeColor="text1"/>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2. 依据</w:t>
            </w:r>
            <w:r>
              <w:rPr>
                <w:rFonts w:hint="eastAsia" w:ascii="宋体" w:hAnsi="宋体" w:eastAsia="宋体" w:cs="宋体"/>
                <w:color w:val="000000" w:themeColor="text1"/>
                <w:kern w:val="0"/>
                <w:sz w:val="15"/>
                <w:szCs w:val="15"/>
                <w:highlight w:val="none"/>
                <w14:textFill>
                  <w14:solidFill>
                    <w14:schemeClr w14:val="tx1"/>
                  </w14:solidFill>
                </w14:textFill>
              </w:rPr>
              <w:t>《北京市人民政府关于进一步相对集中城市管理领域部分行政处罚权的决定》（</w:t>
            </w:r>
            <w:r>
              <w:rPr>
                <w:rFonts w:hint="eastAsia" w:ascii="宋体" w:hAnsi="宋体" w:eastAsia="宋体" w:cs="宋体"/>
                <w:color w:val="000000" w:themeColor="text1"/>
                <w:sz w:val="15"/>
                <w:szCs w:val="15"/>
                <w:highlight w:val="none"/>
                <w14:textFill>
                  <w14:solidFill>
                    <w14:schemeClr w14:val="tx1"/>
                  </w14:solidFill>
                </w14:textFill>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19</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w:t>
            </w:r>
            <w:r>
              <w:rPr>
                <w:rFonts w:asciiTheme="minorEastAsia" w:hAnsiTheme="minorEastAsia" w:eastAsiaTheme="minorEastAsia"/>
                <w:color w:val="000000" w:themeColor="text1"/>
                <w:sz w:val="15"/>
                <w:szCs w:val="15"/>
                <w:highlight w:val="none"/>
                <w14:textFill>
                  <w14:solidFill>
                    <w14:schemeClr w14:val="tx1"/>
                  </w14:solidFill>
                </w14:textFill>
              </w:rPr>
              <w:t>垃圾运输服务单位</w:t>
            </w:r>
            <w:r>
              <w:rPr>
                <w:rFonts w:hint="eastAsia" w:asciiTheme="minorEastAsia" w:hAnsiTheme="minorEastAsia" w:eastAsiaTheme="minorEastAsia"/>
                <w:color w:val="000000" w:themeColor="text1"/>
                <w:sz w:val="15"/>
                <w:szCs w:val="15"/>
                <w:highlight w:val="none"/>
                <w14:textFill>
                  <w14:solidFill>
                    <w14:schemeClr w14:val="tx1"/>
                  </w14:solidFill>
                </w14:textFill>
              </w:rPr>
              <w:t>未</w:t>
            </w:r>
            <w:r>
              <w:rPr>
                <w:rFonts w:asciiTheme="minorEastAsia" w:hAnsiTheme="minorEastAsia" w:eastAsiaTheme="minorEastAsia"/>
                <w:color w:val="000000" w:themeColor="text1"/>
                <w:sz w:val="15"/>
                <w:szCs w:val="15"/>
                <w:highlight w:val="none"/>
                <w14:textFill>
                  <w14:solidFill>
                    <w14:schemeClr w14:val="tx1"/>
                  </w14:solidFill>
                </w14:textFill>
              </w:rPr>
              <w:t>按照规定使用电子运单</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如实记录建筑垃圾处置情况</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w:t>
            </w:r>
            <w:r>
              <w:rPr>
                <w:rFonts w:asciiTheme="minorEastAsia" w:hAnsiTheme="minorEastAsia" w:eastAsiaTheme="minorEastAsia"/>
                <w:color w:val="000000" w:themeColor="text1"/>
                <w:sz w:val="15"/>
                <w:szCs w:val="15"/>
                <w:highlight w:val="none"/>
                <w14:textFill>
                  <w14:solidFill>
                    <w14:schemeClr w14:val="tx1"/>
                  </w14:solidFill>
                </w14:textFill>
              </w:rPr>
              <w:t>十九条第</w:t>
            </w:r>
            <w:r>
              <w:rPr>
                <w:rFonts w:hint="eastAsia" w:asciiTheme="minorEastAsia" w:hAnsiTheme="minorEastAsia" w:eastAsiaTheme="minorEastAsia"/>
                <w:color w:val="000000" w:themeColor="text1"/>
                <w:sz w:val="15"/>
                <w:szCs w:val="15"/>
                <w:highlight w:val="none"/>
                <w14:textFill>
                  <w14:solidFill>
                    <w14:schemeClr w14:val="tx1"/>
                  </w14:solidFill>
                </w14:textFill>
              </w:rPr>
              <w:t>二</w:t>
            </w:r>
            <w:r>
              <w:rPr>
                <w:rFonts w:asciiTheme="minorEastAsia" w:hAnsiTheme="minorEastAsia" w:eastAsiaTheme="minorEastAsia"/>
                <w:color w:val="000000" w:themeColor="text1"/>
                <w:sz w:val="15"/>
                <w:szCs w:val="15"/>
                <w:highlight w:val="none"/>
                <w14:textFill>
                  <w14:solidFill>
                    <w14:schemeClr w14:val="tx1"/>
                  </w14:solidFill>
                </w14:textFill>
              </w:rPr>
              <w:t>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w:t>
            </w:r>
            <w:r>
              <w:rPr>
                <w:rFonts w:asciiTheme="minorEastAsia" w:hAnsiTheme="minorEastAsia" w:eastAsiaTheme="minorEastAsia"/>
                <w:color w:val="000000" w:themeColor="text1"/>
                <w:sz w:val="15"/>
                <w:szCs w:val="15"/>
                <w:highlight w:val="none"/>
                <w14:textFill>
                  <w14:solidFill>
                    <w14:schemeClr w14:val="tx1"/>
                  </w14:solidFill>
                </w14:textFill>
              </w:rPr>
              <w:t>四十条第二款</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同一运输单位多辆车辆存在违规的，系数为5-9。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numPr>
                <w:ilvl w:val="0"/>
                <w:numId w:val="6"/>
              </w:num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存在下列情形的，可视为“情节严重”：一年内因同类违法行为，受到城管执法机关</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2次</w:t>
            </w:r>
            <w:r>
              <w:rPr>
                <w:rFonts w:hint="eastAsia" w:asciiTheme="minorEastAsia" w:hAnsiTheme="minorEastAsia" w:eastAsiaTheme="minorEastAsia"/>
                <w:color w:val="000000" w:themeColor="text1"/>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 依据</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《北京市人民政府关于进一步相对集中城市管理领域部分行政处罚权的决定》（</w:t>
            </w:r>
            <w:r>
              <w:rPr>
                <w:rFonts w:hint="eastAsia" w:asciiTheme="minorEastAsia" w:hAnsiTheme="minorEastAsia" w:eastAsiaTheme="minorEastAsia"/>
                <w:color w:val="000000" w:themeColor="text1"/>
                <w:sz w:val="15"/>
                <w:szCs w:val="15"/>
                <w:highlight w:val="none"/>
                <w14:textFill>
                  <w14:solidFill>
                    <w14:schemeClr w14:val="tx1"/>
                  </w14:solidFill>
                </w14:textFill>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5"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0</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w:t>
            </w:r>
            <w:r>
              <w:rPr>
                <w:rFonts w:asciiTheme="minorEastAsia" w:hAnsiTheme="minorEastAsia" w:eastAsiaTheme="minorEastAsia"/>
                <w:color w:val="000000" w:themeColor="text1"/>
                <w:sz w:val="15"/>
                <w:szCs w:val="15"/>
                <w:highlight w:val="none"/>
                <w14:textFill>
                  <w14:solidFill>
                    <w14:schemeClr w14:val="tx1"/>
                  </w14:solidFill>
                </w14:textFill>
              </w:rPr>
              <w:t>单位</w:t>
            </w:r>
            <w:r>
              <w:rPr>
                <w:rFonts w:hint="eastAsia" w:asciiTheme="minorEastAsia" w:hAnsiTheme="minorEastAsia" w:eastAsiaTheme="minorEastAsia"/>
                <w:color w:val="000000" w:themeColor="text1"/>
                <w:sz w:val="15"/>
                <w:szCs w:val="15"/>
                <w:highlight w:val="none"/>
                <w14:textFill>
                  <w14:solidFill>
                    <w14:schemeClr w14:val="tx1"/>
                  </w14:solidFill>
                </w14:textFill>
              </w:rPr>
              <w:t>未</w:t>
            </w:r>
            <w:r>
              <w:rPr>
                <w:rFonts w:asciiTheme="minorEastAsia" w:hAnsiTheme="minorEastAsia" w:eastAsiaTheme="minorEastAsia"/>
                <w:color w:val="000000" w:themeColor="text1"/>
                <w:sz w:val="15"/>
                <w:szCs w:val="15"/>
                <w:highlight w:val="none"/>
                <w14:textFill>
                  <w14:solidFill>
                    <w14:schemeClr w14:val="tx1"/>
                  </w14:solidFill>
                </w14:textFill>
              </w:rPr>
              <w:t>编制建筑垃圾处理方案</w:t>
            </w:r>
            <w:r>
              <w:rPr>
                <w:rFonts w:hint="eastAsia" w:asciiTheme="minorEastAsia" w:hAnsiTheme="minorEastAsia" w:eastAsiaTheme="minorEastAsia"/>
                <w:color w:val="000000" w:themeColor="text1"/>
                <w:sz w:val="15"/>
                <w:szCs w:val="15"/>
                <w:highlight w:val="none"/>
                <w14:textFill>
                  <w14:solidFill>
                    <w14:schemeClr w14:val="tx1"/>
                  </w14:solidFill>
                </w14:textFill>
              </w:rPr>
              <w:t>报备案</w:t>
            </w:r>
          </w:p>
        </w:tc>
        <w:tc>
          <w:tcPr>
            <w:tcW w:w="2789"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违反条款：第二十条第一款</w:t>
            </w:r>
          </w:p>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hint="eastAsia"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1.工程建筑面积在300㎡及以下的，系数0；300㎡以上5000㎡及以下的，系数1-3；5000㎡以上2万㎡及以下的，系数4-6；2万㎡以上的，系数7-9。2.未备案时间持续10天及以内的，系数0；11-20天的，系数1；以此类推，91天及以上的，系数9。</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3.造</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成环境秩序较严重影响的，系数5-9。</w:t>
            </w:r>
          </w:p>
        </w:tc>
        <w:tc>
          <w:tcPr>
            <w:tcW w:w="1785" w:type="dxa"/>
            <w:shd w:val="clear" w:color="auto" w:fill="auto"/>
            <w:vAlign w:val="center"/>
          </w:tcPr>
          <w:p>
            <w:pPr>
              <w:widowControl w:val="0"/>
              <w:numPr>
                <w:ilvl w:val="0"/>
                <w:numId w:val="0"/>
              </w:numPr>
              <w:jc w:val="both"/>
              <w:rPr>
                <w:rFonts w:hint="eastAsia"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罚款数额＝100000×（1＋常量系数＋变量系数）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w:t>
            </w:r>
            <w:r>
              <w:rPr>
                <w:rFonts w:asciiTheme="minorEastAsia" w:hAnsiTheme="minorEastAsia" w:eastAsiaTheme="minorEastAsia"/>
                <w:color w:val="000000" w:themeColor="text1"/>
                <w:sz w:val="15"/>
                <w:szCs w:val="15"/>
                <w:highlight w:val="none"/>
                <w14:textFill>
                  <w14:solidFill>
                    <w14:schemeClr w14:val="tx1"/>
                  </w14:solidFill>
                </w14:textFill>
              </w:rPr>
              <w:t>未及时清运建筑垃圾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条款：第二十条第二款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w:t>
            </w:r>
            <w:r>
              <w:rPr>
                <w:rFonts w:asciiTheme="minorEastAsia" w:hAnsiTheme="minorEastAsia" w:eastAsiaTheme="minorEastAsia"/>
                <w:color w:val="000000" w:themeColor="text1"/>
                <w:sz w:val="15"/>
                <w:szCs w:val="15"/>
                <w:highlight w:val="none"/>
                <w14:textFill>
                  <w14:solidFill>
                    <w14:schemeClr w14:val="tx1"/>
                  </w14:solidFill>
                </w14:textFill>
              </w:rPr>
              <w:t>四十一条第二款</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1.垃圾占地面积10㎡</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0；11－15㎡</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数1；16－20㎡</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。2.逾期不清的，每逾期2天，系数为１，以此累加</w:t>
            </w:r>
            <w:r>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18天及以上的，</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3.造成尘土飞扬，严重污染环境的，系数为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1"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施工</w:t>
            </w:r>
            <w:r>
              <w:rPr>
                <w:rFonts w:asciiTheme="minorEastAsia" w:hAnsiTheme="minorEastAsia" w:eastAsiaTheme="minorEastAsia"/>
                <w:b w:val="0"/>
                <w:bCs w:val="0"/>
                <w:color w:val="000000" w:themeColor="text1"/>
                <w:sz w:val="15"/>
                <w:szCs w:val="15"/>
                <w:highlight w:val="none"/>
                <w14:textFill>
                  <w14:solidFill>
                    <w14:schemeClr w14:val="tx1"/>
                  </w14:solidFill>
                </w14:textFill>
              </w:rPr>
              <w:t>单位</w:t>
            </w:r>
            <w:r>
              <w:rPr>
                <w:rFonts w:hint="eastAsia" w:asciiTheme="minorEastAsia" w:hAnsiTheme="minorEastAsia" w:eastAsiaTheme="minorEastAsia"/>
                <w:b w:val="0"/>
                <w:bCs w:val="0"/>
                <w:color w:val="000000" w:themeColor="text1"/>
                <w:sz w:val="15"/>
                <w:szCs w:val="15"/>
                <w:highlight w:val="none"/>
                <w14:textFill>
                  <w14:solidFill>
                    <w14:schemeClr w14:val="tx1"/>
                  </w14:solidFill>
                </w14:textFill>
              </w:rPr>
              <w:t>未按照规定对施工过程中产生的建筑垃圾进行资源化利用或者处置</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第二十条第二款</w:t>
            </w:r>
          </w:p>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第四十</w:t>
            </w:r>
            <w:r>
              <w:rPr>
                <w:rFonts w:asciiTheme="minorEastAsia" w:hAnsiTheme="minorEastAsia" w:eastAsiaTheme="minorEastAsia"/>
                <w:color w:val="000000" w:themeColor="text1"/>
                <w:sz w:val="15"/>
                <w:szCs w:val="15"/>
                <w:highlight w:val="none"/>
                <w14:textFill>
                  <w14:solidFill>
                    <w14:schemeClr w14:val="tx1"/>
                  </w14:solidFill>
                </w14:textFill>
              </w:rPr>
              <w:t>一条第二款</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责令限期改正，处1</w:t>
            </w:r>
            <w:r>
              <w:rPr>
                <w:rFonts w:asciiTheme="minorEastAsia" w:hAnsiTheme="minorEastAsia" w:eastAsiaTheme="minorEastAsia"/>
                <w:color w:val="000000" w:themeColor="text1"/>
                <w:sz w:val="15"/>
                <w:szCs w:val="15"/>
                <w:highlight w:val="none"/>
                <w14:textFill>
                  <w14:solidFill>
                    <w14:schemeClr w14:val="tx1"/>
                  </w14:solidFill>
                </w14:textFill>
              </w:rPr>
              <w:t>0</w:t>
            </w:r>
            <w:r>
              <w:rPr>
                <w:rFonts w:hint="eastAsia" w:asciiTheme="minorEastAsia" w:hAnsiTheme="minorEastAsia" w:eastAsiaTheme="minorEastAsia"/>
                <w:color w:val="000000" w:themeColor="text1"/>
                <w:sz w:val="15"/>
                <w:szCs w:val="15"/>
                <w:highlight w:val="none"/>
                <w14:textFill>
                  <w14:solidFill>
                    <w14:schemeClr w14:val="tx1"/>
                  </w14:solidFill>
                </w14:textFill>
              </w:rPr>
              <w:t>万元以上10</w:t>
            </w:r>
            <w:r>
              <w:rPr>
                <w:rFonts w:asciiTheme="minorEastAsia" w:hAnsiTheme="minorEastAsia" w:eastAsiaTheme="minorEastAsia"/>
                <w:color w:val="000000" w:themeColor="text1"/>
                <w:sz w:val="15"/>
                <w:szCs w:val="15"/>
                <w:highlight w:val="none"/>
                <w14:textFill>
                  <w14:solidFill>
                    <w14:schemeClr w14:val="tx1"/>
                  </w14:solidFill>
                </w14:textFill>
              </w:rPr>
              <w:t>0</w:t>
            </w:r>
            <w:r>
              <w:rPr>
                <w:rFonts w:hint="eastAsia" w:asciiTheme="minorEastAsia" w:hAnsiTheme="minorEastAsia" w:eastAsiaTheme="minorEastAsia"/>
                <w:color w:val="000000" w:themeColor="text1"/>
                <w:sz w:val="15"/>
                <w:szCs w:val="15"/>
                <w:highlight w:val="none"/>
                <w14:textFill>
                  <w14:solidFill>
                    <w14:schemeClr w14:val="tx1"/>
                  </w14:solidFill>
                </w14:textFill>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r>
              <w:rPr>
                <w:rFonts w:asciiTheme="minorEastAsia" w:hAnsiTheme="minorEastAsia" w:eastAsiaTheme="minorEastAsia"/>
                <w:color w:val="000000" w:themeColor="text1"/>
                <w:sz w:val="15"/>
                <w:szCs w:val="15"/>
                <w:highlight w:val="none"/>
                <w14:textFill>
                  <w14:solidFill>
                    <w14:schemeClr w14:val="tx1"/>
                  </w14:solidFill>
                </w14:textFill>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hint="eastAsia" w:cs="宋体" w:asciiTheme="minorEastAsia" w:hAnsiTheme="minorEastAsia" w:eastAsiaTheme="minorEastAsia"/>
                <w:b/>
                <w:bCs/>
                <w:color w:val="000000" w:themeColor="text1"/>
                <w:kern w:val="0"/>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未</w:t>
            </w:r>
            <w:r>
              <w:rPr>
                <w:rFonts w:asciiTheme="minorEastAsia" w:hAnsiTheme="minorEastAsia" w:eastAsiaTheme="minorEastAsia"/>
                <w:color w:val="000000" w:themeColor="text1"/>
                <w:sz w:val="15"/>
                <w:szCs w:val="15"/>
                <w:highlight w:val="none"/>
                <w14:textFill>
                  <w14:solidFill>
                    <w14:schemeClr w14:val="tx1"/>
                  </w14:solidFill>
                </w14:textFill>
              </w:rPr>
              <w:t>按规定利用或</w:t>
            </w:r>
            <w:r>
              <w:rPr>
                <w:rFonts w:hint="eastAsia" w:asciiTheme="minorEastAsia" w:hAnsiTheme="minorEastAsia" w:eastAsiaTheme="minorEastAsia"/>
                <w:color w:val="000000" w:themeColor="text1"/>
                <w:sz w:val="15"/>
                <w:szCs w:val="15"/>
                <w:highlight w:val="none"/>
                <w14:textFill>
                  <w14:solidFill>
                    <w14:schemeClr w14:val="tx1"/>
                  </w14:solidFill>
                </w14:textFill>
              </w:rPr>
              <w:t>处置</w:t>
            </w:r>
            <w:r>
              <w:rPr>
                <w:rFonts w:asciiTheme="minorEastAsia" w:hAnsiTheme="minorEastAsia" w:eastAsiaTheme="minorEastAsia"/>
                <w:color w:val="000000" w:themeColor="text1"/>
                <w:sz w:val="15"/>
                <w:szCs w:val="15"/>
                <w:highlight w:val="none"/>
                <w14:textFill>
                  <w14:solidFill>
                    <w14:schemeClr w14:val="tx1"/>
                  </w14:solidFill>
                </w14:textFill>
              </w:rPr>
              <w:t>的</w:t>
            </w:r>
            <w:r>
              <w:rPr>
                <w:rFonts w:hint="eastAsia" w:asciiTheme="minorEastAsia" w:hAnsiTheme="minorEastAsia" w:eastAsiaTheme="minorEastAsia"/>
                <w:color w:val="000000" w:themeColor="text1"/>
                <w:sz w:val="15"/>
                <w:szCs w:val="15"/>
                <w:highlight w:val="none"/>
                <w14:textFill>
                  <w14:solidFill>
                    <w14:schemeClr w14:val="tx1"/>
                  </w14:solidFill>
                </w14:textFill>
              </w:rPr>
              <w:t>建筑</w:t>
            </w:r>
            <w:r>
              <w:rPr>
                <w:rFonts w:asciiTheme="minorEastAsia" w:hAnsiTheme="minorEastAsia" w:eastAsiaTheme="minorEastAsia"/>
                <w:color w:val="000000" w:themeColor="text1"/>
                <w:sz w:val="15"/>
                <w:szCs w:val="15"/>
                <w:highlight w:val="none"/>
                <w14:textFill>
                  <w14:solidFill>
                    <w14:schemeClr w14:val="tx1"/>
                  </w14:solidFill>
                </w14:textFill>
              </w:rPr>
              <w:t>垃圾占地面积</w:t>
            </w:r>
            <w:r>
              <w:rPr>
                <w:rFonts w:hint="eastAsia" w:asciiTheme="minorEastAsia" w:hAnsiTheme="minorEastAsia" w:eastAsiaTheme="minorEastAsia"/>
                <w:color w:val="000000" w:themeColor="text1"/>
                <w:sz w:val="15"/>
                <w:szCs w:val="15"/>
                <w:highlight w:val="none"/>
                <w14:textFill>
                  <w14:solidFill>
                    <w14:schemeClr w14:val="tx1"/>
                  </w14:solidFill>
                </w14:textFill>
              </w:rPr>
              <w:t>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以下</w:t>
            </w:r>
            <w:r>
              <w:rPr>
                <w:rFonts w:asciiTheme="minorEastAsia" w:hAnsiTheme="minorEastAsia" w:eastAsiaTheme="minorEastAsia"/>
                <w:color w:val="000000" w:themeColor="text1"/>
                <w:sz w:val="15"/>
                <w:szCs w:val="15"/>
                <w:highlight w:val="none"/>
                <w14:textFill>
                  <w14:solidFill>
                    <w14:schemeClr w14:val="tx1"/>
                  </w14:solidFill>
                </w14:textFill>
              </w:rPr>
              <w:t>的，系数为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0；11—15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1；16</w:t>
            </w:r>
            <w:r>
              <w:rPr>
                <w:rFonts w:asciiTheme="minorEastAsia" w:hAnsiTheme="minorEastAsia" w:eastAsiaTheme="minorEastAsia"/>
                <w:color w:val="000000" w:themeColor="text1"/>
                <w:sz w:val="15"/>
                <w:szCs w:val="15"/>
                <w:highlight w:val="none"/>
                <w14:textFill>
                  <w14:solidFill>
                    <w14:schemeClr w14:val="tx1"/>
                  </w14:solidFill>
                </w14:textFill>
              </w:rPr>
              <w:t>-20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w:t>
            </w:r>
            <w:r>
              <w:rPr>
                <w:rFonts w:asciiTheme="minorEastAsia" w:hAnsiTheme="minorEastAsia" w:eastAsiaTheme="minorEastAsia"/>
                <w:color w:val="000000" w:themeColor="text1"/>
                <w:sz w:val="15"/>
                <w:szCs w:val="15"/>
                <w:highlight w:val="none"/>
                <w14:textFill>
                  <w14:solidFill>
                    <w14:schemeClr w14:val="tx1"/>
                  </w14:solidFill>
                </w14:textFill>
              </w:rPr>
              <w:t>为</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w:t>
            </w:r>
            <w:r>
              <w:rPr>
                <w:rFonts w:asciiTheme="minorEastAsia" w:hAnsiTheme="minorEastAsia" w:eastAsiaTheme="minorEastAsia"/>
                <w:color w:val="000000" w:themeColor="text1"/>
                <w:sz w:val="15"/>
                <w:szCs w:val="15"/>
                <w:highlight w:val="none"/>
                <w14:textFill>
                  <w14:solidFill>
                    <w14:schemeClr w14:val="tx1"/>
                  </w14:solidFill>
                </w14:textFill>
              </w:rPr>
              <w:t>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2.未按规定进行资源化利用或者处置建筑垃圾数量较大的、</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严重污染环境</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或者</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造成其他严重社会影响的，系数5-9。</w:t>
            </w:r>
          </w:p>
        </w:tc>
        <w:tc>
          <w:tcPr>
            <w:tcW w:w="1785"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w:t>
            </w:r>
            <w:r>
              <w:rPr>
                <w:rFonts w:asciiTheme="minorEastAsia" w:hAnsiTheme="minorEastAsia" w:eastAsiaTheme="minorEastAsia"/>
                <w:color w:val="000000" w:themeColor="text1"/>
                <w:sz w:val="15"/>
                <w:szCs w:val="15"/>
                <w:highlight w:val="none"/>
                <w14:textFill>
                  <w14:solidFill>
                    <w14:schemeClr w14:val="tx1"/>
                  </w14:solidFill>
                </w14:textFill>
              </w:rPr>
              <w:t>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施工单位未按照规定对现场贮存的建筑垃圾采取扬尘防治措施</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第二十条第二款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第四十</w:t>
            </w:r>
            <w:r>
              <w:rPr>
                <w:rFonts w:asciiTheme="minorEastAsia" w:hAnsiTheme="minorEastAsia" w:eastAsiaTheme="minorEastAsia"/>
                <w:color w:val="000000" w:themeColor="text1"/>
                <w:sz w:val="15"/>
                <w:szCs w:val="15"/>
                <w:highlight w:val="none"/>
                <w14:textFill>
                  <w14:solidFill>
                    <w14:schemeClr w14:val="tx1"/>
                  </w14:solidFill>
                </w14:textFill>
              </w:rPr>
              <w:t>一条第二款</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numPr>
                <w:ilvl w:val="0"/>
                <w:numId w:val="0"/>
              </w:num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造成尘土飞扬，严重污染环境的，系数为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w:t>
            </w:r>
            <w:r>
              <w:rPr>
                <w:rFonts w:hint="eastAsia" w:asciiTheme="minorEastAsia" w:hAnsiTheme="minorEastAsia" w:eastAsiaTheme="minorEastAsia"/>
                <w:color w:val="000000" w:themeColor="text1"/>
                <w:sz w:val="15"/>
                <w:szCs w:val="15"/>
                <w:highlight w:val="none"/>
                <w14:textFill>
                  <w14:solidFill>
                    <w14:schemeClr w14:val="tx1"/>
                  </w14:solidFill>
                </w14:textFill>
              </w:rPr>
              <w:t>9。</w:t>
            </w:r>
          </w:p>
        </w:tc>
        <w:tc>
          <w:tcPr>
            <w:tcW w:w="1785"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24</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未按照规定建立台账并如实报告建筑垃圾处置情况</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w:t>
            </w:r>
            <w:r>
              <w:rPr>
                <w:rFonts w:asciiTheme="minorEastAsia" w:hAnsiTheme="minorEastAsia" w:eastAsiaTheme="minorEastAsia"/>
                <w:color w:val="000000" w:themeColor="text1"/>
                <w:sz w:val="15"/>
                <w:szCs w:val="15"/>
                <w:highlight w:val="none"/>
                <w14:textFill>
                  <w14:solidFill>
                    <w14:schemeClr w14:val="tx1"/>
                  </w14:solidFill>
                </w14:textFill>
              </w:rPr>
              <w:t>：第二十七条</w:t>
            </w:r>
          </w:p>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w:t>
            </w:r>
            <w:r>
              <w:rPr>
                <w:rFonts w:asciiTheme="minorEastAsia" w:hAnsiTheme="minorEastAsia" w:eastAsiaTheme="minorEastAsia"/>
                <w:color w:val="000000" w:themeColor="text1"/>
                <w:sz w:val="15"/>
                <w:szCs w:val="15"/>
                <w:highlight w:val="none"/>
                <w14:textFill>
                  <w14:solidFill>
                    <w14:schemeClr w14:val="tx1"/>
                  </w14:solidFill>
                </w14:textFill>
              </w:rPr>
              <w:t>条款：</w:t>
            </w:r>
            <w:r>
              <w:rPr>
                <w:rFonts w:hint="eastAsia" w:asciiTheme="minorEastAsia" w:hAnsiTheme="minorEastAsia" w:eastAsiaTheme="minorEastAsia"/>
                <w:color w:val="000000" w:themeColor="text1"/>
                <w:sz w:val="15"/>
                <w:szCs w:val="15"/>
                <w:highlight w:val="none"/>
                <w14:textFill>
                  <w14:solidFill>
                    <w14:schemeClr w14:val="tx1"/>
                  </w14:solidFill>
                </w14:textFill>
              </w:rPr>
              <w:t>第</w:t>
            </w:r>
            <w:r>
              <w:rPr>
                <w:rFonts w:asciiTheme="minorEastAsia" w:hAnsiTheme="minorEastAsia" w:eastAsiaTheme="minorEastAsia"/>
                <w:color w:val="000000" w:themeColor="text1"/>
                <w:sz w:val="15"/>
                <w:szCs w:val="15"/>
                <w:highlight w:val="none"/>
                <w14:textFill>
                  <w14:solidFill>
                    <w14:schemeClr w14:val="tx1"/>
                  </w14:solidFill>
                </w14:textFill>
              </w:rPr>
              <w:t>四十三条</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1.已记录</w:t>
            </w:r>
            <w:r>
              <w:rPr>
                <w:rFonts w:asciiTheme="minorEastAsia" w:hAnsiTheme="minorEastAsia" w:eastAsiaTheme="minorEastAsia"/>
                <w:color w:val="000000" w:themeColor="text1"/>
                <w:sz w:val="15"/>
                <w:szCs w:val="15"/>
                <w:highlight w:val="none"/>
                <w14:textFill>
                  <w14:solidFill>
                    <w14:schemeClr w14:val="tx1"/>
                  </w14:solidFill>
                </w14:textFill>
              </w:rPr>
              <w:t>台账而记录内容不完整的，系数为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0</w:t>
            </w:r>
            <w:r>
              <w:rPr>
                <w:rFonts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；2.未建立台账的</w:t>
            </w:r>
            <w:r>
              <w:rPr>
                <w:rFonts w:asciiTheme="minorEastAsia" w:hAnsiTheme="minorEastAsia" w:eastAsiaTheme="minorEastAsia"/>
                <w:color w:val="000000" w:themeColor="text1"/>
                <w:sz w:val="15"/>
                <w:szCs w:val="15"/>
                <w:highlight w:val="none"/>
                <w14:textFill>
                  <w14:solidFill>
                    <w14:schemeClr w14:val="tx1"/>
                  </w14:solidFill>
                </w14:textFill>
              </w:rPr>
              <w:t>或者台账弄虚作假的，系数为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3</w:t>
            </w:r>
            <w:r>
              <w:rPr>
                <w:rFonts w:asciiTheme="minorEastAsia" w:hAnsiTheme="minorEastAsia" w:eastAsiaTheme="minorEastAsia"/>
                <w:color w:val="000000" w:themeColor="text1"/>
                <w:sz w:val="15"/>
                <w:szCs w:val="15"/>
                <w:highlight w:val="none"/>
                <w14:textFill>
                  <w14:solidFill>
                    <w14:schemeClr w14:val="tx1"/>
                  </w14:solidFill>
                </w14:textFill>
              </w:rPr>
              <w:t>-6</w:t>
            </w:r>
            <w:r>
              <w:rPr>
                <w:rFonts w:hint="eastAsia" w:asciiTheme="minorEastAsia" w:hAnsiTheme="minorEastAsia" w:eastAsiaTheme="minorEastAsia"/>
                <w:color w:val="000000" w:themeColor="text1"/>
                <w:sz w:val="15"/>
                <w:szCs w:val="15"/>
                <w:highlight w:val="none"/>
                <w14:textFill>
                  <w14:solidFill>
                    <w14:schemeClr w14:val="tx1"/>
                  </w14:solidFill>
                </w14:textFill>
              </w:rPr>
              <w:t>；3.同时造成</w:t>
            </w:r>
            <w:r>
              <w:rPr>
                <w:rFonts w:asciiTheme="minorEastAsia" w:hAnsiTheme="minorEastAsia" w:eastAsiaTheme="minorEastAsia"/>
                <w:color w:val="000000" w:themeColor="text1"/>
                <w:sz w:val="15"/>
                <w:szCs w:val="15"/>
                <w:highlight w:val="none"/>
                <w14:textFill>
                  <w14:solidFill>
                    <w14:schemeClr w14:val="tx1"/>
                  </w14:solidFill>
                </w14:textFill>
              </w:rPr>
              <w:t>环境秩序严重影响的</w:t>
            </w:r>
            <w:r>
              <w:rPr>
                <w:rFonts w:hint="eastAsia" w:asciiTheme="minorEastAsia" w:hAnsiTheme="minorEastAsia" w:eastAsiaTheme="minorEastAsia"/>
                <w:color w:val="000000" w:themeColor="text1"/>
                <w:sz w:val="15"/>
                <w:szCs w:val="15"/>
                <w:highlight w:val="none"/>
                <w14:textFill>
                  <w14:solidFill>
                    <w14:schemeClr w14:val="tx1"/>
                  </w14:solidFill>
                </w14:textFill>
              </w:rPr>
              <w:t>为7</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numPr>
                <w:ilvl w:val="0"/>
                <w:numId w:val="7"/>
              </w:num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存在下列情形的，可视为“情节严重”：一年内因同类违法行为，受到城管执法机关</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2次</w:t>
            </w:r>
            <w:r>
              <w:rPr>
                <w:rFonts w:hint="eastAsia" w:asciiTheme="minorEastAsia" w:hAnsiTheme="minorEastAsia" w:eastAsiaTheme="minorEastAsia"/>
                <w:color w:val="000000" w:themeColor="text1"/>
                <w:sz w:val="15"/>
                <w:szCs w:val="15"/>
                <w:highlight w:val="none"/>
                <w14:textFill>
                  <w14:solidFill>
                    <w14:schemeClr w14:val="tx1"/>
                  </w14:solidFill>
                </w14:textFill>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 依据</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《北京市人民政府关于进一步相对集中城市管理领域部分行政处罚权的决定》（</w:t>
            </w:r>
            <w:r>
              <w:rPr>
                <w:rFonts w:hint="eastAsia" w:asciiTheme="minorEastAsia" w:hAnsiTheme="minorEastAsia" w:eastAsiaTheme="minorEastAsia"/>
                <w:color w:val="000000" w:themeColor="text1"/>
                <w:sz w:val="15"/>
                <w:szCs w:val="15"/>
                <w:highlight w:val="none"/>
                <w14:textFill>
                  <w14:solidFill>
                    <w14:schemeClr w14:val="tx1"/>
                  </w14:solidFill>
                </w14:textFill>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37" w:name="_Toc110851448"/>
            <w:bookmarkStart w:id="38" w:name="_Toc495418307"/>
            <w:bookmarkStart w:id="39" w:name="_Toc1748480692"/>
            <w:r>
              <w:rPr>
                <w:rFonts w:hint="eastAsia" w:asciiTheme="minorEastAsia" w:hAnsiTheme="minorEastAsia" w:eastAsiaTheme="minorEastAsia"/>
                <w:color w:val="000000" w:themeColor="text1"/>
                <w:sz w:val="21"/>
                <w:szCs w:val="21"/>
                <w:highlight w:val="none"/>
                <w14:textFill>
                  <w14:solidFill>
                    <w14:schemeClr w14:val="tx1"/>
                  </w14:solidFill>
                </w14:textFill>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携犬人未清除户外犬粪便</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40" w:name="_Toc110851449"/>
            <w:bookmarkStart w:id="41" w:name="_Toc986557284"/>
            <w:bookmarkStart w:id="42" w:name="_Toc1377620528"/>
            <w:r>
              <w:rPr>
                <w:rFonts w:hint="eastAsia" w:asciiTheme="minorEastAsia" w:hAnsiTheme="minorEastAsia" w:eastAsiaTheme="minorEastAsia"/>
                <w:color w:val="000000" w:themeColor="text1"/>
                <w:sz w:val="21"/>
                <w:szCs w:val="21"/>
                <w:highlight w:val="none"/>
                <w14:textFill>
                  <w14:solidFill>
                    <w14:schemeClr w14:val="tx1"/>
                  </w14:solidFill>
                </w14:textFill>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在长城保护范围和建设控制地带内设置</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不符合要求</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的标志标牌</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第十二条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第二款；处罚条款：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第十七条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center"/>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造成较大社会影响的，系数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43" w:name="_Toc703776516"/>
            <w:bookmarkStart w:id="44" w:name="_Toc110851450"/>
            <w:bookmarkStart w:id="45" w:name="_Toc39814009"/>
            <w:r>
              <w:rPr>
                <w:rFonts w:hint="eastAsia" w:asciiTheme="minorEastAsia" w:hAnsiTheme="minorEastAsia" w:eastAsiaTheme="minorEastAsia"/>
                <w:color w:val="000000" w:themeColor="text1"/>
                <w:sz w:val="21"/>
                <w:szCs w:val="21"/>
                <w:highlight w:val="none"/>
                <w14:textFill>
                  <w14:solidFill>
                    <w14:schemeClr w14:val="tx1"/>
                  </w14:solidFill>
                </w14:textFill>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任何单位或个人擅自设置、移动、拆除或者损毁、涂改、遮挡保护标志</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造成较大社会影响的，系数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造成较大社会影响的，系数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46" w:name="_Toc110851451"/>
            <w:bookmarkStart w:id="47" w:name="_Toc958675012"/>
            <w:bookmarkStart w:id="48" w:name="_Toc1498766390"/>
            <w:r>
              <w:rPr>
                <w:rFonts w:hint="eastAsia" w:asciiTheme="minorEastAsia" w:hAnsiTheme="minorEastAsia" w:eastAsiaTheme="minorEastAsia"/>
                <w:color w:val="000000" w:themeColor="text1"/>
                <w:sz w:val="21"/>
                <w:szCs w:val="21"/>
                <w:highlight w:val="none"/>
                <w14:textFill>
                  <w14:solidFill>
                    <w14:schemeClr w14:val="tx1"/>
                  </w14:solidFill>
                </w14:textFill>
              </w:rPr>
              <w:t>《北京市架空线管理若干规定》案由</w:t>
            </w:r>
            <w:r>
              <w:rPr>
                <w:rFonts w:asciiTheme="minorEastAsia" w:hAnsiTheme="minorEastAsia" w:eastAsiaTheme="minorEastAsia"/>
                <w:color w:val="000000" w:themeColor="text1"/>
                <w:sz w:val="21"/>
                <w:szCs w:val="21"/>
                <w:highlight w:val="none"/>
                <w14:textFill>
                  <w14:solidFill>
                    <w14:schemeClr w14:val="tx1"/>
                  </w14:solidFill>
                </w14:textFill>
              </w:rPr>
              <w:t>7</w:t>
            </w:r>
            <w:r>
              <w:rPr>
                <w:rFonts w:hint="eastAsia" w:asciiTheme="minorEastAsia" w:hAnsiTheme="minorEastAsia" w:eastAsiaTheme="minorEastAsia"/>
                <w:color w:val="000000" w:themeColor="text1"/>
                <w:sz w:val="21"/>
                <w:szCs w:val="21"/>
                <w:highlight w:val="none"/>
                <w14:textFill>
                  <w14:solidFill>
                    <w14:schemeClr w14:val="tx1"/>
                  </w14:solidFill>
                </w14:textFill>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设置架空线不符合设置架空线行政许可决定</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numPr>
                <w:ilvl w:val="0"/>
                <w:numId w:val="0"/>
              </w:num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对其它管线正常使用造成影响的，系数4；</w:t>
            </w:r>
          </w:p>
          <w:p>
            <w:pPr>
              <w:numPr>
                <w:ilvl w:val="0"/>
                <w:numId w:val="0"/>
              </w:num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影响交通通行，或者造成其它安全隐患的，系数4。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行政许可有效期届满未清除架空线</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每逾期1天，系数1，以此累加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9天及以上的，系数9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罚款数额＝300×（1＋变量系数＋区域系数）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未按要求在架空线的显著位置设置标识信息</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对其它管线正常使用造成影响，或者造成其它安全隐患的，系数4。</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发现架空线存在影响安全或者市容景观情况未</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立即</w:t>
            </w: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处理 </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经责令改正仍未及时处理的，自责改之日起每逾期1天，系数1，以此累加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9天及以上的，系数9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罚款数额＝200×（1＋变量系数＋区域系数）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发现擅自搭挂的线缆，未按要求清除或者报告</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经责令改正仍未及时清除或者报告的，自责改之日起每逾期1天，系数1，以此累加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9天及以上的，系数9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罚款数额＝200×（1＋变量系数＋区域系数）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未及时清除废弃架空线</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经责令改正仍未及时处理的，自责改之日起每逾期1天，系数1，以此累加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9天及以上的，系数9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罚款数额＝300×（1＋变量系数＋区域系数）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未按要求实施架空线埋设入地</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经责令改正，仍未制定入地方案，并及时采取入地措施的，自责改之日起每逾期5天，系数1，以此累加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45天及以上的，系数9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49" w:name="_Toc110851452"/>
            <w:bookmarkStart w:id="50" w:name="_Toc1563678502"/>
            <w:bookmarkStart w:id="51" w:name="_Toc1839556778"/>
            <w:r>
              <w:rPr>
                <w:rFonts w:hint="eastAsia" w:asciiTheme="minorEastAsia" w:hAnsiTheme="minorEastAsia" w:eastAsiaTheme="minorEastAsia"/>
                <w:color w:val="000000" w:themeColor="text1"/>
                <w:sz w:val="21"/>
                <w:szCs w:val="21"/>
                <w:highlight w:val="none"/>
                <w14:textFill>
                  <w14:solidFill>
                    <w14:schemeClr w14:val="tx1"/>
                  </w14:solidFill>
                </w14:textFill>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在城市景观照明中有过度照明等超能耗标准行为</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违反条款：第十九条第二款；处罚条款：　第三十一条,责令限期改正；逾期未改正的，处以1000元以上3万元以下的罚款。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t>1000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1.持续时间较长的，系数1-9；2.造成较大社会影响的，系数10-19；3.造成严重社会影响的，系数20-29。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实施影响城市照明设施正常运行的行为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（个人）</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刻划、涂污照明设施多处，或者严重污损照明设施的，系数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default" w:cs="宋体" w:asciiTheme="minorEastAsia" w:hAnsiTheme="minorEastAsia" w:eastAsiaTheme="minorEastAsia"/>
                <w:color w:val="000000" w:themeColor="text1"/>
                <w:kern w:val="0"/>
                <w:sz w:val="15"/>
                <w:szCs w:val="15"/>
                <w:highlight w:val="none"/>
                <w:lang w:val="en-US"/>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存在其它已严重危害或者影响设施正常运行的行为，系数为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7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strike/>
                <w:dstrike w:val="0"/>
                <w:color w:val="000000" w:themeColor="text1"/>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1000</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1.刻划、涂污照明设施多处，系数1-9；2.严重污损照明设施的，系数10-19；3.存在其它已严重危害或者影响设施正常运行的行为，系数为20-29。</w:t>
            </w:r>
          </w:p>
        </w:tc>
        <w:tc>
          <w:tcPr>
            <w:tcW w:w="1785" w:type="dxa"/>
            <w:shd w:val="clear" w:color="auto" w:fill="auto"/>
            <w:vAlign w:val="center"/>
          </w:tcPr>
          <w:p>
            <w:pPr>
              <w:spacing w:line="27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3"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52" w:name="_Toc275604405"/>
            <w:bookmarkStart w:id="53" w:name="_Toc110851453"/>
            <w:bookmarkStart w:id="54" w:name="_Toc1866286370"/>
            <w:r>
              <w:rPr>
                <w:rFonts w:hint="eastAsia" w:asciiTheme="minorEastAsia" w:hAnsiTheme="minorEastAsia" w:eastAsiaTheme="minorEastAsia"/>
                <w:color w:val="000000" w:themeColor="text1"/>
                <w:sz w:val="21"/>
                <w:szCs w:val="21"/>
                <w:highlight w:val="none"/>
                <w14:textFill>
                  <w14:solidFill>
                    <w14:schemeClr w14:val="tx1"/>
                  </w14:solidFill>
                </w14:textFill>
              </w:rPr>
              <w:t>《北京市</w:t>
            </w:r>
            <w:r>
              <w:rPr>
                <w:rFonts w:asciiTheme="minorEastAsia" w:hAnsiTheme="minorEastAsia" w:eastAsiaTheme="minorEastAsia"/>
                <w:color w:val="000000" w:themeColor="text1"/>
                <w:sz w:val="21"/>
                <w:szCs w:val="21"/>
                <w:highlight w:val="none"/>
                <w14:textFill>
                  <w14:solidFill>
                    <w14:schemeClr w14:val="tx1"/>
                  </w14:solidFill>
                </w14:textFill>
              </w:rPr>
              <w:t>物业管理条例</w:t>
            </w:r>
            <w:r>
              <w:rPr>
                <w:rFonts w:hint="eastAsia" w:asciiTheme="minorEastAsia" w:hAnsiTheme="minorEastAsia" w:eastAsiaTheme="minorEastAsia"/>
                <w:color w:val="000000" w:themeColor="text1"/>
                <w:sz w:val="21"/>
                <w:szCs w:val="21"/>
                <w:highlight w:val="none"/>
                <w14:textFill>
                  <w14:solidFill>
                    <w14:schemeClr w14:val="tx1"/>
                  </w14:solidFill>
                </w14:textFill>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占用、堵塞、封闭其他共用部位（或者损坏其他共用设施设备）</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占用、堵塞、封闭共用部位空间较大、损坏共用设施设备较为严重的，系数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做</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好与本市机动车停车管理法规、规章，以及与消防部门职责分工的衔接。</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7" w:hRule="atLeast"/>
          <w:jc w:val="center"/>
        </w:trPr>
        <w:tc>
          <w:tcPr>
            <w:tcW w:w="94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占用、堵塞、封闭共用部位空间较大、损坏共用设施设备较为严重的，系数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default" w:cs="宋体" w:asciiTheme="minorEastAsia" w:hAnsiTheme="minorEastAsia" w:eastAsiaTheme="minorEastAsia"/>
                <w:color w:val="000000" w:themeColor="text1"/>
                <w:kern w:val="0"/>
                <w:sz w:val="15"/>
                <w:szCs w:val="15"/>
                <w:highlight w:val="none"/>
                <w:lang w:val="en" w:eastAsia="zh-CN"/>
                <w14:textFill>
                  <w14:solidFill>
                    <w14:schemeClr w14:val="tx1"/>
                  </w14:solidFill>
                </w14:textFill>
              </w:rPr>
              <w:t>.5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2"/>
              <w:bidi w:val="0"/>
              <w:rPr>
                <w:rFonts w:ascii="黑体" w:hAnsi="黑体" w:eastAsia="黑体" w:cs="仿宋_GB2312"/>
                <w:color w:val="000000" w:themeColor="text1"/>
                <w:highlight w:val="none"/>
                <w:lang w:val="en"/>
                <w14:textFill>
                  <w14:solidFill>
                    <w14:schemeClr w14:val="tx1"/>
                  </w14:solidFill>
                </w14:textFill>
              </w:rPr>
            </w:pPr>
            <w:bookmarkStart w:id="55" w:name="_Toc435705406"/>
            <w:bookmarkStart w:id="56" w:name="_Toc1709548156"/>
            <w:r>
              <w:rPr>
                <w:rFonts w:hint="eastAsia" w:ascii="黑体" w:hAnsi="黑体" w:eastAsia="黑体" w:cs="黑体"/>
                <w:b w:val="0"/>
                <w:bCs w:val="0"/>
                <w:color w:val="000000" w:themeColor="text1"/>
                <w:highlight w:val="none"/>
                <w14:textFill>
                  <w14:solidFill>
                    <w14:schemeClr w14:val="tx1"/>
                  </w14:solidFill>
                </w14:textFill>
              </w:rPr>
              <w:t>市政管理方面</w:t>
            </w:r>
            <w:bookmarkEnd w:id="55"/>
            <w:bookmarkEnd w:id="56"/>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000000" w:themeColor="text1"/>
                <w:szCs w:val="15"/>
                <w:highlight w:val="none"/>
                <w:lang w:val="en"/>
                <w14:textFill>
                  <w14:solidFill>
                    <w14:schemeClr w14:val="tx1"/>
                  </w14:solidFill>
                </w14:textFill>
              </w:rPr>
            </w:pPr>
            <w:bookmarkStart w:id="57" w:name="_Toc1018838380"/>
            <w:bookmarkStart w:id="58" w:name="_Toc1607059839"/>
            <w:r>
              <w:rPr>
                <w:rFonts w:hint="eastAsia"/>
                <w:color w:val="000000" w:themeColor="text1"/>
                <w:sz w:val="21"/>
                <w:szCs w:val="21"/>
                <w:highlight w:val="none"/>
                <w:lang w:val="en-US" w:eastAsia="zh-CN"/>
                <w14:textFill>
                  <w14:solidFill>
                    <w14:schemeClr w14:val="tx1"/>
                  </w14:solidFill>
                </w14:textFill>
              </w:rPr>
              <w:t>《北京市无障碍环境建设条例》案由6</w:t>
            </w:r>
            <w:bookmarkEnd w:id="57"/>
            <w:r>
              <w:rPr>
                <w:rFonts w:hint="eastAsia"/>
                <w:color w:val="000000" w:themeColor="text1"/>
                <w:sz w:val="21"/>
                <w:szCs w:val="21"/>
                <w:highlight w:val="none"/>
                <w:lang w:val="en-US" w:eastAsia="zh-CN"/>
                <w14:textFill>
                  <w14:solidFill>
                    <w14:schemeClr w14:val="tx1"/>
                  </w14:solidFill>
                </w14:textFill>
              </w:rPr>
              <w:t>项</w:t>
            </w:r>
            <w:bookmarkEnd w:id="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0"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城市道路范围内</w:t>
            </w: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无障碍设施</w:t>
            </w: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管理责任人未履行维护管理责任</w:t>
            </w:r>
          </w:p>
        </w:tc>
        <w:tc>
          <w:tcPr>
            <w:tcW w:w="2789" w:type="dxa"/>
            <w:shd w:val="clear" w:color="auto" w:fill="auto"/>
            <w:vAlign w:val="center"/>
          </w:tcPr>
          <w:p>
            <w:pPr>
              <w:spacing w:line="232" w:lineRule="exact"/>
              <w:textAlignment w:val="cente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同时违反第十四条第一款规定中两项的，系数为4；同时违反三项及三项以上的，系数为9。</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罚款数额=3000×（1+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50" w:lineRule="exact"/>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城市道路范围内</w:t>
            </w: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无障碍设施</w:t>
            </w: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管理责任人未在限定的时间内完成整改</w:t>
            </w:r>
          </w:p>
        </w:tc>
        <w:tc>
          <w:tcPr>
            <w:tcW w:w="2789" w:type="dxa"/>
            <w:shd w:val="clear" w:color="auto" w:fill="auto"/>
            <w:vAlign w:val="center"/>
          </w:tcPr>
          <w:p>
            <w:pPr>
              <w:spacing w:line="250" w:lineRule="exact"/>
              <w:textAlignment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违反条款：第十五条第一款、第二款</w:t>
            </w: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（需根据实际发生的违法行为选择）</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w:t>
            </w:r>
          </w:p>
          <w:p>
            <w:pPr>
              <w:spacing w:line="250" w:lineRule="exact"/>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造成行人伤亡或其它事故的，系数1。</w:t>
            </w:r>
          </w:p>
        </w:tc>
        <w:tc>
          <w:tcPr>
            <w:tcW w:w="1785" w:type="dxa"/>
            <w:shd w:val="clear" w:color="auto" w:fill="auto"/>
            <w:vAlign w:val="center"/>
          </w:tcPr>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罚款数额=无障碍设施工程造价款×（1+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1"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公共停车场</w:t>
            </w: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擅自改变无障碍停车位用途</w:t>
            </w:r>
          </w:p>
        </w:tc>
        <w:tc>
          <w:tcPr>
            <w:tcW w:w="2789" w:type="dxa"/>
            <w:shd w:val="clear" w:color="auto" w:fill="auto"/>
            <w:vAlign w:val="center"/>
          </w:tcPr>
          <w:p>
            <w:pPr>
              <w:spacing w:line="250" w:lineRule="exact"/>
              <w:rPr>
                <w:rFonts w:cs="仿宋_GB2312" w:asciiTheme="minorEastAsia" w:hAnsiTheme="minorEastAsia" w:eastAsiaTheme="minorEastAsia"/>
                <w:color w:val="000000" w:themeColor="text1"/>
                <w:sz w:val="15"/>
                <w:szCs w:val="15"/>
                <w:highlight w:val="none"/>
                <w:lang w:val="zh-CN"/>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w:t>
            </w: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第十七条第一款；</w:t>
            </w:r>
          </w:p>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处罚条款：</w:t>
            </w: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罚款数额=10000×改变用途</w:t>
            </w: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停车</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泊位数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000000" w:themeColor="text1"/>
                <w:kern w:val="0"/>
                <w:sz w:val="15"/>
                <w:szCs w:val="15"/>
                <w:highlight w:val="none"/>
                <w:lang w:val="en" w:eastAsia="zh-CN"/>
                <w14:textFill>
                  <w14:solidFill>
                    <w14:schemeClr w14:val="tx1"/>
                  </w14:solidFill>
                </w14:textFill>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8"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损毁、侵占或者擅自停止使用道路内无障碍设施</w:t>
            </w:r>
          </w:p>
        </w:tc>
        <w:tc>
          <w:tcPr>
            <w:tcW w:w="2789" w:type="dxa"/>
            <w:shd w:val="clear" w:color="auto" w:fill="auto"/>
            <w:vAlign w:val="center"/>
          </w:tcPr>
          <w:p>
            <w:pPr>
              <w:spacing w:line="250" w:lineRule="exact"/>
              <w:rPr>
                <w:rFonts w:cs="仿宋_GB2312" w:asciiTheme="minorEastAsia" w:hAnsiTheme="minorEastAsia" w:eastAsiaTheme="minorEastAsia"/>
                <w:color w:val="000000" w:themeColor="text1"/>
                <w:sz w:val="15"/>
                <w:szCs w:val="15"/>
                <w:highlight w:val="none"/>
                <w:lang w:val="zh-CN"/>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w:t>
            </w: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第十九条第一款；</w:t>
            </w:r>
          </w:p>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处罚条款：</w:t>
            </w: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1.对通行秩序、市容秩序造成较大影响的，系数4；2.造成行人伤亡或其它事故的，系数9。</w:t>
            </w:r>
          </w:p>
        </w:tc>
        <w:tc>
          <w:tcPr>
            <w:tcW w:w="1785" w:type="dxa"/>
            <w:shd w:val="clear" w:color="auto" w:fill="auto"/>
            <w:vAlign w:val="center"/>
          </w:tcPr>
          <w:p>
            <w:pPr>
              <w:spacing w:line="25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罚款数额＝3000×（1+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2"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2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经批准临时占用道路内无障碍设施的，</w:t>
            </w:r>
            <w:r>
              <w:rPr>
                <w:rFonts w:hint="eastAsia" w:cs="仿宋_GB2312" w:asciiTheme="minorEastAsia" w:hAnsiTheme="minorEastAsia" w:eastAsiaTheme="minorEastAsia"/>
                <w:color w:val="000000" w:themeColor="text1"/>
                <w:sz w:val="15"/>
                <w:szCs w:val="15"/>
                <w:highlight w:val="none"/>
                <w:lang w:val="zh-CN"/>
                <w14:textFill>
                  <w14:solidFill>
                    <w14:schemeClr w14:val="tx1"/>
                  </w14:solidFill>
                </w14:textFill>
              </w:rPr>
              <w:t>未设置护栏、警示标志或者语音提示，或者未采取必要的替代措施</w:t>
            </w: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（需根据实际发生的违法行为选择）</w:t>
            </w:r>
          </w:p>
        </w:tc>
        <w:tc>
          <w:tcPr>
            <w:tcW w:w="2789" w:type="dxa"/>
            <w:shd w:val="clear" w:color="auto" w:fill="auto"/>
            <w:vAlign w:val="center"/>
          </w:tcPr>
          <w:p>
            <w:pPr>
              <w:spacing w:line="220"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违反条款：第十九条第二款；</w:t>
            </w:r>
          </w:p>
          <w:p>
            <w:pPr>
              <w:spacing w:line="22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1.对通行秩序造成较大影响的，系数4；2.造成行人伤亡或其它事故的，系数9。</w:t>
            </w:r>
          </w:p>
        </w:tc>
        <w:tc>
          <w:tcPr>
            <w:tcW w:w="1785" w:type="dxa"/>
            <w:shd w:val="clear" w:color="auto" w:fill="auto"/>
            <w:vAlign w:val="center"/>
          </w:tcPr>
          <w:p>
            <w:pPr>
              <w:spacing w:line="22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罚款数额＝3000×（1+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strike/>
                <w:dstrike w:val="0"/>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20"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街道</w:t>
            </w:r>
          </w:p>
          <w:p>
            <w:pPr>
              <w:spacing w:line="22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2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经批准临时占用道路内无障碍设施占用期届满，未及时恢复无障碍设施功能</w:t>
            </w:r>
          </w:p>
        </w:tc>
        <w:tc>
          <w:tcPr>
            <w:tcW w:w="2789" w:type="dxa"/>
            <w:shd w:val="clear" w:color="auto" w:fill="auto"/>
            <w:vAlign w:val="center"/>
          </w:tcPr>
          <w:p>
            <w:pPr>
              <w:spacing w:line="220"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违反条款：第十九条第二款；</w:t>
            </w:r>
          </w:p>
          <w:p>
            <w:pPr>
              <w:spacing w:line="22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对通行秩序、市容秩序造成较大影响的，或者造成行人伤亡或其它事故的，系数1。</w:t>
            </w:r>
          </w:p>
        </w:tc>
        <w:tc>
          <w:tcPr>
            <w:tcW w:w="1785" w:type="dxa"/>
            <w:shd w:val="clear" w:color="auto" w:fill="auto"/>
            <w:vAlign w:val="center"/>
          </w:tcPr>
          <w:p>
            <w:pPr>
              <w:spacing w:line="22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罚款数额＝恢复无障碍设施功能所需的工程造价×（1+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20"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20"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街道</w:t>
            </w:r>
          </w:p>
          <w:p>
            <w:pPr>
              <w:spacing w:line="220"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pPr>
              <w:pStyle w:val="3"/>
              <w:bidi w:val="0"/>
              <w:jc w:val="center"/>
              <w:rPr>
                <w:rFonts w:hint="default" w:ascii="宋体" w:hAnsi="宋体" w:eastAsia="宋体" w:cs="宋体"/>
                <w:color w:val="000000" w:themeColor="text1"/>
                <w:sz w:val="21"/>
                <w:szCs w:val="21"/>
                <w:highlight w:val="none"/>
                <w:lang w:val="en-US"/>
                <w14:textFill>
                  <w14:solidFill>
                    <w14:schemeClr w14:val="tx1"/>
                  </w14:solidFill>
                </w14:textFill>
              </w:rPr>
            </w:pPr>
            <w:bookmarkStart w:id="59" w:name="_Toc175167693"/>
            <w:bookmarkStart w:id="60" w:name="_Toc1038902727"/>
            <w:r>
              <w:rPr>
                <w:rFonts w:hint="eastAsia" w:ascii="宋体" w:hAnsi="宋体" w:eastAsia="宋体" w:cs="宋体"/>
                <w:color w:val="000000" w:themeColor="text1"/>
                <w:sz w:val="21"/>
                <w:szCs w:val="21"/>
                <w:highlight w:val="none"/>
                <w:lang w:val="en-US" w:eastAsia="zh-CN"/>
                <w14:textFill>
                  <w14:solidFill>
                    <w14:schemeClr w14:val="tx1"/>
                  </w14:solidFill>
                </w14:textFill>
              </w:rPr>
              <w:t>《中华人民共和国无障碍环境建设法》案由2项</w:t>
            </w:r>
            <w:bookmarkEnd w:id="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lang w:val="en"/>
                <w14:textFill>
                  <w14:solidFill>
                    <w14:schemeClr w14:val="tx1"/>
                  </w14:solidFill>
                </w14:textFill>
              </w:rPr>
              <w:t>(</w:t>
            </w:r>
            <w:r>
              <w:rPr>
                <w:rFonts w:hint="eastAsia" w:ascii="宋体" w:hAnsi="宋体" w:eastAsia="宋体" w:cs="仿宋_GB2312"/>
                <w:color w:val="000000" w:themeColor="text1"/>
                <w:sz w:val="15"/>
                <w:szCs w:val="15"/>
                <w:highlight w:val="none"/>
                <w14:textFill>
                  <w14:solidFill>
                    <w14:schemeClr w14:val="tx1"/>
                  </w14:solidFill>
                </w14:textFill>
              </w:rPr>
              <w:t>城市道路范围内</w:t>
            </w:r>
            <w:r>
              <w:rPr>
                <w:rFonts w:hint="eastAsia" w:ascii="宋体" w:hAnsi="宋体" w:eastAsia="宋体" w:cs="仿宋_GB2312"/>
                <w:color w:val="000000" w:themeColor="text1"/>
                <w:sz w:val="15"/>
                <w:szCs w:val="15"/>
                <w:highlight w:val="none"/>
                <w:lang w:val="en"/>
                <w14:textFill>
                  <w14:solidFill>
                    <w14:schemeClr w14:val="tx1"/>
                  </w14:solidFill>
                </w14:textFill>
              </w:rPr>
              <w:t>)</w:t>
            </w:r>
            <w:r>
              <w:rPr>
                <w:rFonts w:hint="eastAsia" w:ascii="宋体" w:hAnsi="宋体" w:eastAsia="宋体" w:cs="仿宋_GB2312"/>
                <w:color w:val="000000" w:themeColor="text1"/>
                <w:sz w:val="15"/>
                <w:szCs w:val="15"/>
                <w:highlight w:val="none"/>
                <w14:textFill>
                  <w14:solidFill>
                    <w14:schemeClr w14:val="tx1"/>
                  </w14:solidFill>
                </w14:textFill>
              </w:rPr>
              <w:t>无障碍设施</w:t>
            </w:r>
            <w:r>
              <w:rPr>
                <w:rFonts w:hint="eastAsia" w:ascii="宋体" w:hAnsi="宋体" w:eastAsia="宋体" w:cs="仿宋_GB2312"/>
                <w:color w:val="000000" w:themeColor="text1"/>
                <w:sz w:val="15"/>
                <w:szCs w:val="15"/>
                <w:highlight w:val="none"/>
                <w:lang w:val="zh-CN"/>
                <w14:textFill>
                  <w14:solidFill>
                    <w14:schemeClr w14:val="tx1"/>
                  </w14:solidFill>
                </w14:textFill>
              </w:rPr>
              <w:t>责任人不履行维护管理责任</w:t>
            </w:r>
          </w:p>
        </w:tc>
        <w:tc>
          <w:tcPr>
            <w:tcW w:w="2789" w:type="dxa"/>
            <w:vMerge w:val="restart"/>
            <w:shd w:val="clear" w:color="auto" w:fill="auto"/>
            <w:vAlign w:val="center"/>
          </w:tcPr>
          <w:p>
            <w:pPr>
              <w:spacing w:line="232" w:lineRule="exact"/>
              <w:textAlignment w:val="center"/>
              <w:rPr>
                <w:rFonts w:ascii="宋体" w:hAnsi="宋体" w:eastAsia="宋体" w:cs="仿宋_GB2312"/>
                <w:color w:val="000000" w:themeColor="text1"/>
                <w:sz w:val="15"/>
                <w:szCs w:val="15"/>
                <w:highlight w:val="none"/>
                <w:lang w:val="en"/>
                <w14:textFill>
                  <w14:solidFill>
                    <w14:schemeClr w14:val="tx1"/>
                  </w14:solidFill>
                </w14:textFill>
              </w:rPr>
            </w:pPr>
            <w:r>
              <w:rPr>
                <w:rFonts w:hint="eastAsia" w:ascii="宋体" w:hAnsi="宋体" w:eastAsia="宋体" w:cs="仿宋_GB2312"/>
                <w:color w:val="000000" w:themeColor="text1"/>
                <w:sz w:val="15"/>
                <w:szCs w:val="15"/>
                <w:highlight w:val="none"/>
                <w:lang w:eastAsia="zh-CN"/>
                <w14:textFill>
                  <w14:solidFill>
                    <w14:schemeClr w14:val="tx1"/>
                  </w14:solidFill>
                </w14:textFill>
              </w:rPr>
              <w:t>违反条款：第二十六条第一款</w:t>
            </w:r>
            <w:r>
              <w:rPr>
                <w:rFonts w:hint="eastAsia" w:ascii="宋体" w:hAnsi="宋体" w:eastAsia="宋体" w:cs="仿宋_GB2312"/>
                <w:color w:val="000000" w:themeColor="text1"/>
                <w:sz w:val="15"/>
                <w:szCs w:val="15"/>
                <w:highlight w:val="none"/>
                <w:lang w:val="en"/>
                <w14:textFill>
                  <w14:solidFill>
                    <w14:schemeClr w14:val="tx1"/>
                  </w14:solidFill>
                </w14:textFill>
              </w:rPr>
              <w:t>第（一）项、第（二）项、第（三）项、第（四）项、（需根据实际发生的违法行为选择）；</w:t>
            </w:r>
          </w:p>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lang w:eastAsia="zh-CN"/>
                <w14:textFill>
                  <w14:solidFill>
                    <w14:schemeClr w14:val="tx1"/>
                  </w14:solidFill>
                </w14:textFill>
              </w:rPr>
              <w:t>；</w:t>
            </w:r>
            <w:r>
              <w:rPr>
                <w:rFonts w:hint="eastAsia" w:ascii="宋体" w:hAnsi="宋体" w:eastAsia="宋体" w:cs="仿宋_GB2312"/>
                <w:color w:val="000000" w:themeColor="text1"/>
                <w:sz w:val="15"/>
                <w:szCs w:val="15"/>
                <w:highlight w:val="none"/>
                <w14:textFill>
                  <w14:solidFill>
                    <w14:schemeClr w14:val="tx1"/>
                  </w14:solidFill>
                </w14:textFill>
              </w:rPr>
              <w:t>处罚条款：</w:t>
            </w:r>
            <w:r>
              <w:rPr>
                <w:rFonts w:hint="eastAsia" w:ascii="宋体" w:hAnsi="宋体" w:eastAsia="宋体" w:cs="仿宋_GB2312"/>
                <w:color w:val="000000" w:themeColor="text1"/>
                <w:sz w:val="15"/>
                <w:szCs w:val="15"/>
                <w:highlight w:val="none"/>
                <w:lang w:eastAsia="zh-CN"/>
                <w14:textFill>
                  <w14:solidFill>
                    <w14:schemeClr w14:val="tx1"/>
                  </w14:solidFill>
                </w14:textFill>
              </w:rPr>
              <w:t>六十五条第（一）项</w:t>
            </w:r>
            <w:r>
              <w:rPr>
                <w:rFonts w:hint="eastAsia" w:ascii="宋体" w:hAnsi="宋体" w:eastAsia="宋体" w:cs="仿宋_GB2312"/>
                <w:color w:val="000000" w:themeColor="text1"/>
                <w:sz w:val="15"/>
                <w:szCs w:val="15"/>
                <w:highlight w:val="none"/>
                <w14:textFill>
                  <w14:solidFill>
                    <w14:schemeClr w14:val="tx1"/>
                  </w14:solidFill>
                </w14:textFill>
              </w:rPr>
              <w:t>，责令限期改正；逾期</w:t>
            </w:r>
            <w:r>
              <w:rPr>
                <w:rFonts w:hint="eastAsia" w:ascii="宋体" w:hAnsi="宋体" w:eastAsia="宋体" w:cs="仿宋_GB2312"/>
                <w:color w:val="000000" w:themeColor="text1"/>
                <w:sz w:val="15"/>
                <w:szCs w:val="15"/>
                <w:highlight w:val="none"/>
                <w:lang w:eastAsia="zh-CN"/>
                <w14:textFill>
                  <w14:solidFill>
                    <w14:schemeClr w14:val="tx1"/>
                  </w14:solidFill>
                </w14:textFill>
              </w:rPr>
              <w:t>未</w:t>
            </w:r>
            <w:r>
              <w:rPr>
                <w:rFonts w:hint="eastAsia" w:ascii="宋体" w:hAnsi="宋体" w:eastAsia="宋体" w:cs="仿宋_GB2312"/>
                <w:color w:val="000000" w:themeColor="text1"/>
                <w:sz w:val="15"/>
                <w:szCs w:val="15"/>
                <w:highlight w:val="none"/>
                <w14:textFill>
                  <w14:solidFill>
                    <w14:schemeClr w14:val="tx1"/>
                  </w14:solidFill>
                </w14:textFill>
              </w:rPr>
              <w:t>改正的，</w:t>
            </w:r>
            <w:r>
              <w:rPr>
                <w:rFonts w:hint="eastAsia" w:ascii="宋体" w:hAnsi="宋体" w:eastAsia="宋体" w:cs="仿宋_GB2312"/>
                <w:color w:val="000000" w:themeColor="text1"/>
                <w:sz w:val="15"/>
                <w:szCs w:val="15"/>
                <w:highlight w:val="none"/>
                <w:lang w:eastAsia="zh-CN"/>
                <w14:textFill>
                  <w14:solidFill>
                    <w14:schemeClr w14:val="tx1"/>
                  </w14:solidFill>
                </w14:textFill>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pP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10000</w:t>
            </w:r>
          </w:p>
          <w:p>
            <w:pPr>
              <w:spacing w:line="22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kern w:val="0"/>
                <w:sz w:val="15"/>
                <w:szCs w:val="15"/>
                <w:highlight w:val="none"/>
                <w14:textFill>
                  <w14:solidFill>
                    <w14:schemeClr w14:val="tx1"/>
                  </w14:solidFill>
                </w14:textFill>
              </w:rPr>
              <w:t>同时违反第</w:t>
            </w:r>
            <w:r>
              <w:rPr>
                <w:rFonts w:hint="eastAsia" w:ascii="宋体" w:hAnsi="宋体" w:eastAsia="宋体" w:cs="仿宋_GB2312"/>
                <w:color w:val="000000" w:themeColor="text1"/>
                <w:kern w:val="0"/>
                <w:sz w:val="15"/>
                <w:szCs w:val="15"/>
                <w:highlight w:val="none"/>
                <w:lang w:eastAsia="zh-CN"/>
                <w14:textFill>
                  <w14:solidFill>
                    <w14:schemeClr w14:val="tx1"/>
                  </w14:solidFill>
                </w14:textFill>
              </w:rPr>
              <w:t>二十六</w:t>
            </w:r>
            <w:r>
              <w:rPr>
                <w:rFonts w:hint="eastAsia" w:ascii="宋体" w:hAnsi="宋体" w:eastAsia="宋体" w:cs="仿宋_GB2312"/>
                <w:color w:val="000000" w:themeColor="text1"/>
                <w:kern w:val="0"/>
                <w:sz w:val="15"/>
                <w:szCs w:val="15"/>
                <w:highlight w:val="none"/>
                <w14:textFill>
                  <w14:solidFill>
                    <w14:schemeClr w14:val="tx1"/>
                  </w14:solidFill>
                </w14:textFill>
              </w:rPr>
              <w:t>第一款规定中两项的，系数</w:t>
            </w: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1</w:t>
            </w:r>
            <w:r>
              <w:rPr>
                <w:rFonts w:hint="eastAsia" w:ascii="宋体" w:hAnsi="宋体" w:eastAsia="宋体" w:cs="仿宋_GB2312"/>
                <w:color w:val="000000" w:themeColor="text1"/>
                <w:kern w:val="0"/>
                <w:sz w:val="15"/>
                <w:szCs w:val="15"/>
                <w:highlight w:val="none"/>
                <w14:textFill>
                  <w14:solidFill>
                    <w14:schemeClr w14:val="tx1"/>
                  </w14:solidFill>
                </w14:textFill>
              </w:rPr>
              <w:t>；同时违反三项及三项以上的，系数</w:t>
            </w: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2</w:t>
            </w:r>
            <w:r>
              <w:rPr>
                <w:rFonts w:hint="eastAsia" w:ascii="宋体" w:hAnsi="宋体" w:eastAsia="宋体" w:cs="仿宋_GB2312"/>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14:textFill>
                  <w14:solidFill>
                    <w14:schemeClr w14:val="tx1"/>
                  </w14:solidFill>
                </w14:textFill>
              </w:rPr>
              <w:t>罚款数额=</w:t>
            </w:r>
            <w:r>
              <w:rPr>
                <w:rFonts w:hint="eastAsia" w:ascii="宋体" w:hAnsi="宋体" w:eastAsia="宋体" w:cs="仿宋_GB2312"/>
                <w:color w:val="000000" w:themeColor="text1"/>
                <w:sz w:val="15"/>
                <w:szCs w:val="15"/>
                <w:highlight w:val="none"/>
                <w:lang w:val="en-US" w:eastAsia="zh-CN"/>
                <w14:textFill>
                  <w14:solidFill>
                    <w14:schemeClr w14:val="tx1"/>
                  </w14:solidFill>
                </w14:textFill>
              </w:rPr>
              <w:t>10000</w:t>
            </w:r>
            <w:r>
              <w:rPr>
                <w:rFonts w:hint="eastAsia" w:ascii="宋体" w:hAnsi="宋体" w:eastAsia="宋体" w:cs="仿宋_GB2312"/>
                <w:color w:val="000000" w:themeColor="text1"/>
                <w:sz w:val="15"/>
                <w:szCs w:val="15"/>
                <w:highlight w:val="none"/>
                <w14:textFill>
                  <w14:solidFill>
                    <w14:schemeClr w14:val="tx1"/>
                  </w14:solidFill>
                </w14:textFill>
              </w:rPr>
              <w:t>×（1+</w:t>
            </w:r>
            <w:r>
              <w:rPr>
                <w:rFonts w:hint="eastAsia" w:ascii="宋体" w:hAnsi="宋体" w:eastAsia="宋体" w:cs="仿宋_GB2312"/>
                <w:color w:val="000000" w:themeColor="text1"/>
                <w:sz w:val="15"/>
                <w:szCs w:val="15"/>
                <w:highlight w:val="none"/>
                <w:lang w:eastAsia="zh-CN"/>
                <w14:textFill>
                  <w14:solidFill>
                    <w14:schemeClr w14:val="tx1"/>
                  </w14:solidFill>
                </w14:textFill>
              </w:rPr>
              <w:t>常量</w:t>
            </w:r>
            <w:r>
              <w:rPr>
                <w:rFonts w:hint="eastAsia" w:ascii="宋体" w:hAnsi="宋体" w:eastAsia="宋体" w:cs="仿宋_GB2312"/>
                <w:color w:val="000000" w:themeColor="text1"/>
                <w:sz w:val="15"/>
                <w:szCs w:val="15"/>
                <w:highlight w:val="none"/>
                <w14:textFill>
                  <w14:solidFill>
                    <w14:schemeClr w14:val="tx1"/>
                  </w14:solidFill>
                </w14:textFill>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000000" w:themeColor="text1"/>
                <w:sz w:val="15"/>
                <w:szCs w:val="15"/>
                <w:highlight w:val="none"/>
                <w14:textFill>
                  <w14:solidFill>
                    <w14:schemeClr w14:val="tx1"/>
                  </w14:solidFill>
                </w14:textFill>
              </w:rPr>
            </w:pPr>
          </w:p>
        </w:tc>
        <w:tc>
          <w:tcPr>
            <w:tcW w:w="824" w:type="dxa"/>
            <w:vMerge w:val="restart"/>
            <w:shd w:val="clear" w:color="auto" w:fill="auto"/>
            <w:vAlign w:val="center"/>
          </w:tcPr>
          <w:p>
            <w:pPr>
              <w:spacing w:line="220" w:lineRule="exact"/>
              <w:jc w:val="center"/>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街道</w:t>
            </w:r>
          </w:p>
          <w:p>
            <w:pPr>
              <w:spacing w:line="220"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20" w:lineRule="exact"/>
              <w:jc w:val="cente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pP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100</w:t>
            </w:r>
          </w:p>
          <w:p>
            <w:pPr>
              <w:spacing w:line="22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kern w:val="0"/>
                <w:sz w:val="15"/>
                <w:szCs w:val="15"/>
                <w:highlight w:val="none"/>
                <w14:textFill>
                  <w14:solidFill>
                    <w14:schemeClr w14:val="tx1"/>
                  </w14:solidFill>
                </w14:textFill>
              </w:rPr>
              <w:t>同时违反第</w:t>
            </w:r>
            <w:r>
              <w:rPr>
                <w:rFonts w:hint="eastAsia" w:ascii="宋体" w:hAnsi="宋体" w:eastAsia="宋体" w:cs="仿宋_GB2312"/>
                <w:color w:val="000000" w:themeColor="text1"/>
                <w:kern w:val="0"/>
                <w:sz w:val="15"/>
                <w:szCs w:val="15"/>
                <w:highlight w:val="none"/>
                <w:lang w:eastAsia="zh-CN"/>
                <w14:textFill>
                  <w14:solidFill>
                    <w14:schemeClr w14:val="tx1"/>
                  </w14:solidFill>
                </w14:textFill>
              </w:rPr>
              <w:t>二十六</w:t>
            </w:r>
            <w:r>
              <w:rPr>
                <w:rFonts w:hint="eastAsia" w:ascii="宋体" w:hAnsi="宋体" w:eastAsia="宋体" w:cs="仿宋_GB2312"/>
                <w:color w:val="000000" w:themeColor="text1"/>
                <w:kern w:val="0"/>
                <w:sz w:val="15"/>
                <w:szCs w:val="15"/>
                <w:highlight w:val="none"/>
                <w14:textFill>
                  <w14:solidFill>
                    <w14:schemeClr w14:val="tx1"/>
                  </w14:solidFill>
                </w14:textFill>
              </w:rPr>
              <w:t>第一款规定中两项的，系数</w:t>
            </w: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2</w:t>
            </w:r>
            <w:r>
              <w:rPr>
                <w:rFonts w:hint="eastAsia" w:ascii="宋体" w:hAnsi="宋体" w:eastAsia="宋体" w:cs="仿宋_GB2312"/>
                <w:color w:val="000000" w:themeColor="text1"/>
                <w:kern w:val="0"/>
                <w:sz w:val="15"/>
                <w:szCs w:val="15"/>
                <w:highlight w:val="none"/>
                <w14:textFill>
                  <w14:solidFill>
                    <w14:schemeClr w14:val="tx1"/>
                  </w14:solidFill>
                </w14:textFill>
              </w:rPr>
              <w:t>；同时违反三项及三项以上的，系数</w:t>
            </w: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4</w:t>
            </w:r>
            <w:r>
              <w:rPr>
                <w:rFonts w:hint="eastAsia" w:ascii="宋体" w:hAnsi="宋体" w:eastAsia="宋体" w:cs="仿宋_GB2312"/>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14:textFill>
                  <w14:solidFill>
                    <w14:schemeClr w14:val="tx1"/>
                  </w14:solidFill>
                </w14:textFill>
              </w:rPr>
              <w:t>罚款数额=</w:t>
            </w:r>
            <w:r>
              <w:rPr>
                <w:rFonts w:hint="eastAsia" w:ascii="宋体" w:hAnsi="宋体" w:eastAsia="宋体" w:cs="仿宋_GB2312"/>
                <w:color w:val="000000" w:themeColor="text1"/>
                <w:sz w:val="15"/>
                <w:szCs w:val="15"/>
                <w:highlight w:val="none"/>
                <w:lang w:val="en-US" w:eastAsia="zh-CN"/>
                <w14:textFill>
                  <w14:solidFill>
                    <w14:schemeClr w14:val="tx1"/>
                  </w14:solidFill>
                </w14:textFill>
              </w:rPr>
              <w:t>100</w:t>
            </w:r>
            <w:r>
              <w:rPr>
                <w:rFonts w:hint="eastAsia" w:ascii="宋体" w:hAnsi="宋体" w:eastAsia="宋体" w:cs="仿宋_GB2312"/>
                <w:color w:val="000000" w:themeColor="text1"/>
                <w:sz w:val="15"/>
                <w:szCs w:val="15"/>
                <w:highlight w:val="none"/>
                <w14:textFill>
                  <w14:solidFill>
                    <w14:schemeClr w14:val="tx1"/>
                  </w14:solidFill>
                </w14:textFill>
              </w:rPr>
              <w:t>×（1+</w:t>
            </w:r>
            <w:r>
              <w:rPr>
                <w:rFonts w:hint="eastAsia" w:ascii="宋体" w:hAnsi="宋体" w:eastAsia="宋体" w:cs="仿宋_GB2312"/>
                <w:color w:val="000000" w:themeColor="text1"/>
                <w:sz w:val="15"/>
                <w:szCs w:val="15"/>
                <w:highlight w:val="none"/>
                <w:lang w:eastAsia="zh-CN"/>
                <w14:textFill>
                  <w14:solidFill>
                    <w14:schemeClr w14:val="tx1"/>
                  </w14:solidFill>
                </w14:textFill>
              </w:rPr>
              <w:t>常量</w:t>
            </w:r>
            <w:r>
              <w:rPr>
                <w:rFonts w:hint="eastAsia" w:ascii="宋体" w:hAnsi="宋体" w:eastAsia="宋体" w:cs="仿宋_GB2312"/>
                <w:color w:val="000000" w:themeColor="text1"/>
                <w:sz w:val="15"/>
                <w:szCs w:val="15"/>
                <w:highlight w:val="none"/>
                <w14:textFill>
                  <w14:solidFill>
                    <w14:schemeClr w14:val="tx1"/>
                  </w14:solidFill>
                </w14:textFill>
              </w:rPr>
              <w:t>系数+变量系数+区域系数）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strike/>
                <w:dstrike w:val="0"/>
                <w:color w:val="000000" w:themeColor="text1"/>
                <w:sz w:val="15"/>
                <w:szCs w:val="15"/>
                <w:highlight w:val="none"/>
                <w14:textFill>
                  <w14:solidFill>
                    <w14:schemeClr w14:val="tx1"/>
                  </w14:solidFill>
                </w14:textFill>
              </w:rPr>
            </w:pPr>
          </w:p>
        </w:tc>
        <w:tc>
          <w:tcPr>
            <w:tcW w:w="824" w:type="dxa"/>
            <w:vMerge w:val="continue"/>
            <w:shd w:val="clear" w:color="auto" w:fill="auto"/>
            <w:vAlign w:val="center"/>
          </w:tcPr>
          <w:p>
            <w:pPr>
              <w:spacing w:line="220"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lang w:val="en" w:eastAsia="zh-CN"/>
                <w14:textFill>
                  <w14:solidFill>
                    <w14:schemeClr w14:val="tx1"/>
                  </w14:solidFill>
                </w14:textFill>
              </w:rPr>
              <w:t>非法占用、损坏道路范围内无障碍设施</w:t>
            </w:r>
          </w:p>
        </w:tc>
        <w:tc>
          <w:tcPr>
            <w:tcW w:w="2789" w:type="dxa"/>
            <w:vMerge w:val="restart"/>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lang w:eastAsia="zh-CN"/>
                <w14:textFill>
                  <w14:solidFill>
                    <w14:schemeClr w14:val="tx1"/>
                  </w14:solidFill>
                </w14:textFill>
              </w:rPr>
              <w:t>违反条款：第二十八条第一款；</w:t>
            </w:r>
            <w:r>
              <w:rPr>
                <w:rFonts w:hint="eastAsia" w:ascii="宋体" w:hAnsi="宋体" w:eastAsia="宋体" w:cs="仿宋_GB2312"/>
                <w:color w:val="000000" w:themeColor="text1"/>
                <w:sz w:val="15"/>
                <w:szCs w:val="15"/>
                <w:highlight w:val="none"/>
                <w14:textFill>
                  <w14:solidFill>
                    <w14:schemeClr w14:val="tx1"/>
                  </w14:solidFill>
                </w14:textFill>
              </w:rPr>
              <w:t>处罚条款：</w:t>
            </w:r>
            <w:r>
              <w:rPr>
                <w:rFonts w:hint="eastAsia" w:ascii="宋体" w:hAnsi="宋体" w:eastAsia="宋体" w:cs="仿宋_GB2312"/>
                <w:color w:val="000000" w:themeColor="text1"/>
                <w:sz w:val="15"/>
                <w:szCs w:val="15"/>
                <w:highlight w:val="none"/>
                <w:lang w:eastAsia="zh-CN"/>
                <w14:textFill>
                  <w14:solidFill>
                    <w14:schemeClr w14:val="tx1"/>
                  </w14:solidFill>
                </w14:textFill>
              </w:rPr>
              <w:t>六十五条第（三）项</w:t>
            </w:r>
            <w:r>
              <w:rPr>
                <w:rFonts w:hint="eastAsia" w:ascii="宋体" w:hAnsi="宋体" w:eastAsia="宋体" w:cs="仿宋_GB2312"/>
                <w:color w:val="000000" w:themeColor="text1"/>
                <w:sz w:val="15"/>
                <w:szCs w:val="15"/>
                <w:highlight w:val="none"/>
                <w14:textFill>
                  <w14:solidFill>
                    <w14:schemeClr w14:val="tx1"/>
                  </w14:solidFill>
                </w14:textFill>
              </w:rPr>
              <w:t>，责令限期改正；逾期</w:t>
            </w:r>
            <w:r>
              <w:rPr>
                <w:rFonts w:hint="eastAsia" w:ascii="宋体" w:hAnsi="宋体" w:eastAsia="宋体" w:cs="仿宋_GB2312"/>
                <w:color w:val="000000" w:themeColor="text1"/>
                <w:sz w:val="15"/>
                <w:szCs w:val="15"/>
                <w:highlight w:val="none"/>
                <w:lang w:eastAsia="zh-CN"/>
                <w14:textFill>
                  <w14:solidFill>
                    <w14:schemeClr w14:val="tx1"/>
                  </w14:solidFill>
                </w14:textFill>
              </w:rPr>
              <w:t>未</w:t>
            </w:r>
            <w:r>
              <w:rPr>
                <w:rFonts w:hint="eastAsia" w:ascii="宋体" w:hAnsi="宋体" w:eastAsia="宋体" w:cs="仿宋_GB2312"/>
                <w:color w:val="000000" w:themeColor="text1"/>
                <w:sz w:val="15"/>
                <w:szCs w:val="15"/>
                <w:highlight w:val="none"/>
                <w14:textFill>
                  <w14:solidFill>
                    <w14:schemeClr w14:val="tx1"/>
                  </w14:solidFill>
                </w14:textFill>
              </w:rPr>
              <w:t>改正的，</w:t>
            </w:r>
            <w:r>
              <w:rPr>
                <w:rFonts w:hint="eastAsia" w:ascii="宋体" w:hAnsi="宋体" w:eastAsia="宋体" w:cs="仿宋_GB2312"/>
                <w:color w:val="000000" w:themeColor="text1"/>
                <w:sz w:val="15"/>
                <w:szCs w:val="15"/>
                <w:highlight w:val="none"/>
                <w:lang w:eastAsia="zh-CN"/>
                <w14:textFill>
                  <w14:solidFill>
                    <w14:schemeClr w14:val="tx1"/>
                  </w14:solidFill>
                </w14:textFill>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pP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10000</w:t>
            </w:r>
          </w:p>
          <w:p>
            <w:pPr>
              <w:spacing w:line="22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5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14:textFill>
                  <w14:solidFill>
                    <w14:schemeClr w14:val="tx1"/>
                  </w14:solidFill>
                </w14:textFill>
              </w:rPr>
              <w:t>1.对通行秩序、市容秩序造成较大影响的，系数</w:t>
            </w:r>
            <w:r>
              <w:rPr>
                <w:rFonts w:hint="eastAsia" w:ascii="宋体" w:hAnsi="宋体" w:eastAsia="宋体" w:cs="仿宋_GB2312"/>
                <w:color w:val="000000" w:themeColor="text1"/>
                <w:sz w:val="15"/>
                <w:szCs w:val="15"/>
                <w:highlight w:val="none"/>
                <w:lang w:val="en-US" w:eastAsia="zh-CN"/>
                <w14:textFill>
                  <w14:solidFill>
                    <w14:schemeClr w14:val="tx1"/>
                  </w14:solidFill>
                </w14:textFill>
              </w:rPr>
              <w:t>1</w:t>
            </w:r>
            <w:r>
              <w:rPr>
                <w:rFonts w:hint="eastAsia" w:ascii="宋体" w:hAnsi="宋体" w:eastAsia="宋体" w:cs="仿宋_GB2312"/>
                <w:color w:val="000000" w:themeColor="text1"/>
                <w:sz w:val="15"/>
                <w:szCs w:val="15"/>
                <w:highlight w:val="none"/>
                <w14:textFill>
                  <w14:solidFill>
                    <w14:schemeClr w14:val="tx1"/>
                  </w14:solidFill>
                </w14:textFill>
              </w:rPr>
              <w:t>；2.造成行人伤亡或其它事故的，系数</w:t>
            </w:r>
            <w:r>
              <w:rPr>
                <w:rFonts w:hint="eastAsia" w:ascii="宋体" w:hAnsi="宋体" w:eastAsia="宋体" w:cs="仿宋_GB2312"/>
                <w:color w:val="000000" w:themeColor="text1"/>
                <w:sz w:val="15"/>
                <w:szCs w:val="15"/>
                <w:highlight w:val="none"/>
                <w:lang w:val="en-US" w:eastAsia="zh-CN"/>
                <w14:textFill>
                  <w14:solidFill>
                    <w14:schemeClr w14:val="tx1"/>
                  </w14:solidFill>
                </w14:textFill>
              </w:rPr>
              <w:t>2</w:t>
            </w:r>
            <w:r>
              <w:rPr>
                <w:rFonts w:hint="eastAsia" w:ascii="宋体" w:hAnsi="宋体" w:eastAsia="宋体" w:cs="仿宋_GB2312"/>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5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14:textFill>
                  <w14:solidFill>
                    <w14:schemeClr w14:val="tx1"/>
                  </w14:solidFill>
                </w14:textFill>
              </w:rPr>
              <w:t>罚款数额＝</w:t>
            </w:r>
            <w:r>
              <w:rPr>
                <w:rFonts w:hint="eastAsia" w:ascii="宋体" w:hAnsi="宋体" w:eastAsia="宋体" w:cs="仿宋_GB2312"/>
                <w:color w:val="000000" w:themeColor="text1"/>
                <w:sz w:val="15"/>
                <w:szCs w:val="15"/>
                <w:highlight w:val="none"/>
                <w:lang w:val="en-US" w:eastAsia="zh-CN"/>
                <w14:textFill>
                  <w14:solidFill>
                    <w14:schemeClr w14:val="tx1"/>
                  </w14:solidFill>
                </w14:textFill>
              </w:rPr>
              <w:t>10000</w:t>
            </w:r>
            <w:r>
              <w:rPr>
                <w:rFonts w:hint="eastAsia" w:ascii="宋体" w:hAnsi="宋体" w:eastAsia="宋体" w:cs="仿宋_GB2312"/>
                <w:color w:val="000000" w:themeColor="text1"/>
                <w:sz w:val="15"/>
                <w:szCs w:val="15"/>
                <w:highlight w:val="none"/>
                <w14:textFill>
                  <w14:solidFill>
                    <w14:schemeClr w14:val="tx1"/>
                  </w14:solidFill>
                </w14:textFill>
              </w:rPr>
              <w:t>×（1+</w:t>
            </w:r>
            <w:r>
              <w:rPr>
                <w:rFonts w:hint="eastAsia" w:ascii="宋体" w:hAnsi="宋体" w:eastAsia="宋体" w:cs="仿宋_GB2312"/>
                <w:color w:val="000000" w:themeColor="text1"/>
                <w:sz w:val="15"/>
                <w:szCs w:val="15"/>
                <w:highlight w:val="none"/>
                <w:lang w:eastAsia="zh-CN"/>
                <w14:textFill>
                  <w14:solidFill>
                    <w14:schemeClr w14:val="tx1"/>
                  </w14:solidFill>
                </w14:textFill>
              </w:rPr>
              <w:t>常量</w:t>
            </w:r>
            <w:r>
              <w:rPr>
                <w:rFonts w:hint="eastAsia" w:ascii="宋体" w:hAnsi="宋体" w:eastAsia="宋体" w:cs="仿宋_GB2312"/>
                <w:color w:val="000000" w:themeColor="text1"/>
                <w:sz w:val="15"/>
                <w:szCs w:val="15"/>
                <w:highlight w:val="none"/>
                <w14:textFill>
                  <w14:solidFill>
                    <w14:schemeClr w14:val="tx1"/>
                  </w14:solidFill>
                </w14:textFill>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000000" w:themeColor="text1"/>
                <w:sz w:val="15"/>
                <w:szCs w:val="15"/>
                <w:highlight w:val="none"/>
                <w14:textFill>
                  <w14:solidFill>
                    <w14:schemeClr w14:val="tx1"/>
                  </w14:solidFill>
                </w14:textFill>
              </w:rPr>
            </w:pPr>
          </w:p>
        </w:tc>
        <w:tc>
          <w:tcPr>
            <w:tcW w:w="824" w:type="dxa"/>
            <w:vMerge w:val="restart"/>
            <w:shd w:val="clear" w:color="auto" w:fill="auto"/>
            <w:vAlign w:val="center"/>
          </w:tcPr>
          <w:p>
            <w:pPr>
              <w:spacing w:line="220" w:lineRule="exact"/>
              <w:jc w:val="center"/>
              <w:rPr>
                <w:rFonts w:hint="eastAsia" w:ascii="宋体" w:hAnsi="宋体" w:eastAsia="宋体" w:cs="仿宋_GB2312"/>
                <w:color w:val="000000" w:themeColor="text1"/>
                <w:sz w:val="15"/>
                <w:szCs w:val="15"/>
                <w:highlight w:val="none"/>
                <w:lang w:val="en" w:eastAsia="zh-CN"/>
                <w14:textFill>
                  <w14:solidFill>
                    <w14:schemeClr w14:val="tx1"/>
                  </w14:solidFill>
                </w14:textFill>
              </w:rPr>
            </w:pPr>
            <w:r>
              <w:rPr>
                <w:rFonts w:hint="eastAsia" w:ascii="宋体" w:hAnsi="宋体" w:eastAsia="宋体" w:cs="仿宋_GB2312"/>
                <w:color w:val="000000" w:themeColor="text1"/>
                <w:sz w:val="15"/>
                <w:szCs w:val="15"/>
                <w:highlight w:val="none"/>
                <w:lang w:val="en" w:eastAsia="zh-CN"/>
                <w14:textFill>
                  <w14:solidFill>
                    <w14:schemeClr w14:val="tx1"/>
                  </w14:solidFill>
                </w14:textFill>
              </w:rPr>
              <w:t>街道</w:t>
            </w:r>
          </w:p>
          <w:p>
            <w:pPr>
              <w:spacing w:line="220"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lang w:val="en" w:eastAsia="zh-CN"/>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20" w:lineRule="exact"/>
              <w:jc w:val="cente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pP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100</w:t>
            </w:r>
          </w:p>
          <w:p>
            <w:pPr>
              <w:spacing w:line="220"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14:textFill>
                  <w14:solidFill>
                    <w14:schemeClr w14:val="tx1"/>
                  </w14:solidFill>
                </w14:textFill>
              </w:rPr>
              <w:t>1.对通行秩序、市容秩序造成较大影响的，系数</w:t>
            </w:r>
            <w:r>
              <w:rPr>
                <w:rFonts w:hint="eastAsia" w:ascii="宋体" w:hAnsi="宋体" w:eastAsia="宋体" w:cs="仿宋_GB2312"/>
                <w:color w:val="000000" w:themeColor="text1"/>
                <w:sz w:val="15"/>
                <w:szCs w:val="15"/>
                <w:highlight w:val="none"/>
                <w:lang w:val="en-US" w:eastAsia="zh-CN"/>
                <w14:textFill>
                  <w14:solidFill>
                    <w14:schemeClr w14:val="tx1"/>
                  </w14:solidFill>
                </w14:textFill>
              </w:rPr>
              <w:t>2</w:t>
            </w:r>
            <w:r>
              <w:rPr>
                <w:rFonts w:hint="eastAsia" w:ascii="宋体" w:hAnsi="宋体" w:eastAsia="宋体" w:cs="仿宋_GB2312"/>
                <w:color w:val="000000" w:themeColor="text1"/>
                <w:sz w:val="15"/>
                <w:szCs w:val="15"/>
                <w:highlight w:val="none"/>
                <w14:textFill>
                  <w14:solidFill>
                    <w14:schemeClr w14:val="tx1"/>
                  </w14:solidFill>
                </w14:textFill>
              </w:rPr>
              <w:t>；2.造成行人伤亡或其它事故的，系数</w:t>
            </w:r>
            <w:r>
              <w:rPr>
                <w:rFonts w:hint="eastAsia" w:ascii="宋体" w:hAnsi="宋体" w:eastAsia="宋体" w:cs="仿宋_GB2312"/>
                <w:color w:val="000000" w:themeColor="text1"/>
                <w:sz w:val="15"/>
                <w:szCs w:val="15"/>
                <w:highlight w:val="none"/>
                <w:lang w:val="en-US" w:eastAsia="zh-CN"/>
                <w14:textFill>
                  <w14:solidFill>
                    <w14:schemeClr w14:val="tx1"/>
                  </w14:solidFill>
                </w14:textFill>
              </w:rPr>
              <w:t>4</w:t>
            </w:r>
            <w:r>
              <w:rPr>
                <w:rFonts w:hint="eastAsia" w:ascii="宋体" w:hAnsi="宋体" w:eastAsia="宋体" w:cs="仿宋_GB2312"/>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s="仿宋_GB2312"/>
                <w:color w:val="000000" w:themeColor="text1"/>
                <w:sz w:val="15"/>
                <w:szCs w:val="15"/>
                <w:highlight w:val="none"/>
                <w14:textFill>
                  <w14:solidFill>
                    <w14:schemeClr w14:val="tx1"/>
                  </w14:solidFill>
                </w14:textFill>
              </w:rPr>
              <w:t>罚款数额=</w:t>
            </w:r>
            <w:r>
              <w:rPr>
                <w:rFonts w:hint="eastAsia" w:ascii="宋体" w:hAnsi="宋体" w:eastAsia="宋体" w:cs="仿宋_GB2312"/>
                <w:color w:val="000000" w:themeColor="text1"/>
                <w:sz w:val="15"/>
                <w:szCs w:val="15"/>
                <w:highlight w:val="none"/>
                <w:lang w:val="en-US" w:eastAsia="zh-CN"/>
                <w14:textFill>
                  <w14:solidFill>
                    <w14:schemeClr w14:val="tx1"/>
                  </w14:solidFill>
                </w14:textFill>
              </w:rPr>
              <w:t>100</w:t>
            </w:r>
            <w:r>
              <w:rPr>
                <w:rFonts w:hint="eastAsia" w:ascii="宋体" w:hAnsi="宋体" w:eastAsia="宋体" w:cs="仿宋_GB2312"/>
                <w:color w:val="000000" w:themeColor="text1"/>
                <w:sz w:val="15"/>
                <w:szCs w:val="15"/>
                <w:highlight w:val="none"/>
                <w14:textFill>
                  <w14:solidFill>
                    <w14:schemeClr w14:val="tx1"/>
                  </w14:solidFill>
                </w14:textFill>
              </w:rPr>
              <w:t>×（1+</w:t>
            </w:r>
            <w:r>
              <w:rPr>
                <w:rFonts w:hint="eastAsia" w:ascii="宋体" w:hAnsi="宋体" w:eastAsia="宋体" w:cs="仿宋_GB2312"/>
                <w:color w:val="000000" w:themeColor="text1"/>
                <w:sz w:val="15"/>
                <w:szCs w:val="15"/>
                <w:highlight w:val="none"/>
                <w:lang w:eastAsia="zh-CN"/>
                <w14:textFill>
                  <w14:solidFill>
                    <w14:schemeClr w14:val="tx1"/>
                  </w14:solidFill>
                </w14:textFill>
              </w:rPr>
              <w:t>常量</w:t>
            </w:r>
            <w:r>
              <w:rPr>
                <w:rFonts w:hint="eastAsia" w:ascii="宋体" w:hAnsi="宋体" w:eastAsia="宋体" w:cs="仿宋_GB2312"/>
                <w:color w:val="000000" w:themeColor="text1"/>
                <w:sz w:val="15"/>
                <w:szCs w:val="15"/>
                <w:highlight w:val="none"/>
                <w14:textFill>
                  <w14:solidFill>
                    <w14:schemeClr w14:val="tx1"/>
                  </w14:solidFill>
                </w14:textFill>
              </w:rPr>
              <w:t>系数+变量系数+区域系数）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p>
        </w:tc>
        <w:tc>
          <w:tcPr>
            <w:tcW w:w="824" w:type="dxa"/>
            <w:vMerge w:val="continue"/>
            <w:shd w:val="clear" w:color="auto" w:fill="auto"/>
            <w:vAlign w:val="center"/>
          </w:tcPr>
          <w:p>
            <w:pPr>
              <w:spacing w:line="220" w:lineRule="exact"/>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pPr>
              <w:pStyle w:val="3"/>
              <w:bidi w:val="0"/>
              <w:jc w:val="center"/>
              <w:rPr>
                <w:color w:val="000000" w:themeColor="text1"/>
                <w:highlight w:val="none"/>
                <w14:textFill>
                  <w14:solidFill>
                    <w14:schemeClr w14:val="tx1"/>
                  </w14:solidFill>
                </w14:textFill>
              </w:rPr>
            </w:pPr>
            <w:bookmarkStart w:id="61" w:name="_Toc1724920233"/>
            <w:r>
              <w:rPr>
                <w:rFonts w:hint="eastAsia"/>
                <w:color w:val="000000" w:themeColor="text1"/>
                <w:sz w:val="21"/>
                <w:szCs w:val="21"/>
                <w:highlight w:val="none"/>
                <w14:textFill>
                  <w14:solidFill>
                    <w14:schemeClr w14:val="tx1"/>
                  </w14:solidFill>
                </w14:textFill>
              </w:rPr>
              <w:t>《城市道路管理条例》《北京市城市道路管理办法》案由16项</w:t>
            </w:r>
            <w:bookmarkEnd w:id="60"/>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城市道路上设置的检查井、箱盖或者城市道路附属设施发生缺损未及时补缺或者修复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1.对通行秩序、市容秩序造成较大影响的，系数4；2.造成行人伤亡或其它严重事故的，系数9。</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20"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需要做出2000元以下处罚额度决定的，说明理由，报案审会决定。</w:t>
            </w:r>
          </w:p>
        </w:tc>
        <w:tc>
          <w:tcPr>
            <w:tcW w:w="824" w:type="dxa"/>
            <w:shd w:val="clear" w:color="auto" w:fill="auto"/>
            <w:vAlign w:val="center"/>
          </w:tcPr>
          <w:p>
            <w:pPr>
              <w:spacing w:line="22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2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擅自占用、挖掘城市道路</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1.对通行秩序、市容秩序造成较大影响的，系数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；2.损毁地下管线或市政设施的，系数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；3.造成行人伤亡或其它严重事故的，系数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0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城市道路养护、维修工程施工现场未设置明显标志和安全防围设施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挖掘城市道路施工现场未设置明显标志和安全防围设施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占用城市道路期满未及时清理现场</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挖掘城市道路竣工未及时清理现场</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违反条款：《条例》第三十五条；</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紧急抢修埋设在城市道路下的管线，未按照规定补办批准手续</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违反条款：《条例》第三十四条；</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应在24小时内申请补办，逾期未申请补办的，每延后1天，系数1。</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未按照批准的要求占用或者挖掘城市道路</w:t>
            </w:r>
          </w:p>
        </w:tc>
        <w:tc>
          <w:tcPr>
            <w:tcW w:w="2789"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违反条款：《条例》第三十六条；</w:t>
            </w:r>
          </w:p>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1.对通行秩序、市容秩序造成较大影响的，系数4；2.损毁地下管线或市政设施的，系数9；3.造成行人伤亡或其它严重事故的，系数9。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履带车、铁轮车或者超重、超高、超长车辆未按规定在城市道路上行驶</w:t>
            </w:r>
          </w:p>
        </w:tc>
        <w:tc>
          <w:tcPr>
            <w:tcW w:w="2789"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需要做出2000元以下处罚额度决定的，说明理由，报案审会决定。</w:t>
            </w:r>
          </w:p>
        </w:tc>
        <w:tc>
          <w:tcPr>
            <w:tcW w:w="824" w:type="dxa"/>
            <w:shd w:val="clear" w:color="auto" w:fill="auto"/>
            <w:vAlign w:val="center"/>
          </w:tcPr>
          <w:p>
            <w:pPr>
              <w:spacing w:line="250" w:lineRule="exact"/>
              <w:jc w:val="cente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机动车在桥梁或者非指定的城市道路上试刹车</w:t>
            </w:r>
          </w:p>
        </w:tc>
        <w:tc>
          <w:tcPr>
            <w:tcW w:w="2789"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擅自在城市道路上建设建筑物、搭建构筑物</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在桥梁上架设压力在4公斤/平方厘米（0.4兆帕）以上的煤气管道、10千伏以上的高压电线和其它易燃易爆管线</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1.造成人员伤亡或者其它严重事故的，系数3；</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2.对桥梁造成损害影响使用的，系数3。</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擅自在桥梁或者路灯设施上设置广告牌或者其它挂浮物</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1.对通行秩序、市容秩序造成较大影响的，系数4；</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2.造成行人伤亡或其它严重事故的，系数9；</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3.对桥梁、路灯设施造成损坏影响使用的，系数9。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擅自依附城市道路、桥梁设置各种管线、杆线等设施</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1.影响交通通行，或者造成其它安全隐患的，系数4；</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2.造成行人伤亡或者其它严重事故的，系数9；</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擅自拆改、移动城市道路设施或者设置障碍物</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利用城市桥梁进行牵拉、吊装等施工作业</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1.对通行秩序、市容秩序造成较大影响的，系数4；2.造成行人伤亡或其它严重事故的，系数9；3.对桥梁造成损害影响使用的，系数9。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62" w:name="_Toc1973624040"/>
            <w:bookmarkStart w:id="63" w:name="_Toc110851455"/>
            <w:bookmarkStart w:id="64" w:name="_Toc884119906"/>
            <w:r>
              <w:rPr>
                <w:rFonts w:hint="eastAsia" w:asciiTheme="minorEastAsia" w:hAnsiTheme="minorEastAsia" w:eastAsiaTheme="minorEastAsia"/>
                <w:color w:val="000000" w:themeColor="text1"/>
                <w:sz w:val="21"/>
                <w:szCs w:val="21"/>
                <w:highlight w:val="none"/>
                <w14:textFill>
                  <w14:solidFill>
                    <w14:schemeClr w14:val="tx1"/>
                  </w14:solidFill>
                </w14:textFill>
              </w:rPr>
              <w:t>《北京市地下设施检查井井盖管理规定》案由5项</w:t>
            </w:r>
            <w:bookmarkEnd w:id="62"/>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井盖管理单位未建立管理制度</w:t>
            </w:r>
          </w:p>
        </w:tc>
        <w:tc>
          <w:tcPr>
            <w:tcW w:w="2789" w:type="dxa"/>
            <w:shd w:val="clear" w:color="auto" w:fill="auto"/>
            <w:vAlign w:val="center"/>
          </w:tcPr>
          <w:p>
            <w:pPr>
              <w:spacing w:line="220" w:lineRule="exact"/>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需要给予1000元以下处罚的，报案审会决定。</w:t>
            </w:r>
          </w:p>
        </w:tc>
        <w:tc>
          <w:tcPr>
            <w:tcW w:w="824" w:type="dxa"/>
            <w:shd w:val="clear" w:color="auto" w:fill="auto"/>
            <w:vAlign w:val="center"/>
          </w:tcPr>
          <w:p>
            <w:pPr>
              <w:spacing w:line="22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97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未及时补装、维修或更换井盖</w:t>
            </w:r>
          </w:p>
        </w:tc>
        <w:tc>
          <w:tcPr>
            <w:tcW w:w="2789"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违反条款：第九条第二款；处罚条款：第十一条第一款,责令限期改正，并可处200元以上2000元以下罚款。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；延后2小时，系数</w:t>
            </w:r>
            <w:r>
              <w:rPr>
                <w:rFonts w:hint="eastAsia"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；延后3小时，系数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，以此类推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，延后</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9小时及以上的，系数9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。3.因未及时补装、维修或更换，致人伤亡或车辆损毁等严重事故的，变量系数9。</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20" w:lineRule="exact"/>
              <w:jc w:val="center"/>
              <w:rPr>
                <w:rFonts w:hint="eastAsia"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擅自移动井盖</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违反条款：第十条第一款；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井盖作业未采取安全措施</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违反条款：第十条第二款；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井盖作业完毕未及时清理现场、恢复原状</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违反条款：第十条第二款；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区域台帐与人口集中地区点位重叠时，不适用区域系数。</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24"/>
                <w:szCs w:val="24"/>
                <w:highlight w:val="none"/>
                <w14:textFill>
                  <w14:solidFill>
                    <w14:schemeClr w14:val="tx1"/>
                  </w14:solidFill>
                </w14:textFill>
              </w:rPr>
            </w:pPr>
            <w:bookmarkStart w:id="65" w:name="_Toc110851456"/>
            <w:bookmarkStart w:id="66" w:name="_Toc1693504403"/>
            <w:bookmarkStart w:id="67" w:name="_Toc782261727"/>
            <w:r>
              <w:rPr>
                <w:rFonts w:hint="eastAsia" w:ascii="黑体" w:hAnsi="黑体" w:eastAsia="黑体"/>
                <w:b w:val="0"/>
                <w:color w:val="000000" w:themeColor="text1"/>
                <w:sz w:val="36"/>
                <w:szCs w:val="36"/>
                <w:highlight w:val="none"/>
                <w14:textFill>
                  <w14:solidFill>
                    <w14:schemeClr w14:val="tx1"/>
                  </w14:solidFill>
                </w14:textFill>
              </w:rPr>
              <w:t>公用事业管理方面</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68" w:name="_Toc1349825120"/>
            <w:bookmarkStart w:id="69" w:name="_Toc110851457"/>
            <w:bookmarkStart w:id="70" w:name="_Toc333158386"/>
            <w:r>
              <w:rPr>
                <w:rFonts w:hint="eastAsia" w:asciiTheme="minorEastAsia" w:hAnsiTheme="minorEastAsia" w:eastAsiaTheme="minorEastAsia"/>
                <w:color w:val="000000" w:themeColor="text1"/>
                <w:sz w:val="21"/>
                <w:szCs w:val="21"/>
                <w:highlight w:val="none"/>
                <w14:textFill>
                  <w14:solidFill>
                    <w14:schemeClr w14:val="tx1"/>
                  </w14:solidFill>
                </w14:textFill>
              </w:rPr>
              <w:t>《城镇燃气管理条例》案由30项</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未取得燃气经营许可从事经营活动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1.跨区级区域经营的或者违规经营规模较大(气瓶数量超过28个)，系数5</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default" w:cs="宋体" w:asciiTheme="minorEastAsia" w:hAnsiTheme="minorEastAsia" w:eastAsiaTheme="minorEastAsia"/>
                <w:color w:val="000000" w:themeColor="text1"/>
                <w:kern w:val="0"/>
                <w:sz w:val="15"/>
                <w:szCs w:val="15"/>
                <w:highlight w:val="none"/>
                <w:lang w:val="en"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经营场所在人口集中地区、人员密集场所</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或者邻近电力、管线等需要特殊保护的场所</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系数5</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u w:val="none"/>
                <w:lang w:val="en-US" w:eastAsia="zh-CN"/>
                <w14:textFill>
                  <w14:solidFill>
                    <w14:schemeClr w14:val="tx1"/>
                  </w14:solidFill>
                </w14:textFill>
              </w:rPr>
              <w:t>3</w:t>
            </w:r>
            <w:r>
              <w:rPr>
                <w:rFonts w:hint="eastAsia" w:cs="宋体" w:asciiTheme="minorEastAsia" w:hAnsiTheme="minorEastAsia" w:eastAsiaTheme="minorEastAsia"/>
                <w:b w:val="0"/>
                <w:bCs w:val="0"/>
                <w:color w:val="000000" w:themeColor="text1"/>
                <w:kern w:val="0"/>
                <w:sz w:val="15"/>
                <w:szCs w:val="15"/>
                <w:highlight w:val="none"/>
                <w:u w:val="none"/>
                <w14:textFill>
                  <w14:solidFill>
                    <w14:schemeClr w14:val="tx1"/>
                  </w14:solidFill>
                </w14:textFill>
              </w:rPr>
              <w:t>.持续时间超过</w:t>
            </w:r>
            <w:r>
              <w:rPr>
                <w:rFonts w:hint="eastAsia" w:cs="宋体" w:asciiTheme="minorEastAsia" w:hAnsiTheme="minorEastAsia" w:eastAsiaTheme="minorEastAsia"/>
                <w:b w:val="0"/>
                <w:bCs w:val="0"/>
                <w:strike w:val="0"/>
                <w:dstrike w:val="0"/>
                <w:color w:val="000000" w:themeColor="text1"/>
                <w:kern w:val="0"/>
                <w:sz w:val="15"/>
                <w:szCs w:val="15"/>
                <w:highlight w:val="none"/>
                <w:u w:val="none"/>
                <w:lang w:val="en-US" w:eastAsia="zh-CN"/>
                <w14:textFill>
                  <w14:solidFill>
                    <w14:schemeClr w14:val="tx1"/>
                  </w14:solidFill>
                </w14:textFill>
              </w:rPr>
              <w:t>2个月的</w:t>
            </w:r>
            <w:r>
              <w:rPr>
                <w:rFonts w:hint="eastAsia" w:cs="宋体" w:asciiTheme="minorEastAsia" w:hAnsiTheme="minorEastAsia" w:eastAsiaTheme="minorEastAsia"/>
                <w:b w:val="0"/>
                <w:bCs w:val="0"/>
                <w:color w:val="000000" w:themeColor="text1"/>
                <w:kern w:val="0"/>
                <w:sz w:val="15"/>
                <w:szCs w:val="15"/>
                <w:highlight w:val="none"/>
                <w:u w:val="none"/>
                <w14:textFill>
                  <w14:solidFill>
                    <w14:schemeClr w14:val="tx1"/>
                  </w14:solidFill>
                </w14:textFill>
              </w:rPr>
              <w:t>，系数</w:t>
            </w:r>
            <w:r>
              <w:rPr>
                <w:rFonts w:hint="eastAsia" w:cs="宋体" w:asciiTheme="minorEastAsia" w:hAnsiTheme="minorEastAsia" w:eastAsiaTheme="minorEastAsia"/>
                <w:b w:val="0"/>
                <w:bCs w:val="0"/>
                <w:color w:val="000000" w:themeColor="text1"/>
                <w:kern w:val="0"/>
                <w:sz w:val="15"/>
                <w:szCs w:val="15"/>
                <w:highlight w:val="none"/>
                <w:u w:val="none"/>
                <w:lang w:val="en-US" w:eastAsia="zh-CN"/>
                <w14:textFill>
                  <w14:solidFill>
                    <w14:schemeClr w14:val="tx1"/>
                  </w14:solidFill>
                </w14:textFill>
              </w:rPr>
              <w:t>3</w:t>
            </w:r>
            <w:r>
              <w:rPr>
                <w:rFonts w:hint="eastAsia" w:cs="宋体" w:asciiTheme="minorEastAsia" w:hAnsiTheme="minorEastAsia" w:eastAsiaTheme="minorEastAsia"/>
                <w:b w:val="0"/>
                <w:bCs w:val="0"/>
                <w:color w:val="000000" w:themeColor="text1"/>
                <w:kern w:val="0"/>
                <w:sz w:val="15"/>
                <w:szCs w:val="15"/>
                <w:highlight w:val="none"/>
                <w:u w:val="none"/>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u w:val="none"/>
                <w:lang w:eastAsia="zh-CN"/>
                <w14:textFill>
                  <w14:solidFill>
                    <w14:schemeClr w14:val="tx1"/>
                  </w14:solidFill>
                </w14:textFill>
              </w:rPr>
              <w:t>超过半年的</w:t>
            </w:r>
            <w:r>
              <w:rPr>
                <w:rFonts w:hint="eastAsia" w:cs="宋体" w:asciiTheme="minorEastAsia" w:hAnsiTheme="minorEastAsia" w:eastAsiaTheme="minorEastAsia"/>
                <w:b w:val="0"/>
                <w:bCs w:val="0"/>
                <w:color w:val="000000" w:themeColor="text1"/>
                <w:kern w:val="0"/>
                <w:sz w:val="15"/>
                <w:szCs w:val="15"/>
                <w:highlight w:val="none"/>
                <w:u w:val="none"/>
                <w:lang w:val="en-US" w:eastAsia="zh-CN"/>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u w:val="none"/>
                <w:lang w:eastAsia="zh-CN"/>
                <w14:textFill>
                  <w14:solidFill>
                    <w14:schemeClr w14:val="tx1"/>
                  </w14:solidFill>
                </w14:textFill>
              </w:rPr>
              <w:t>系数为</w:t>
            </w:r>
            <w:r>
              <w:rPr>
                <w:rFonts w:hint="eastAsia" w:cs="宋体" w:asciiTheme="minorEastAsia" w:hAnsiTheme="minorEastAsia" w:eastAsiaTheme="minorEastAsia"/>
                <w:b w:val="0"/>
                <w:bCs w:val="0"/>
                <w:color w:val="000000" w:themeColor="text1"/>
                <w:kern w:val="0"/>
                <w:sz w:val="15"/>
                <w:szCs w:val="15"/>
                <w:highlight w:val="none"/>
                <w:u w:val="none"/>
                <w:lang w:val="en-US" w:eastAsia="zh-CN"/>
                <w14:textFill>
                  <w14:solidFill>
                    <w14:schemeClr w14:val="tx1"/>
                  </w14:solidFill>
                </w14:textFill>
              </w:rPr>
              <w:t>6；</w:t>
            </w:r>
            <w:r>
              <w:rPr>
                <w:rFonts w:hint="eastAsia" w:cs="宋体" w:asciiTheme="minorEastAsia" w:hAnsiTheme="minorEastAsia" w:eastAsiaTheme="minorEastAsia"/>
                <w:b w:val="0"/>
                <w:bCs w:val="0"/>
                <w:color w:val="000000" w:themeColor="text1"/>
                <w:kern w:val="0"/>
                <w:sz w:val="15"/>
                <w:szCs w:val="15"/>
                <w:highlight w:val="none"/>
                <w:u w:val="none"/>
                <w14:textFill>
                  <w14:solidFill>
                    <w14:schemeClr w14:val="tx1"/>
                  </w14:solidFill>
                </w14:textFill>
              </w:rPr>
              <w:t>1年以上，系数9；</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不按照燃气经营许可的规定从事经营活动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1.违规经营时间较长（超过半年），规模较大</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（违规气瓶数量超过28个）</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，或者经营场所在人口集中地区、人员密集场所</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安全隐患的，系数6。</w:t>
            </w:r>
          </w:p>
        </w:tc>
        <w:tc>
          <w:tcPr>
            <w:tcW w:w="1785" w:type="dxa"/>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tcBorders>
              <w:left w:val="single" w:color="auto" w:sz="4" w:space="0"/>
            </w:tcBorders>
            <w:shd w:val="clear" w:color="auto" w:fill="FFFFFF"/>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拒绝向市政燃气管网覆盖范围内符合用气条件的单位或者个人供气</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1.断供超过12小时的，或影响1000户以上（含1000户）居民无法正常供气超过2小时的，系数9；</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.发生燃气安全事故或者引发群体性事件的，系数9。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1.发生燃气安全事故，经事故调查部门认定对事故发生负有责任的。2.</w:t>
            </w:r>
            <w:r>
              <w:rPr>
                <w:rFonts w:asciiTheme="minorEastAsia" w:hAnsiTheme="minorEastAsia" w:eastAsiaTheme="minorEastAsia"/>
                <w:color w:val="000000" w:themeColor="text1"/>
                <w:sz w:val="15"/>
                <w:szCs w:val="15"/>
                <w:highlight w:val="none"/>
                <w14:textFill>
                  <w14:solidFill>
                    <w14:schemeClr w14:val="tx1"/>
                  </w14:solidFill>
                </w14:textFill>
              </w:rPr>
              <w:t>市政燃气管网覆盖范围内</w:t>
            </w:r>
            <w:r>
              <w:rPr>
                <w:rFonts w:hint="eastAsia" w:asciiTheme="minorEastAsia" w:hAnsiTheme="minorEastAsia" w:eastAsiaTheme="minorEastAsia"/>
                <w:color w:val="000000" w:themeColor="text1"/>
                <w:sz w:val="15"/>
                <w:szCs w:val="15"/>
                <w:highlight w:val="none"/>
                <w14:textFill>
                  <w14:solidFill>
                    <w14:schemeClr w14:val="tx1"/>
                  </w14:solidFill>
                </w14:textFill>
              </w:rPr>
              <w:t>燃气断供超过12小时的，或影响1000户以上（含1000户）居民无法正常供</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气</w:t>
            </w:r>
            <w:r>
              <w:rPr>
                <w:rFonts w:hint="eastAsia" w:asciiTheme="minorEastAsia" w:hAnsiTheme="minorEastAsia" w:eastAsiaTheme="minorEastAsia"/>
                <w:color w:val="000000" w:themeColor="text1"/>
                <w:sz w:val="15"/>
                <w:szCs w:val="15"/>
                <w:highlight w:val="none"/>
                <w14:textFill>
                  <w14:solidFill>
                    <w14:schemeClr w14:val="tx1"/>
                  </w14:solidFill>
                </w14:textFill>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000000" w:themeColor="text1"/>
                <w:sz w:val="15"/>
                <w:szCs w:val="15"/>
                <w:highlight w:val="none"/>
                <w14:textFill>
                  <w14:solidFill>
                    <w14:schemeClr w14:val="tx1"/>
                  </w14:solidFill>
                </w14:textFill>
              </w:rPr>
              <w:t>的</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区级</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倒卖、抵押、出租、出借、转让、涂改燃气经营许可证</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燃气安全隐患的，系数9。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区级</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擅自停止供气、调整供气量，或者擅自停业或者歇业</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.发生燃气安全事故或者引发群体性事件的，系数9。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1.发生燃气安全事故，经事故调查部门认定对事故发生负有责任的； 2.导致</w:t>
            </w:r>
            <w:r>
              <w:rPr>
                <w:rFonts w:asciiTheme="minorEastAsia" w:hAnsiTheme="minorEastAsia" w:eastAsiaTheme="minorEastAsia"/>
                <w:color w:val="000000" w:themeColor="text1"/>
                <w:sz w:val="15"/>
                <w:szCs w:val="15"/>
                <w:highlight w:val="none"/>
                <w14:textFill>
                  <w14:solidFill>
                    <w14:schemeClr w14:val="tx1"/>
                  </w14:solidFill>
                </w14:textFill>
              </w:rPr>
              <w:t>燃气管网覆盖范围内</w:t>
            </w:r>
            <w:r>
              <w:rPr>
                <w:rFonts w:hint="eastAsia" w:asciiTheme="minorEastAsia" w:hAnsiTheme="minorEastAsia" w:eastAsiaTheme="minorEastAsia"/>
                <w:color w:val="000000" w:themeColor="text1"/>
                <w:sz w:val="15"/>
                <w:szCs w:val="15"/>
                <w:highlight w:val="none"/>
                <w14:textFill>
                  <w14:solidFill>
                    <w14:schemeClr w14:val="tx1"/>
                  </w14:solidFill>
                </w14:textFill>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气</w:t>
            </w:r>
            <w:r>
              <w:rPr>
                <w:rFonts w:hint="eastAsia" w:asciiTheme="minorEastAsia" w:hAnsiTheme="minorEastAsia" w:eastAsiaTheme="minorEastAsia"/>
                <w:color w:val="000000" w:themeColor="text1"/>
                <w:sz w:val="15"/>
                <w:szCs w:val="15"/>
                <w:highlight w:val="none"/>
                <w14:textFill>
                  <w14:solidFill>
                    <w14:schemeClr w14:val="tx1"/>
                  </w14:solidFill>
                </w14:textFill>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向未取得燃气经营许可证的单位或者个人提供用于经营的燃气</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1.持续时间超过半年的，系数4；持续时间1年以上，系数9；</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燃气经营者在不具备安全条件的场所储存燃气</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2个以上不合格安全条件的，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000000" w:themeColor="text1"/>
                <w:spacing w:val="-6"/>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pacing w:val="-6"/>
                <w:sz w:val="15"/>
                <w:szCs w:val="15"/>
                <w:highlight w:val="none"/>
                <w14:textFill>
                  <w14:solidFill>
                    <w14:schemeClr w14:val="tx1"/>
                  </w14:solidFill>
                </w14:textFill>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区级</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要求燃气用户购买其指定的产品或者接受其提供的服务</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发生燃气安全事故，经事故调查部门认定，事故发生与其提供的产品或服务存在因果关系的，系数9。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区级</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未向燃气用户持续、稳定、安全供应符合国家质量标准的燃气，或者未对燃气用户的燃气设施定期进行安全检查</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超出检查周期半年以内未进行检查的，系数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半年以上的，系数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区级</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销售充装单位擅自为非自有气瓶充装的瓶装燃气</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未按规定设置燃气设施保护装置和安全警示标志</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pPr>
              <w:spacing w:line="232"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spacing w:line="232" w:lineRule="exact"/>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依据应急管理部门的裁量权基准执行。</w:t>
            </w: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【《北京市安全生产行政处罚自由裁量基准</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pStyle w:val="9"/>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一、（十七）</w:t>
            </w:r>
          </w:p>
          <w:p>
            <w:pPr>
              <w:pStyle w:val="9"/>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1.未在有较大危险因素的生产经营场所和有关设施、设备上设置明显的安全警示标志有 5 处以下的，处 2 万元以下的罚款；逾期未改正的，处 5 万元以上 10 万元以下的罚款，对其直接负责的主管人员和其他直接责任人员处 1万元以上 2 万元以下的罚款；</w:t>
            </w:r>
          </w:p>
          <w:p>
            <w:pPr>
              <w:pStyle w:val="9"/>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2.未在有较大危险因素的生产经营场所和有关设施、设备上设置明显的安全警示标志有 5 处以上 10 处以下的，处 2 万元以上 4 万元以下的罚款；逾期未改正的，处 10 万元以上 15 万元以下的罚款，对其直接负责的主管人员和其他直接责任人员处 1 万元以上 2 万元以下的罚款；</w:t>
            </w:r>
          </w:p>
          <w:p>
            <w:pPr>
              <w:pStyle w:val="9"/>
              <w:rPr>
                <w:rFonts w:hint="eastAsia"/>
                <w:color w:val="000000" w:themeColor="text1"/>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3.未在有较大危险因素的生产经营场所和有关设施、设备上设置明显的安全警示标志有 10 处以上的，处 4 万元以上 5 万元以下的罚款；逾期未改正的，处 15 万元以上 20 万元以下的罚款，对其直接负责的主管人员和其他直接责任人员处 1 万元以上 2 万元以下的罚款。</w:t>
            </w:r>
          </w:p>
          <w:p>
            <w:pPr>
              <w:spacing w:line="232"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对燃气经营者</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违法行为，适用《城镇燃气管理条例》处罚。逾期未改正的，应另行立案，适用《中华人民共和国安全生产法》“逾期未改正”情形处罚。</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燃气经营者未定期进行巡查、检测、维修和维护 </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超出检查周期半年以内未进行检查的，系数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半年以上的，系数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 xml:space="preserve"> </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.未按燃气管理部门要求整改，或整改后再次发生类似违法行为的，系数9；</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.发生相关燃气安全事故或者存在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未采取措施及时消除燃气安全事故隐患</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p>
            <w:pPr>
              <w:spacing w:line="232" w:lineRule="exact"/>
              <w:rPr>
                <w:color w:val="000000" w:themeColor="text1"/>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对燃气经营者相关违法行为，适用《城镇燃气管理条例》处罚。拒不执行的，应另行立案，适用《中华人民共和国安全生产法》“拒不执行”情形处罚。</w:t>
            </w:r>
          </w:p>
          <w:p>
            <w:pPr>
              <w:pStyle w:val="17"/>
              <w:ind w:left="0" w:leftChars="0" w:firstLine="0" w:firstLineChars="0"/>
              <w:rPr>
                <w:color w:val="000000" w:themeColor="text1"/>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pPr>
              <w:spacing w:line="232" w:lineRule="exact"/>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依据应急管理部门的裁量权基准执行。</w:t>
            </w: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【《北京市安全生产行政处罚自由裁量基准</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pStyle w:val="9"/>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一、（二十七）</w:t>
            </w:r>
          </w:p>
          <w:p>
            <w:pPr>
              <w:pStyle w:val="9"/>
              <w:rPr>
                <w:rFonts w:hint="eastAsia" w:asciiTheme="minorEastAsia" w:hAnsiTheme="minorEastAsia" w:eastAsiaTheme="minorEastAsia" w:cstheme="minorEastAsia"/>
                <w:b w:val="0"/>
                <w:bCs w:val="0"/>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pacing w:val="-4"/>
                <w:sz w:val="15"/>
                <w:szCs w:val="15"/>
                <w:highlight w:val="none"/>
                <w:lang w:val="en-US" w:eastAsia="zh-CN"/>
                <w14:textFill>
                  <w14:solidFill>
                    <w14:schemeClr w14:val="tx1"/>
                  </w14:solidFill>
                </w14:textFill>
              </w:rPr>
              <w:t>1.对 1 处一般事故隐患未采取措施消除的，处 2 万元以下的罚款；拒不执行的，对其直接负责的主管人员和其他直接责任人员处 5 万元以上 7 万元以下的罚款；</w:t>
            </w:r>
          </w:p>
          <w:p>
            <w:pPr>
              <w:pStyle w:val="9"/>
              <w:rPr>
                <w:rFonts w:hint="eastAsia" w:asciiTheme="minorEastAsia" w:hAnsiTheme="minorEastAsia" w:eastAsiaTheme="minorEastAsia" w:cstheme="minorEastAsia"/>
                <w:b w:val="0"/>
                <w:bCs w:val="0"/>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pacing w:val="-4"/>
                <w:sz w:val="15"/>
                <w:szCs w:val="15"/>
                <w:highlight w:val="none"/>
                <w:lang w:val="en-US" w:eastAsia="zh-CN"/>
                <w14:textFill>
                  <w14:solidFill>
                    <w14:schemeClr w14:val="tx1"/>
                  </w14:solidFill>
                </w14:textFill>
              </w:rPr>
              <w:t>2.对 2 处一般事故隐患未采取措施消除的，处 2 万元以上 4 万元以下的罚款；拒不执行的，对其直接负责的主管人员和其他直接责任人员处 7 万元以上 9 万元以下的罚款；</w:t>
            </w:r>
          </w:p>
          <w:p>
            <w:pPr>
              <w:pStyle w:val="9"/>
              <w:rPr>
                <w:rFonts w:hint="eastAsia" w:asciiTheme="minorEastAsia" w:hAnsiTheme="minorEastAsia" w:eastAsiaTheme="minorEastAsia" w:cstheme="minorEastAsia"/>
                <w:b w:val="0"/>
                <w:bCs w:val="0"/>
                <w:color w:val="000000" w:themeColor="text1"/>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pacing w:val="-4"/>
                <w:sz w:val="15"/>
                <w:szCs w:val="15"/>
                <w:highlight w:val="none"/>
                <w:lang w:val="en-US" w:eastAsia="zh-CN"/>
                <w14:textFill>
                  <w14:solidFill>
                    <w14:schemeClr w14:val="tx1"/>
                  </w14:solidFill>
                </w14:textFill>
              </w:rPr>
              <w:t>3.对重大事故隐患或者 3 处以上一般事故隐患未采取措施消除的，处 4 万元以上 5 万元以下的罚款；拒不执行的，对其直接负责的主管人员和其他直接责任人员处 9 万元以上 10 万元以下的罚款。</w:t>
            </w:r>
          </w:p>
          <w:p>
            <w:pPr>
              <w:spacing w:line="232"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ind w:firstLine="242"/>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擅自操作公用燃气阀门</w:t>
            </w:r>
          </w:p>
        </w:tc>
        <w:tc>
          <w:tcPr>
            <w:tcW w:w="2789" w:type="dxa"/>
            <w:shd w:val="clear" w:color="auto" w:fill="auto"/>
            <w:vAlign w:val="center"/>
          </w:tcPr>
          <w:p>
            <w:pPr>
              <w:spacing w:line="220" w:lineRule="exact"/>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安</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全隐患的，系数9。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将燃气管道作为负重支架或者接地引线</w:t>
            </w:r>
          </w:p>
        </w:tc>
        <w:tc>
          <w:tcPr>
            <w:tcW w:w="2789" w:type="dxa"/>
            <w:shd w:val="clear" w:color="auto" w:fill="auto"/>
            <w:vAlign w:val="center"/>
          </w:tcPr>
          <w:p>
            <w:pPr>
              <w:spacing w:line="220" w:lineRule="exact"/>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安装、使用不符合气源要求的燃气燃烧器具</w:t>
            </w:r>
          </w:p>
        </w:tc>
        <w:tc>
          <w:tcPr>
            <w:tcW w:w="2789" w:type="dxa"/>
            <w:shd w:val="clear" w:color="auto" w:fill="auto"/>
            <w:vAlign w:val="center"/>
          </w:tcPr>
          <w:p>
            <w:pPr>
              <w:spacing w:line="240" w:lineRule="exact"/>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发生在人口集中地区或人员密集场所的，系数4；2.</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安装、使用明令淘汰的燃气燃烧器</w:t>
            </w:r>
            <w:r>
              <w:rPr>
                <w:rFonts w:hint="eastAsia" w:asciiTheme="minorEastAsia" w:hAnsiTheme="minorEastAsia" w:eastAsiaTheme="minorEastAsia"/>
                <w:color w:val="000000" w:themeColor="text1"/>
                <w:sz w:val="15"/>
                <w:szCs w:val="15"/>
                <w:highlight w:val="none"/>
                <w14:textFill>
                  <w14:solidFill>
                    <w14:schemeClr w14:val="tx1"/>
                  </w14:solidFill>
                </w14:textFill>
              </w:rPr>
              <w:t>具</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的，系数</w:t>
            </w:r>
            <w:r>
              <w:rPr>
                <w:rFonts w:hint="default" w:asciiTheme="minorEastAsia" w:hAnsiTheme="minorEastAsia" w:eastAsiaTheme="minorEastAsia"/>
                <w:color w:val="000000" w:themeColor="text1"/>
                <w:sz w:val="15"/>
                <w:szCs w:val="15"/>
                <w:highlight w:val="none"/>
                <w:lang w:val="en" w:eastAsia="zh-CN"/>
                <w14:textFill>
                  <w14:solidFill>
                    <w14:schemeClr w14:val="tx1"/>
                  </w14:solidFill>
                </w14:textFill>
              </w:rPr>
              <w:t>4</w:t>
            </w:r>
            <w:r>
              <w:rPr>
                <w:rFonts w:hint="eastAsia" w:asciiTheme="minorEastAsia" w:hAnsiTheme="minorEastAsia" w:eastAsiaTheme="minorEastAsia"/>
                <w:color w:val="000000" w:themeColor="text1"/>
                <w:sz w:val="15"/>
                <w:szCs w:val="15"/>
                <w:highlight w:val="none"/>
                <w:lang w:val="en"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3</w:t>
            </w:r>
            <w:r>
              <w:rPr>
                <w:rFonts w:hint="default" w:asciiTheme="minorEastAsia" w:hAnsiTheme="minorEastAsia" w:eastAsiaTheme="minorEastAsia"/>
                <w:color w:val="000000" w:themeColor="text1"/>
                <w:sz w:val="15"/>
                <w:szCs w:val="15"/>
                <w:highlight w:val="none"/>
                <w:lang w:val="en"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导致相关燃气安全事故或者存在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17</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擅自安装、改装、拆除户内燃气设施和燃气计量装置</w:t>
            </w:r>
          </w:p>
        </w:tc>
        <w:tc>
          <w:tcPr>
            <w:tcW w:w="2789" w:type="dxa"/>
            <w:shd w:val="clear" w:color="auto" w:fill="auto"/>
            <w:vAlign w:val="center"/>
          </w:tcPr>
          <w:p>
            <w:pPr>
              <w:spacing w:line="240" w:lineRule="exact"/>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，系数4</w:t>
            </w:r>
            <w:r>
              <w:rPr>
                <w:rFonts w:hint="eastAsia" w:cs="宋体" w:asciiTheme="minorEastAsia" w:hAnsiTheme="minorEastAsia" w:eastAsiaTheme="minorEastAsia"/>
                <w:strike w:val="0"/>
                <w:dstrike w:val="0"/>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.导致相关燃气安全事故或者存在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在不具备安全条件的场所使用、储存燃气</w:t>
            </w:r>
          </w:p>
        </w:tc>
        <w:tc>
          <w:tcPr>
            <w:tcW w:w="2789" w:type="dxa"/>
            <w:shd w:val="clear" w:color="auto" w:fill="auto"/>
            <w:vAlign w:val="center"/>
          </w:tcPr>
          <w:p>
            <w:pPr>
              <w:spacing w:line="240" w:lineRule="exact"/>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2个以上不合格安全条件的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 发生在人口集中地区或人员密集场所</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，系数4；</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.导致相关燃气安全事故或者存在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19</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改变燃气用途或者转供燃气</w:t>
            </w:r>
          </w:p>
        </w:tc>
        <w:tc>
          <w:tcPr>
            <w:tcW w:w="2789" w:type="dxa"/>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安全隐患的，系数9。</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未设立售后服务站点或者未配备经考核合格的燃气燃烧器具安装、维修人员</w:t>
            </w:r>
          </w:p>
        </w:tc>
        <w:tc>
          <w:tcPr>
            <w:tcW w:w="2789" w:type="dxa"/>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违法行为持续时间超过半年的，系数4；1年以上</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燃气燃烧器具的安装、维修不符合国家有关标准</w:t>
            </w:r>
          </w:p>
        </w:tc>
        <w:tc>
          <w:tcPr>
            <w:tcW w:w="2789" w:type="dxa"/>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违法行为持续时间超过半年的，系数4；1年以上</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22</w:t>
            </w:r>
          </w:p>
        </w:tc>
        <w:tc>
          <w:tcPr>
            <w:tcW w:w="1500" w:type="dxa"/>
            <w:vMerge w:val="restart"/>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在燃气设施保护范围内进行爆破取土等作业或者动用明火</w:t>
            </w:r>
          </w:p>
        </w:tc>
        <w:tc>
          <w:tcPr>
            <w:tcW w:w="2789" w:type="dxa"/>
            <w:vMerge w:val="restart"/>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1.损坏燃气设施或者其它影响用气情形的，系数0.5；2.发生燃气事故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或者其它严重影响用气情形的，系数1。</w:t>
            </w:r>
          </w:p>
        </w:tc>
        <w:tc>
          <w:tcPr>
            <w:tcW w:w="17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1.损坏燃气设施或者其它影响用气情形的，系数7；2.发生燃气事故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或者其它严重影响用气情形的，系数9。</w:t>
            </w:r>
          </w:p>
        </w:tc>
        <w:tc>
          <w:tcPr>
            <w:tcW w:w="17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在燃气设施保护范围内倾倒、排放腐蚀性物质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在燃气设施保护范围内放置易燃易爆物品或者种植深根植物</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7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17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7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25</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在燃气设施保护范围内擅自从事敷设管道、打桩、顶进、挖掘、钻探等可能影响燃气设施安全活动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7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17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7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侵占、毁损、擅自拆除、移动燃气设施</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200户（含200户）-500户或者非居民用户达到3户（含3户）-5户的，系数为0.5；</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影响居民用户达到</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500户（含500户）或者非居民用户达到5户（含5户）的，系数为1；</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存在其它影响用气情形的，系数0.5；</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200户（含200户）-500户或者非居民用户达到3户（含3户）-5户的，系数为4；</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影响居民用户达到</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500户（含500户）或者非居民用户达到5户（含5户）的，系数为9；</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存在其它影响用气情形的，系数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4-8</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27</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擅自改动市政燃气设施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pacing w:val="-4"/>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200户（含200户）-500户或者非居民用户达到3户（含3户）-5户的，系数为0.5；</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影响居民用户达到</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500户（含500户）或者非居民用户达到5户（含5户）的，系数为1；</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存在其它影响用气情形的，系数0.5；</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pStyle w:val="17"/>
              <w:ind w:left="0" w:leftChars="0" w:firstLine="0"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200户（含200户）-500户或者非居民用户达到3户（含3户）-5户的，系数为4；</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影响居民用户达到</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500户（含500户）或者非居民用户达到5户（含5户）的，系数为9；</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.存在</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其它影响用气情形的，系数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4-8</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28</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毁损、覆盖、涂改、擅自拆除或者移动燃气设施安全警示标志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发生在人口集中地区或人员密集场所的，系数2；2.导致相关燃气安全事故的，系数4。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处以1000元以下的罚款。按照办法规定和实际情况执行。</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29</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建设单位未会同施工单位与管道燃气经营者共同制定燃气设施保护方案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发生在人口集中地区或人员密集场所的，系数2；2.</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造成燃气设施毁损的，系数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4-9；3</w:t>
            </w:r>
            <w:r>
              <w:rPr>
                <w:rFonts w:hint="default" w:cs="宋体" w:asciiTheme="minorEastAsia" w:hAnsiTheme="minorEastAsia" w:eastAsiaTheme="minorEastAsia"/>
                <w:color w:val="000000" w:themeColor="text1"/>
                <w:kern w:val="0"/>
                <w:sz w:val="15"/>
                <w:szCs w:val="15"/>
                <w:highlight w:val="none"/>
                <w:lang w:val="en"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导致</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相关燃气安全事故的，系数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建设单位、施工单位未采取安全保护措施，确保燃气设施运行安全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发生在人口集中地区或人员密集场所的，系数2；2.</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造成燃气设施毁损的，系数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4-9；3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导致</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71" w:name="_Toc110851458"/>
            <w:bookmarkStart w:id="72" w:name="_Toc1968530984"/>
            <w:bookmarkStart w:id="73" w:name="_Toc1483790773"/>
            <w:r>
              <w:rPr>
                <w:rFonts w:hint="eastAsia" w:asciiTheme="minorEastAsia" w:hAnsiTheme="minorEastAsia" w:eastAsiaTheme="minorEastAsia"/>
                <w:color w:val="000000" w:themeColor="text1"/>
                <w:sz w:val="21"/>
                <w:szCs w:val="21"/>
                <w:highlight w:val="none"/>
                <w14:textFill>
                  <w14:solidFill>
                    <w14:schemeClr w14:val="tx1"/>
                  </w14:solidFill>
                </w14:textFill>
              </w:rPr>
              <w:t>《北京市燃气管理条例》案由26项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未取得燃气经营许可从事燃气经营活动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违反条款：第十六条第一款；</w:t>
            </w:r>
          </w:p>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numPr>
                <w:ilvl w:val="0"/>
                <w:numId w:val="0"/>
              </w:num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1.跨区级区域经营或者违规经营规模较大(气瓶数量超过28个)，系数5；</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default" w:cs="宋体" w:asciiTheme="minorEastAsia" w:hAnsiTheme="minorEastAsia" w:eastAsiaTheme="minorEastAsia"/>
                <w:color w:val="000000" w:themeColor="text1"/>
                <w:kern w:val="0"/>
                <w:sz w:val="15"/>
                <w:szCs w:val="15"/>
                <w:highlight w:val="none"/>
                <w:lang w:val="en"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经营场所在人口集中地区、人员密集场所</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或者邻近电力、管线等需要特殊保护的场所的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系数5</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u w:val="none"/>
                <w:lang w:val="en-US" w:eastAsia="zh-CN"/>
                <w14:textFill>
                  <w14:solidFill>
                    <w14:schemeClr w14:val="tx1"/>
                  </w14:solidFill>
                </w14:textFill>
              </w:rPr>
              <w:t>3</w:t>
            </w:r>
            <w:r>
              <w:rPr>
                <w:rFonts w:hint="eastAsia" w:cs="宋体" w:asciiTheme="minorEastAsia" w:hAnsiTheme="minorEastAsia" w:eastAsiaTheme="minorEastAsia"/>
                <w:b w:val="0"/>
                <w:bCs w:val="0"/>
                <w:color w:val="000000" w:themeColor="text1"/>
                <w:kern w:val="0"/>
                <w:sz w:val="15"/>
                <w:szCs w:val="15"/>
                <w:highlight w:val="none"/>
                <w:u w:val="none"/>
                <w14:textFill>
                  <w14:solidFill>
                    <w14:schemeClr w14:val="tx1"/>
                  </w14:solidFill>
                </w14:textFill>
              </w:rPr>
              <w:t>.持续时间超过</w:t>
            </w:r>
            <w:r>
              <w:rPr>
                <w:rFonts w:hint="eastAsia" w:cs="宋体" w:asciiTheme="minorEastAsia" w:hAnsiTheme="minorEastAsia" w:eastAsiaTheme="minorEastAsia"/>
                <w:b w:val="0"/>
                <w:bCs w:val="0"/>
                <w:strike w:val="0"/>
                <w:dstrike w:val="0"/>
                <w:color w:val="000000" w:themeColor="text1"/>
                <w:kern w:val="0"/>
                <w:sz w:val="15"/>
                <w:szCs w:val="15"/>
                <w:highlight w:val="none"/>
                <w:u w:val="none"/>
                <w:lang w:val="en-US" w:eastAsia="zh-CN"/>
                <w14:textFill>
                  <w14:solidFill>
                    <w14:schemeClr w14:val="tx1"/>
                  </w14:solidFill>
                </w14:textFill>
              </w:rPr>
              <w:t>2个月的</w:t>
            </w:r>
            <w:r>
              <w:rPr>
                <w:rFonts w:hint="eastAsia" w:cs="宋体" w:asciiTheme="minorEastAsia" w:hAnsiTheme="minorEastAsia" w:eastAsiaTheme="minorEastAsia"/>
                <w:b w:val="0"/>
                <w:bCs w:val="0"/>
                <w:color w:val="000000" w:themeColor="text1"/>
                <w:kern w:val="0"/>
                <w:sz w:val="15"/>
                <w:szCs w:val="15"/>
                <w:highlight w:val="none"/>
                <w:u w:val="none"/>
                <w14:textFill>
                  <w14:solidFill>
                    <w14:schemeClr w14:val="tx1"/>
                  </w14:solidFill>
                </w14:textFill>
              </w:rPr>
              <w:t>，系数</w:t>
            </w:r>
            <w:r>
              <w:rPr>
                <w:rFonts w:hint="eastAsia" w:cs="宋体" w:asciiTheme="minorEastAsia" w:hAnsiTheme="minorEastAsia" w:eastAsiaTheme="minorEastAsia"/>
                <w:b w:val="0"/>
                <w:bCs w:val="0"/>
                <w:color w:val="000000" w:themeColor="text1"/>
                <w:kern w:val="0"/>
                <w:sz w:val="15"/>
                <w:szCs w:val="15"/>
                <w:highlight w:val="none"/>
                <w:u w:val="none"/>
                <w:lang w:val="en-US" w:eastAsia="zh-CN"/>
                <w14:textFill>
                  <w14:solidFill>
                    <w14:schemeClr w14:val="tx1"/>
                  </w14:solidFill>
                </w14:textFill>
              </w:rPr>
              <w:t>3</w:t>
            </w:r>
            <w:r>
              <w:rPr>
                <w:rFonts w:hint="eastAsia" w:cs="宋体" w:asciiTheme="minorEastAsia" w:hAnsiTheme="minorEastAsia" w:eastAsiaTheme="minorEastAsia"/>
                <w:b w:val="0"/>
                <w:bCs w:val="0"/>
                <w:color w:val="000000" w:themeColor="text1"/>
                <w:kern w:val="0"/>
                <w:sz w:val="15"/>
                <w:szCs w:val="15"/>
                <w:highlight w:val="none"/>
                <w:u w:val="none"/>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u w:val="none"/>
                <w:lang w:eastAsia="zh-CN"/>
                <w14:textFill>
                  <w14:solidFill>
                    <w14:schemeClr w14:val="tx1"/>
                  </w14:solidFill>
                </w14:textFill>
              </w:rPr>
              <w:t>超过半年的</w:t>
            </w:r>
            <w:r>
              <w:rPr>
                <w:rFonts w:hint="eastAsia" w:cs="宋体" w:asciiTheme="minorEastAsia" w:hAnsiTheme="minorEastAsia" w:eastAsiaTheme="minorEastAsia"/>
                <w:b w:val="0"/>
                <w:bCs w:val="0"/>
                <w:color w:val="000000" w:themeColor="text1"/>
                <w:kern w:val="0"/>
                <w:sz w:val="15"/>
                <w:szCs w:val="15"/>
                <w:highlight w:val="none"/>
                <w:u w:val="none"/>
                <w:lang w:val="en-US" w:eastAsia="zh-CN"/>
                <w14:textFill>
                  <w14:solidFill>
                    <w14:schemeClr w14:val="tx1"/>
                  </w14:solidFill>
                </w14:textFill>
              </w:rPr>
              <w:t>，</w:t>
            </w:r>
            <w:r>
              <w:rPr>
                <w:rFonts w:hint="eastAsia" w:cs="宋体" w:asciiTheme="minorEastAsia" w:hAnsiTheme="minorEastAsia" w:eastAsiaTheme="minorEastAsia"/>
                <w:b w:val="0"/>
                <w:bCs w:val="0"/>
                <w:color w:val="000000" w:themeColor="text1"/>
                <w:kern w:val="0"/>
                <w:sz w:val="15"/>
                <w:szCs w:val="15"/>
                <w:highlight w:val="none"/>
                <w:u w:val="none"/>
                <w:lang w:eastAsia="zh-CN"/>
                <w14:textFill>
                  <w14:solidFill>
                    <w14:schemeClr w14:val="tx1"/>
                  </w14:solidFill>
                </w14:textFill>
              </w:rPr>
              <w:t>系数为</w:t>
            </w:r>
            <w:r>
              <w:rPr>
                <w:rFonts w:hint="eastAsia" w:cs="宋体" w:asciiTheme="minorEastAsia" w:hAnsiTheme="minorEastAsia" w:eastAsiaTheme="minorEastAsia"/>
                <w:b w:val="0"/>
                <w:bCs w:val="0"/>
                <w:color w:val="000000" w:themeColor="text1"/>
                <w:kern w:val="0"/>
                <w:sz w:val="15"/>
                <w:szCs w:val="15"/>
                <w:highlight w:val="none"/>
                <w:u w:val="none"/>
                <w:lang w:val="en-US" w:eastAsia="zh-CN"/>
                <w14:textFill>
                  <w14:solidFill>
                    <w14:schemeClr w14:val="tx1"/>
                  </w14:solidFill>
                </w14:textFill>
              </w:rPr>
              <w:t>6；</w:t>
            </w:r>
            <w:r>
              <w:rPr>
                <w:rFonts w:hint="eastAsia" w:cs="宋体" w:asciiTheme="minorEastAsia" w:hAnsiTheme="minorEastAsia" w:eastAsiaTheme="minorEastAsia"/>
                <w:b w:val="0"/>
                <w:bCs w:val="0"/>
                <w:color w:val="000000" w:themeColor="text1"/>
                <w:kern w:val="0"/>
                <w:sz w:val="15"/>
                <w:szCs w:val="15"/>
                <w:highlight w:val="none"/>
                <w:u w:val="none"/>
                <w14:textFill>
                  <w14:solidFill>
                    <w14:schemeClr w14:val="tx1"/>
                  </w14:solidFill>
                </w14:textFill>
              </w:rPr>
              <w:t>1年以上，系数9；</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r>
              <w:rPr>
                <w:rFonts w:hint="default" w:cs="宋体" w:asciiTheme="minorEastAsia" w:hAnsiTheme="minorEastAsia" w:eastAsiaTheme="minorEastAsia"/>
                <w:color w:val="000000" w:themeColor="text1"/>
                <w:kern w:val="0"/>
                <w:sz w:val="15"/>
                <w:szCs w:val="15"/>
                <w:highlight w:val="none"/>
                <w:lang w:val="en"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发生燃气安全事故的，系数9。</w:t>
            </w:r>
          </w:p>
        </w:tc>
        <w:tc>
          <w:tcPr>
            <w:tcW w:w="1785" w:type="dxa"/>
            <w:shd w:val="clear" w:color="auto" w:fill="auto"/>
            <w:vAlign w:val="center"/>
          </w:tcPr>
          <w:p>
            <w:pPr>
              <w:spacing w:line="232" w:lineRule="exact"/>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2</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燃气供应企业不按照燃气经营许可决定的要求从事燃气经营活动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违反条款：第十六条第四款；</w:t>
            </w:r>
          </w:p>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1.违规经营时间较长（超过半年），规模较大</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（违规气瓶数量超过28个）</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，或者经营场所在人口集中地区、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人员密集场所</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的，系数4；</w:t>
            </w:r>
            <w:r>
              <w:rPr>
                <w:rFonts w:hint="eastAsia" w:cs="仿宋_GB2312"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.发生燃气安全事故</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的</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，系数6。</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罚款数额＝30000×（1＋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3</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燃气供应企业不符合燃气经营许可条件要求从事燃气经营活动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违反条款：第十六条第二款；</w:t>
            </w:r>
          </w:p>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1.违规经营时间较长（超过半年），规模较大</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（违规气瓶数量超过28个）</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，或者经营场所在人口集中地区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、人员密集场所</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的</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，系数4；</w:t>
            </w:r>
            <w:r>
              <w:rPr>
                <w:rFonts w:hint="eastAsia" w:cs="仿宋_GB2312"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.发生燃气安全事故</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安全隐患的，系数6。</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罚款数额＝30000×（1＋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4</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燃气供应企业违反规定情形与非居民用户签订供用气合同（进行供气）</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第二十条（一）（二）（三）项（根据实际情况选择适用）；</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仿宋_GB2312" w:asciiTheme="minorEastAsia" w:hAnsiTheme="minorEastAsia" w:eastAsiaTheme="minorEastAsia"/>
                <w:color w:val="000000" w:themeColor="text1"/>
                <w:spacing w:val="-4"/>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pacing w:val="-4"/>
                <w:kern w:val="0"/>
                <w:sz w:val="15"/>
                <w:szCs w:val="15"/>
                <w:highlight w:val="none"/>
                <w14:textFill>
                  <w14:solidFill>
                    <w14:schemeClr w14:val="tx1"/>
                  </w14:solidFill>
                </w14:textFill>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燃气供应企业未向用户提供安全、稳定、质量合格和价格合理的服务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1.违规经营时间较长（超过半年），规模较大</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（违规气瓶数量超过28个）</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，或者经营场所在人口集中地区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、人员密集场所</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的，系数2；2.未按燃气管理部门要求整改，或整改后再次发生类似违法行为的，系数4；3.发生燃气安全事故</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的</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7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燃气供应企业未建立和完善安全保障制度并遵守相关规定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1.存在</w:t>
            </w:r>
            <w:r>
              <w:rPr>
                <w:rFonts w:hint="eastAsia" w:cs="仿宋_GB2312" w:asciiTheme="minorEastAsia" w:hAnsiTheme="minorEastAsia" w:eastAsiaTheme="minorEastAsia"/>
                <w:color w:val="000000" w:themeColor="text1"/>
                <w:kern w:val="0"/>
                <w:sz w:val="15"/>
                <w:szCs w:val="15"/>
                <w:highlight w:val="none"/>
                <w:shd w:val="clear" w:color="auto" w:fill="FFFFFF"/>
                <w14:textFill>
                  <w14:solidFill>
                    <w14:schemeClr w14:val="tx1"/>
                  </w14:solidFill>
                </w14:textFill>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7</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燃气供应企业未建立健全用户服务制度、规范服务行为并遵守相关规定</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违反条款：第二十三条第（一）（二）（三）（四）（五）（六）（七）项（根据实际违法情形选择）；</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做好</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8</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燃气供应企业销售瓶装液化石油气未如实记录用户基本信息以及用户持有气瓶的数量、定期检验周期和报废期限等情况</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违反条款：第二十四条第一款；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9</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燃气供应企业未在用户持有的气瓶定期检验周期、报废期限到期前三十日内通知用户将气瓶送交处理</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违反条款：第二十四条第二款；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10</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燃气供应企业对非居民用户未直接配送、安装气瓶，并对其用气场所、燃气设施和用气设备进行安全检查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违反条款：第二十五条第一款；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11</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燃气供应企业未对直接配送瓶装液化石油气居民用户的用气场所、燃气设施和用气设备进行安全检查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违反条款：第二十五条第二款；</w:t>
            </w:r>
          </w:p>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12</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燃气供应企业销售瓶装燃气未遵守相关规定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1.违法行为影响正常用气的，系数2-3；2.发生燃气事故，存在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13</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燃气供应企业未按要求对燃气用户暂停供气或者限制购气并进行报告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存在以下情形之一的，可视为情节严重：</w:t>
            </w:r>
            <w:r>
              <w:rPr>
                <w:rFonts w:hint="eastAsia" w:asciiTheme="minorEastAsia" w:hAnsiTheme="minorEastAsia" w:eastAsiaTheme="minorEastAsia"/>
                <w:color w:val="000000" w:themeColor="text1"/>
                <w:sz w:val="15"/>
                <w:szCs w:val="15"/>
                <w:highlight w:val="none"/>
                <w14:textFill>
                  <w14:solidFill>
                    <w14:schemeClr w14:val="tx1"/>
                  </w14:solidFill>
                </w14:textFill>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拟作出吊销处罚的，作出处罚决定前，要邀请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部门共同会商；对于可能影响公共利益的，提请</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行业主管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14</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燃气非居民用户未安装、使用符合要求的燃气燃烧器具及其连接管、燃气泄漏报警装置</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违反条款：第二十七条第一款；</w:t>
            </w:r>
          </w:p>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1.违法行为影响正常用气的，系数2-3；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安装、使用明令淘汰的燃气燃烧器</w:t>
            </w:r>
            <w:r>
              <w:rPr>
                <w:rFonts w:hint="eastAsia" w:asciiTheme="minorEastAsia" w:hAnsiTheme="minorEastAsia" w:eastAsiaTheme="minorEastAsia"/>
                <w:color w:val="000000" w:themeColor="text1"/>
                <w:sz w:val="15"/>
                <w:szCs w:val="15"/>
                <w:highlight w:val="none"/>
                <w14:textFill>
                  <w14:solidFill>
                    <w14:schemeClr w14:val="tx1"/>
                  </w14:solidFill>
                </w14:textFill>
              </w:rPr>
              <w:t>具</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2-3</w:t>
            </w:r>
            <w:r>
              <w:rPr>
                <w:rFonts w:hint="eastAsia" w:asciiTheme="minorEastAsia" w:hAnsiTheme="minorEastAsia" w:eastAsiaTheme="minorEastAsia"/>
                <w:color w:val="000000" w:themeColor="text1"/>
                <w:sz w:val="15"/>
                <w:szCs w:val="15"/>
                <w:highlight w:val="none"/>
                <w:lang w:val="en"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逾期不改正的情形，不纳入本案由</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15</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非居民用户存在燃气使用禁止的行为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违反条款：第三十条第一款第（一）至（十二）项、第二款（根据实际违法情形选择）；</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16</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需要作出200元以下罚款决定的，由执法人员在案卷中说明理由并自行决定。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17</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管道燃气供应企业未按照规范维修、安装、改装、移动或者拆除居民用户专有部分的燃气设施</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违反条款：第三十三条第一款；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1.违法行为影响正常用气的，系数2-3；2.发生燃气事故，存在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18</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单位侵占、毁损，擅自拆除、改装、安装、移动燃气设施</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违反条款：第三十六条第一款；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50000</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200户（含200户）-500户或者非居民用户达到3户（含3户）-5户的，系数为0.5；</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影响居民用户达到</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500户（含500户）或者非居民用户达到5户（含5户）的，系数为1；</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存在其它影响用气情形的，系数0.5；</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1"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19</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燃气供应企业不按照燃气设施改动许可的要求实施作业</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违反条款：第三十六条第五款；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1.损坏燃气设施或者</w:t>
            </w:r>
            <w:r>
              <w:rPr>
                <w:rFonts w:hint="eastAsia" w:cs="仿宋_GB2312" w:asciiTheme="minorEastAsia" w:hAnsiTheme="minorEastAsia" w:eastAsiaTheme="minorEastAsia"/>
                <w:strike w:val="0"/>
                <w:dstrike w:val="0"/>
                <w:color w:val="000000" w:themeColor="text1"/>
                <w:kern w:val="0"/>
                <w:sz w:val="15"/>
                <w:szCs w:val="15"/>
                <w:highlight w:val="none"/>
                <w:lang w:eastAsia="zh-CN"/>
                <w14:textFill>
                  <w14:solidFill>
                    <w14:schemeClr w14:val="tx1"/>
                  </w14:solidFill>
                </w14:textFill>
              </w:rPr>
              <w:t>存在</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其它影响用气情形的，系数0.5；2.发生燃气事故</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20</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个人擅自拆除、改装、安装或者移动户内管道燃气设施</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违反条款：第三十六条第一款；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1.</w:t>
            </w:r>
            <w:r>
              <w:rPr>
                <w:rFonts w:hint="eastAsia" w:cs="仿宋_GB2312" w:asciiTheme="minorEastAsia" w:hAnsiTheme="minorEastAsia" w:eastAsiaTheme="minorEastAsia"/>
                <w:strike w:val="0"/>
                <w:dstrike w:val="0"/>
                <w:color w:val="000000" w:themeColor="text1"/>
                <w:kern w:val="0"/>
                <w:sz w:val="15"/>
                <w:szCs w:val="15"/>
                <w:highlight w:val="none"/>
                <w14:textFill>
                  <w14:solidFill>
                    <w14:schemeClr w14:val="tx1"/>
                  </w14:solidFill>
                </w14:textFill>
              </w:rPr>
              <w:t>损坏燃气设施或者</w:t>
            </w:r>
            <w:r>
              <w:rPr>
                <w:rFonts w:hint="eastAsia" w:cs="仿宋_GB2312" w:asciiTheme="minorEastAsia" w:hAnsiTheme="minorEastAsia" w:eastAsiaTheme="minorEastAsia"/>
                <w:strike w:val="0"/>
                <w:dstrike w:val="0"/>
                <w:color w:val="000000" w:themeColor="text1"/>
                <w:kern w:val="0"/>
                <w:sz w:val="15"/>
                <w:szCs w:val="15"/>
                <w:highlight w:val="none"/>
                <w:lang w:eastAsia="zh-CN"/>
                <w14:textFill>
                  <w14:solidFill>
                    <w14:schemeClr w14:val="tx1"/>
                  </w14:solidFill>
                </w14:textFill>
              </w:rPr>
              <w:t>存在</w:t>
            </w:r>
            <w:r>
              <w:rPr>
                <w:rFonts w:hint="eastAsia" w:cs="仿宋_GB2312" w:asciiTheme="minorEastAsia" w:hAnsiTheme="minorEastAsia" w:eastAsiaTheme="minorEastAsia"/>
                <w:strike w:val="0"/>
                <w:dstrike w:val="0"/>
                <w:color w:val="000000" w:themeColor="text1"/>
                <w:kern w:val="0"/>
                <w:sz w:val="15"/>
                <w:szCs w:val="15"/>
                <w:highlight w:val="none"/>
                <w14:textFill>
                  <w14:solidFill>
                    <w14:schemeClr w14:val="tx1"/>
                  </w14:solidFill>
                </w14:textFill>
              </w:rPr>
              <w:t>其它影响用气情形的，系数5-8；2.发生燃气事故</w:t>
            </w:r>
            <w:r>
              <w:rPr>
                <w:rFonts w:hint="eastAsia" w:cs="仿宋_GB2312" w:asciiTheme="minorEastAsia" w:hAnsiTheme="minorEastAsia" w:eastAsiaTheme="minorEastAsia"/>
                <w:strike w:val="0"/>
                <w:dstrike w:val="0"/>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strike w:val="0"/>
                <w:dstrike w:val="0"/>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strike w:val="0"/>
                <w:dstrike w:val="0"/>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strike w:val="0"/>
                <w:dstrike w:val="0"/>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strike w:val="0"/>
                <w:dstrike w:val="0"/>
                <w:color w:val="000000" w:themeColor="text1"/>
                <w:kern w:val="0"/>
                <w:sz w:val="15"/>
                <w:szCs w:val="15"/>
                <w:highlight w:val="none"/>
                <w14:textFill>
                  <w14:solidFill>
                    <w14:schemeClr w14:val="tx1"/>
                  </w14:solidFill>
                </w14:textFill>
              </w:rPr>
              <w:t>或者其它严重影响用气情形的，系数9。</w:t>
            </w:r>
          </w:p>
          <w:p>
            <w:pPr>
              <w:numPr>
                <w:ilvl w:val="0"/>
                <w:numId w:val="0"/>
              </w:num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罚款数额＝100×（1＋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逾期不改正的，才能实施处罚；能够及时改正的，可作出不予处罚决定。</w:t>
            </w:r>
          </w:p>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需要作出100元以下罚款决定的，由执法人员说明理由并自行决定。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21</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个人侵占、毁损，擅自拆除、改装、安装或者移动户外燃气设施</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违反条款：第三十六条第一款；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default" w:cs="仿宋_GB2312" w:asciiTheme="minorEastAsia" w:hAnsiTheme="minorEastAsia" w:eastAsiaTheme="minorEastAsia"/>
                <w:color w:val="000000" w:themeColor="text1"/>
                <w:sz w:val="15"/>
                <w:szCs w:val="15"/>
                <w:highlight w:val="none"/>
                <w:lang w:val="en-US"/>
                <w14:textFill>
                  <w14:solidFill>
                    <w14:schemeClr w14:val="tx1"/>
                  </w14:solidFill>
                </w14:textFill>
              </w:rPr>
            </w:pP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200户（含200户）-500户或者非居民用户达到3户（含3户）-5户的，系数为4；</w:t>
            </w:r>
            <w:r>
              <w:rPr>
                <w:rFonts w:hint="eastAsia" w:cs="宋体" w:asciiTheme="minorEastAsia" w:hAnsiTheme="minorEastAsia" w:eastAsiaTheme="minorEastAsia"/>
                <w:b w:val="0"/>
                <w:bCs w:val="0"/>
                <w:color w:val="000000" w:themeColor="text1"/>
                <w:kern w:val="0"/>
                <w:sz w:val="15"/>
                <w:szCs w:val="15"/>
                <w:highlight w:val="none"/>
                <w:lang w:eastAsia="zh-CN"/>
                <w14:textFill>
                  <w14:solidFill>
                    <w14:schemeClr w14:val="tx1"/>
                  </w14:solidFill>
                </w14:textFill>
              </w:rPr>
              <w:t>影响居民用户达到</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500户（含500户）或者非居民用户达到5户（含5户）的，系数为9；</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15"/>
                <w:szCs w:val="15"/>
                <w:highlight w:val="none"/>
                <w:lang w:val="en-US"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存在其它影响用气情形的，系数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4-8</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发生燃气事故</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9。</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22</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建设单位未在地下管线安全防护信息系统发布施工作业信息</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违反条款：第三十七条第一款；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造成燃气设施毁损的，系数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0.5-1；2</w:t>
            </w:r>
            <w:r>
              <w:rPr>
                <w:rFonts w:hint="default" w:cs="宋体" w:asciiTheme="minorEastAsia" w:hAnsiTheme="minorEastAsia" w:eastAsiaTheme="minorEastAsia"/>
                <w:color w:val="000000" w:themeColor="text1"/>
                <w:kern w:val="0"/>
                <w:sz w:val="15"/>
                <w:szCs w:val="15"/>
                <w:highlight w:val="none"/>
                <w:lang w:val="en"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发生燃气事故或者</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8"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23</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燃气供应企业未就地下管道燃气设施情况及时告知建设单位</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违反条款：第三十七条第一款；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造成燃气设施毁损的，系数</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0.5-1；2</w:t>
            </w:r>
            <w:r>
              <w:rPr>
                <w:rFonts w:hint="default" w:cs="宋体" w:asciiTheme="minorEastAsia" w:hAnsiTheme="minorEastAsia" w:eastAsiaTheme="minorEastAsia"/>
                <w:color w:val="000000" w:themeColor="text1"/>
                <w:kern w:val="0"/>
                <w:sz w:val="15"/>
                <w:szCs w:val="15"/>
                <w:highlight w:val="none"/>
                <w:lang w:val="en"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发生燃气事故或者</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8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24</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建设单位未采取措施确保地下管道燃气设施运行安全</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违反条款：第三十七条第二款；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25</w:t>
            </w:r>
          </w:p>
        </w:tc>
        <w:tc>
          <w:tcPr>
            <w:tcW w:w="1500"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施工单位未按照安全保护方案进行施工</w:t>
            </w: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违反条款：第三十八条第一款；</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 发生在人口集中地区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或人员密集场所</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的，系数2；</w:t>
            </w:r>
            <w:r>
              <w:rPr>
                <w:rFonts w:hint="eastAsia" w:cs="仿宋_GB2312"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违法行为影响正常用气的，系数5-9；</w:t>
            </w:r>
            <w:r>
              <w:rPr>
                <w:rFonts w:hint="eastAsia" w:cs="仿宋_GB2312" w:asciiTheme="minorEastAsia" w:hAnsiTheme="minorEastAsia" w:eastAsiaTheme="minorEastAsia"/>
                <w:color w:val="000000" w:themeColor="text1"/>
                <w:kern w:val="0"/>
                <w:sz w:val="15"/>
                <w:szCs w:val="15"/>
                <w:highlight w:val="none"/>
                <w:lang w:val="en-US" w:eastAsia="zh-CN"/>
                <w14:textFill>
                  <w14:solidFill>
                    <w14:schemeClr w14:val="tx1"/>
                  </w14:solidFill>
                </w14:textFill>
              </w:rPr>
              <w:t>3</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.发生燃气安全事故</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或者</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安全隐患或者的，系数9。</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26</w:t>
            </w:r>
          </w:p>
        </w:tc>
        <w:tc>
          <w:tcPr>
            <w:tcW w:w="1500" w:type="dxa"/>
            <w:vMerge w:val="restart"/>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在管道燃气设施保护范围内从事危及管道燃气设施安全的活动</w:t>
            </w:r>
          </w:p>
        </w:tc>
        <w:tc>
          <w:tcPr>
            <w:tcW w:w="2789" w:type="dxa"/>
            <w:vMerge w:val="restart"/>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违反条款：第四十一条第二款第(二)（三）(四)项（根据实际违法情形选择）；</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50000</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1.损坏燃气设施</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或者存在</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其它影响用气情形的，系数0.5；2.发生燃气事故，存在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000000" w:themeColor="text1"/>
                <w:kern w:val="0"/>
                <w:sz w:val="15"/>
                <w:szCs w:val="15"/>
                <w:highlight w:val="none"/>
                <w:lang w:val="en" w:eastAsia="zh-CN"/>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spacing w:line="232" w:lineRule="exact"/>
              <w:rPr>
                <w:rFonts w:hint="eastAsia" w:cs="仿宋_GB2312" w:asciiTheme="minorEastAsia" w:hAnsiTheme="minorEastAsia" w:eastAsiaTheme="minorEastAsia"/>
                <w:strike/>
                <w:dstrike w:val="0"/>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strike/>
                <w:dstrike w:val="0"/>
                <w:color w:val="000000" w:themeColor="text1"/>
                <w:kern w:val="0"/>
                <w:sz w:val="15"/>
                <w:szCs w:val="15"/>
                <w:highlight w:val="none"/>
                <w14:textFill>
                  <w14:solidFill>
                    <w14:schemeClr w14:val="tx1"/>
                  </w14:solidFill>
                </w14:textFill>
              </w:rPr>
              <w:br w:type="textWrapping"/>
            </w: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5000</w:t>
            </w:r>
          </w:p>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1.损坏燃气设施或者</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存在</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其它影响用气情形的，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系数7</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；2.发生燃气事故，存在</w:t>
            </w:r>
            <w:r>
              <w:rPr>
                <w:rFonts w:hint="eastAsia" w:asciiTheme="minorEastAsia" w:hAnsiTheme="minorEastAsia" w:eastAsiaTheme="minorEastAsia" w:cstheme="minorEastAsia"/>
                <w:b w:val="0"/>
                <w:bCs w:val="0"/>
                <w:strike w:val="0"/>
                <w:dstrike w:val="0"/>
                <w:color w:val="000000" w:themeColor="text1"/>
                <w:sz w:val="15"/>
                <w:szCs w:val="15"/>
                <w:highlight w:val="none"/>
                <w:lang w:val="en-US" w:eastAsia="zh-CN"/>
                <w14:textFill>
                  <w14:solidFill>
                    <w14:schemeClr w14:val="tx1"/>
                  </w14:solidFill>
                </w14:textFill>
              </w:rPr>
              <w:t>重大</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安全隐患</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continue"/>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违反条款：第四十一条第二款第(五)项；</w:t>
            </w:r>
          </w:p>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1. 发生在人口集中地区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或人员密集场所</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的，系数2；2.导致相关燃气安全事故的，系数4。</w:t>
            </w:r>
          </w:p>
        </w:tc>
        <w:tc>
          <w:tcPr>
            <w:tcW w:w="17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仿宋_GB2312"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bookmarkStart w:id="74" w:name="_Toc110851459"/>
            <w:bookmarkStart w:id="75" w:name="_Toc697937810"/>
            <w:bookmarkStart w:id="76" w:name="_Toc1517927781"/>
            <w:r>
              <w:rPr>
                <w:rFonts w:hint="eastAsia" w:asciiTheme="minorEastAsia" w:hAnsiTheme="minorEastAsia" w:eastAsiaTheme="minorEastAsia"/>
                <w:color w:val="000000" w:themeColor="text1"/>
                <w:sz w:val="21"/>
                <w:szCs w:val="21"/>
                <w:highlight w:val="none"/>
                <w14:textFill>
                  <w14:solidFill>
                    <w14:schemeClr w14:val="tx1"/>
                  </w14:solidFill>
                </w14:textFill>
              </w:rPr>
              <w:t>《北京市消防条例》案由1项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人员密集场所使用天然气、液化石油气未安装浓度检测报警装置</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三十四</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条第（四）项；处罚条款：第</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九十五</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违反条款：《中华人民共和国安全生产法》第三十六条第四款；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strike/>
                <w:dstrike w:val="0"/>
                <w:color w:val="000000" w:themeColor="text1"/>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适用于餐饮等行业的生产经营单位使用燃气的情形。</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strike/>
                <w:dstrike w:val="0"/>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vMerge w:val="restart"/>
            <w:shd w:val="clear" w:color="auto" w:fill="auto"/>
            <w:vAlign w:val="center"/>
          </w:tcPr>
          <w:p>
            <w:pPr>
              <w:numPr>
                <w:ilvl w:val="0"/>
                <w:numId w:val="0"/>
              </w:num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适用于餐饮等行业的生产经营单位使用燃气，逾期未改正的情形。</w:t>
            </w:r>
          </w:p>
          <w:p>
            <w:pPr>
              <w:numPr>
                <w:ilvl w:val="0"/>
                <w:numId w:val="0"/>
              </w:num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2.处罚单位，同时处罚直接负责的主管人员和其他直接责任人员。</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strike/>
                <w:dstrike w:val="0"/>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77" w:name="_Toc110851460"/>
            <w:bookmarkStart w:id="78" w:name="_Toc1826085962"/>
            <w:bookmarkStart w:id="79" w:name="_Toc2108634677"/>
            <w:r>
              <w:rPr>
                <w:rFonts w:hint="eastAsia" w:asciiTheme="minorEastAsia" w:hAnsiTheme="minorEastAsia" w:eastAsiaTheme="minorEastAsia"/>
                <w:color w:val="000000" w:themeColor="text1"/>
                <w:sz w:val="21"/>
                <w:szCs w:val="21"/>
                <w:highlight w:val="none"/>
                <w14:textFill>
                  <w14:solidFill>
                    <w14:schemeClr w14:val="tx1"/>
                  </w14:solidFill>
                </w14:textFill>
              </w:rPr>
              <w:t>《北京市清洁燃料车辆加气站管理规定》案由7项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加气站未遵守操作规程或未设专人监护</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违反条款：第八条第（四）项；</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非操作人员进行充气作业</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违反条款：第九条第（一）项；</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加气站为其他容器充气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违反条款：第九条第（二）项；</w:t>
            </w:r>
          </w:p>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直接用运输槽车向车辆充气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违反条款：第九条第（三）项；</w:t>
            </w:r>
          </w:p>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使用明火检查燃气泄露</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违反条款：第九条第（四）项；</w:t>
            </w:r>
          </w:p>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20" w:lineRule="exact"/>
              <w:ind w:left="-7"/>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加气站</w:t>
            </w:r>
            <w:r>
              <w:rPr>
                <w:rFonts w:hint="eastAsia" w:asciiTheme="minorEastAsia" w:hAnsiTheme="minorEastAsia" w:eastAsiaTheme="minorEastAsia"/>
                <w:color w:val="000000" w:themeColor="text1"/>
                <w:sz w:val="15"/>
                <w:szCs w:val="15"/>
                <w:highlight w:val="none"/>
                <w14:textFill>
                  <w14:solidFill>
                    <w14:schemeClr w14:val="tx1"/>
                  </w14:solidFill>
                </w14:textFill>
              </w:rPr>
              <w:t>运营中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存放其他易燃易爆物品或者使用明火</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违反条款：第九条第（五）项；</w:t>
            </w:r>
          </w:p>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7"/>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在加气站内修车、洗车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违反条款：第九条第（六）项；</w:t>
            </w:r>
          </w:p>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1.违规作业时间较长，作业规模较大，或者经营场所在人口集中地区，存在较大安全隐患的，系数2；2.发生事故的，系数4。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20" w:lineRule="exact"/>
              <w:ind w:left="-7"/>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80" w:name="_Toc1473999580"/>
            <w:bookmarkStart w:id="81" w:name="_Toc110851461"/>
            <w:bookmarkStart w:id="82" w:name="_Toc1514974869"/>
            <w:r>
              <w:rPr>
                <w:rFonts w:hint="eastAsia" w:asciiTheme="minorEastAsia" w:hAnsiTheme="minorEastAsia" w:eastAsiaTheme="minorEastAsia"/>
                <w:color w:val="000000" w:themeColor="text1"/>
                <w:sz w:val="21"/>
                <w:szCs w:val="21"/>
                <w:highlight w:val="none"/>
                <w14:textFill>
                  <w14:solidFill>
                    <w14:schemeClr w14:val="tx1"/>
                  </w14:solidFill>
                </w14:textFill>
              </w:rPr>
              <w:t>《</w:t>
            </w:r>
            <w:r>
              <w:rPr>
                <w:rFonts w:asciiTheme="minorEastAsia" w:hAnsiTheme="minorEastAsia" w:eastAsiaTheme="minorEastAsia"/>
                <w:color w:val="000000" w:themeColor="text1"/>
                <w:sz w:val="21"/>
                <w:szCs w:val="21"/>
                <w:highlight w:val="none"/>
                <w14:textFill>
                  <w14:solidFill>
                    <w14:schemeClr w14:val="tx1"/>
                  </w14:solidFill>
                </w14:textFill>
              </w:rPr>
              <w:t>北京市供热采暖管理办法</w:t>
            </w:r>
            <w:r>
              <w:rPr>
                <w:rFonts w:hint="eastAsia" w:asciiTheme="minorEastAsia" w:hAnsiTheme="minorEastAsia" w:eastAsiaTheme="minorEastAsia"/>
                <w:color w:val="000000" w:themeColor="text1"/>
                <w:sz w:val="21"/>
                <w:szCs w:val="21"/>
                <w:highlight w:val="none"/>
                <w14:textFill>
                  <w14:solidFill>
                    <w14:schemeClr w14:val="tx1"/>
                  </w14:solidFill>
                </w14:textFill>
              </w:rPr>
              <w:t>》案由19项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供热单位未办理备案手续</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违反条款：第十条第一款；</w:t>
            </w:r>
          </w:p>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供热单位未办理备案变更手续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违反条款：第十条第二款；</w:t>
            </w:r>
          </w:p>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供热单位提交的备案材料失实</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违反条款：第十条第二款；</w:t>
            </w:r>
          </w:p>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故意隐瞒相关情况，对安全、稳定、质量合格供热造成较大影响的，系数为1。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7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未实施供热设施安全巡检制度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违反条款：第十三条第（一）项；</w:t>
            </w:r>
          </w:p>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供热前未提前在供热范围内进行公告</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违反条款：第十三条第（二）项；</w:t>
            </w:r>
          </w:p>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7"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推迟、中止供热或者提前结束供热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违反条款：第十五条第一款；</w:t>
            </w:r>
          </w:p>
          <w:p>
            <w:pPr>
              <w:autoSpaceDE w:val="0"/>
              <w:spacing w:line="220"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推迟、中止、提前结束供热</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天，变量系数为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1，3天的，系数2，以此类推，6天及以上的，系数5；2.造成较大社会影响的，系数3-5。</w:t>
            </w:r>
          </w:p>
        </w:tc>
        <w:tc>
          <w:tcPr>
            <w:tcW w:w="17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采暖期内退出或者部分退出供热经营活动</w:t>
            </w:r>
          </w:p>
        </w:tc>
        <w:tc>
          <w:tcPr>
            <w:tcW w:w="2789"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违反条款：第十五条第一款；</w:t>
            </w:r>
          </w:p>
          <w:p>
            <w:pPr>
              <w:autoSpaceDE w:val="0"/>
              <w:spacing w:line="226"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6"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按照《基准》的规定执行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对供热单位</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autoSpaceDE w:val="0"/>
              <w:spacing w:line="226" w:lineRule="exact"/>
              <w:jc w:val="cente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w:t>
            </w:r>
          </w:p>
          <w:p>
            <w:pPr>
              <w:autoSpaceDE w:val="0"/>
              <w:spacing w:line="22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对法定代表人</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autoSpaceDE w:val="0"/>
              <w:spacing w:line="22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非采暖期内擅自退出或者部分退出供热经营活动，影响用户采暖</w:t>
            </w:r>
          </w:p>
        </w:tc>
        <w:tc>
          <w:tcPr>
            <w:tcW w:w="2789"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违反条款：第十五条第二款；</w:t>
            </w:r>
          </w:p>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26" w:lineRule="exact"/>
              <w:ind w:left="6" w:hanging="21"/>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按照法条规定执行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2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拆改室内共用供热设施、扩大采暖面积、增加散热设备</w:t>
            </w:r>
          </w:p>
        </w:tc>
        <w:tc>
          <w:tcPr>
            <w:tcW w:w="2789" w:type="dxa"/>
            <w:vMerge w:val="restart"/>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违反条款：第二十一条第一款；</w:t>
            </w:r>
          </w:p>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1．拆改行为明显影响到其它用户供暖效果的，系数为5；2.造成供暖中止等供暖事故的，系数为9。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26"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2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装饰装修房屋妨碍对供热设施进行维修养护</w:t>
            </w:r>
          </w:p>
        </w:tc>
        <w:tc>
          <w:tcPr>
            <w:tcW w:w="2789" w:type="dxa"/>
            <w:vMerge w:val="continue"/>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1．严重影响到正常供暖的，系数为5；2.造成供暖事故的，系数为9。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26" w:lineRule="exact"/>
              <w:ind w:left="6" w:hanging="21"/>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26" w:lineRule="exact"/>
              <w:ind w:left="6" w:hanging="21"/>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擅自拆除、迁移、改建、变卖热源设施，影响用户采暖</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违反条款：第二十三条；</w:t>
            </w:r>
          </w:p>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1．明显影响到采暖效果的，系数为0.5；2.造成供暖中止等供暖事故的，系数为1。</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在地下热力管道安全间距范围内堆放物品，或者进行挖掘、取土、钻探、打桩、埋杆、栽植深根性植物和爆破作业</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违反条款：第二十四条第（二）项；</w:t>
            </w:r>
          </w:p>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向供热管沟内排放有毒、有害、易燃、易爆、易堵塞物品及雨水、污水、工业废液、垃圾</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违反条款：第二十四条第（三）项；</w:t>
            </w:r>
          </w:p>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擅自接入供热管网</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违反条款：第二十四条第（四）项；</w:t>
            </w:r>
          </w:p>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擅自在室内采暖系统上安装危害系统安全的设备</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违反条款：第二十四条第（五）项；</w:t>
            </w:r>
          </w:p>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擅自排放或者取用管道内热水或蒸汽</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违反条款：第二十四条第（六）项；</w:t>
            </w:r>
          </w:p>
          <w:p>
            <w:pPr>
              <w:spacing w:line="232" w:lineRule="exact"/>
              <w:ind w:left="23"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17</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擅自拆除、毁损警示标志</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违反条款：第二十四条第（七）项；</w:t>
            </w:r>
          </w:p>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按照《基准》的规定执行</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18</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擅自操作、拆除共用供热阀门，损坏共用阀门的铅封，改动或者损坏供热计量仪表及其附件等</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违反条款：第二十四条第（八）项；</w:t>
            </w:r>
          </w:p>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按照《基准》的规定执行</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19</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其</w:t>
            </w:r>
            <w:r>
              <w:rPr>
                <w:rFonts w:hint="eastAsia" w:cs="宋体" w:asciiTheme="minorEastAsia" w:hAnsiTheme="minorEastAsia" w:eastAsiaTheme="minorEastAsia"/>
                <w:color w:val="000000" w:themeColor="text1"/>
                <w:kern w:val="0"/>
                <w:sz w:val="15"/>
                <w:szCs w:val="15"/>
                <w:highlight w:val="none"/>
                <w:shd w:val="clear"/>
                <w:lang w:eastAsia="zh-CN"/>
                <w14:textFill>
                  <w14:solidFill>
                    <w14:schemeClr w14:val="tx1"/>
                  </w14:solidFill>
                </w14:textFill>
              </w:rPr>
              <w:t>他</w:t>
            </w:r>
            <w:r>
              <w:rPr>
                <w:rFonts w:hint="eastAsia" w:cs="宋体" w:asciiTheme="minorEastAsia" w:hAnsiTheme="minorEastAsia" w:eastAsiaTheme="minorEastAsia"/>
                <w:color w:val="000000" w:themeColor="text1"/>
                <w:kern w:val="0"/>
                <w:sz w:val="15"/>
                <w:szCs w:val="15"/>
                <w:highlight w:val="none"/>
                <w:shd w:val="clear"/>
                <w14:textFill>
                  <w14:solidFill>
                    <w14:schemeClr w14:val="tx1"/>
                  </w14:solidFill>
                </w14:textFill>
              </w:rPr>
              <w:t>危害</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、损坏供热设施的行为</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违反条款：第二十四条第（九）项；</w:t>
            </w:r>
          </w:p>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83" w:name="_Toc984069521"/>
            <w:bookmarkStart w:id="84" w:name="_Toc110851462"/>
            <w:bookmarkStart w:id="85" w:name="_Toc819278804"/>
            <w:r>
              <w:rPr>
                <w:rFonts w:hint="eastAsia" w:asciiTheme="minorEastAsia" w:hAnsiTheme="minorEastAsia" w:eastAsiaTheme="minorEastAsia"/>
                <w:color w:val="000000" w:themeColor="text1"/>
                <w:sz w:val="21"/>
                <w:szCs w:val="21"/>
                <w:highlight w:val="none"/>
                <w14:textFill>
                  <w14:solidFill>
                    <w14:schemeClr w14:val="tx1"/>
                  </w14:solidFill>
                </w14:textFill>
              </w:rPr>
              <w:t>《北京市民用建筑节能管理办法》案由2项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损坏供热计量装置与调控系统</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pacing w:val="-4"/>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违反条款：第三十三条；</w:t>
            </w:r>
          </w:p>
          <w:p>
            <w:pPr>
              <w:spacing w:line="232" w:lineRule="exact"/>
              <w:rPr>
                <w:rFonts w:asciiTheme="minorEastAsia" w:hAnsiTheme="minorEastAsia" w:eastAsiaTheme="minorEastAsia"/>
                <w:color w:val="000000" w:themeColor="text1"/>
                <w:spacing w:val="-4"/>
                <w:sz w:val="15"/>
                <w:szCs w:val="15"/>
                <w:highlight w:val="none"/>
                <w14:textFill>
                  <w14:solidFill>
                    <w14:schemeClr w14:val="tx1"/>
                  </w14:solidFill>
                </w14:textFill>
              </w:rPr>
            </w:pP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p>
        </w:tc>
        <w:tc>
          <w:tcPr>
            <w:tcW w:w="2385"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影响正常供热的，适用此档处罚。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供热单位不实行供热计量的</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违反条款：第三十五条第一款；</w:t>
            </w:r>
          </w:p>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ind w:left="6" w:hanging="21"/>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按照规定执行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区级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000000" w:themeColor="text1"/>
                <w:sz w:val="21"/>
                <w:szCs w:val="21"/>
                <w:highlight w:val="none"/>
                <w14:textFill>
                  <w14:solidFill>
                    <w14:schemeClr w14:val="tx1"/>
                  </w14:solidFill>
                </w14:textFill>
              </w:rPr>
            </w:pPr>
            <w:bookmarkStart w:id="86" w:name="_Toc636329439"/>
            <w:bookmarkStart w:id="87" w:name="_Toc1311839352"/>
            <w:bookmarkStart w:id="88" w:name="_Toc110851463"/>
            <w:bookmarkStart w:id="89" w:name="_Toc2100881276"/>
            <w:r>
              <w:rPr>
                <w:rFonts w:hint="eastAsia" w:cs="宋体" w:asciiTheme="minorEastAsia" w:hAnsiTheme="minorEastAsia" w:eastAsiaTheme="minorEastAsia"/>
                <w:color w:val="000000" w:themeColor="text1"/>
                <w:sz w:val="21"/>
                <w:szCs w:val="21"/>
                <w:highlight w:val="none"/>
                <w:lang w:val="en-US" w:eastAsia="zh-CN"/>
                <w14:textFill>
                  <w14:solidFill>
                    <w14:schemeClr w14:val="tx1"/>
                  </w14:solidFill>
                </w14:textFill>
              </w:rPr>
              <w:t>《北京市建筑绿色发展条例》案由1项</w:t>
            </w:r>
            <w:bookmarkEnd w:id="86"/>
            <w:bookmarkEnd w:id="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p>
        </w:tc>
        <w:tc>
          <w:tcPr>
            <w:tcW w:w="1500"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供电、供气、供热单位未按照规定报送结算数据</w:t>
            </w:r>
          </w:p>
        </w:tc>
        <w:tc>
          <w:tcPr>
            <w:tcW w:w="2789"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违反条款：第二十六条第三款</w:t>
            </w:r>
          </w:p>
          <w:p>
            <w:pPr>
              <w:pStyle w:val="9"/>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非</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行政</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lang w:eastAsia="zh-Hans"/>
                <w14:textFill>
                  <w14:solidFill>
                    <w14:schemeClr w14:val="tx1"/>
                  </w14:solidFill>
                </w14:textFill>
              </w:rPr>
            </w:pPr>
            <w:bookmarkStart w:id="90" w:name="_Toc2041415668"/>
            <w:r>
              <w:rPr>
                <w:rFonts w:asciiTheme="minorEastAsia" w:hAnsiTheme="minorEastAsia" w:eastAsiaTheme="minorEastAsia"/>
                <w:color w:val="000000" w:themeColor="text1"/>
                <w:sz w:val="21"/>
                <w:szCs w:val="21"/>
                <w:highlight w:val="none"/>
                <w:lang w:eastAsia="zh-Hans"/>
                <w14:textFill>
                  <w14:solidFill>
                    <w14:schemeClr w14:val="tx1"/>
                  </w14:solidFill>
                </w14:textFill>
              </w:rPr>
              <w:t>《</w:t>
            </w:r>
            <w:r>
              <w:rPr>
                <w:rFonts w:hint="eastAsia" w:asciiTheme="minorEastAsia" w:hAnsiTheme="minorEastAsia" w:eastAsiaTheme="minorEastAsia"/>
                <w:color w:val="000000" w:themeColor="text1"/>
                <w:sz w:val="21"/>
                <w:szCs w:val="21"/>
                <w:highlight w:val="none"/>
                <w:lang w:eastAsia="zh-Hans"/>
                <w14:textFill>
                  <w14:solidFill>
                    <w14:schemeClr w14:val="tx1"/>
                  </w14:solidFill>
                </w14:textFill>
              </w:rPr>
              <w:t>中华人民共和国安全生产法</w:t>
            </w:r>
            <w:r>
              <w:rPr>
                <w:rFonts w:asciiTheme="minorEastAsia" w:hAnsiTheme="minorEastAsia" w:eastAsiaTheme="minorEastAsia"/>
                <w:color w:val="000000" w:themeColor="text1"/>
                <w:sz w:val="21"/>
                <w:szCs w:val="21"/>
                <w:highlight w:val="none"/>
                <w:lang w:eastAsia="zh-Hans"/>
                <w14:textFill>
                  <w14:solidFill>
                    <w14:schemeClr w14:val="tx1"/>
                  </w14:solidFill>
                </w14:textFill>
              </w:rPr>
              <w:t>》</w:t>
            </w:r>
            <w:r>
              <w:rPr>
                <w:rFonts w:hint="eastAsia" w:asciiTheme="minorEastAsia" w:hAnsiTheme="minorEastAsia" w:eastAsiaTheme="minorEastAsia"/>
                <w:color w:val="000000" w:themeColor="text1"/>
                <w:sz w:val="21"/>
                <w:szCs w:val="21"/>
                <w:highlight w:val="none"/>
                <w14:textFill>
                  <w14:solidFill>
                    <w14:schemeClr w14:val="tx1"/>
                  </w14:solidFill>
                </w14:textFill>
              </w:rPr>
              <w:t>《北京市安全生产条例》</w:t>
            </w:r>
            <w:r>
              <w:rPr>
                <w:rFonts w:asciiTheme="minorEastAsia" w:hAnsiTheme="minorEastAsia" w:eastAsiaTheme="minorEastAsia"/>
                <w:color w:val="000000" w:themeColor="text1"/>
                <w:sz w:val="21"/>
                <w:szCs w:val="21"/>
                <w:highlight w:val="none"/>
                <w:lang w:eastAsia="zh-Hans"/>
                <w14:textFill>
                  <w14:solidFill>
                    <w14:schemeClr w14:val="tx1"/>
                  </w14:solidFill>
                </w14:textFill>
              </w:rPr>
              <w:t>案由</w:t>
            </w:r>
            <w:r>
              <w:rPr>
                <w:rFonts w:hint="eastAsia" w:asciiTheme="minorEastAsia" w:hAnsiTheme="minorEastAsia" w:eastAsiaTheme="minorEastAsia"/>
                <w:color w:val="000000" w:themeColor="text1"/>
                <w:sz w:val="21"/>
                <w:szCs w:val="21"/>
                <w:highlight w:val="none"/>
                <w14:textFill>
                  <w14:solidFill>
                    <w14:schemeClr w14:val="tx1"/>
                  </w14:solidFill>
                </w14:textFill>
              </w:rPr>
              <w:t>12</w:t>
            </w:r>
            <w:r>
              <w:rPr>
                <w:rFonts w:asciiTheme="minorEastAsia" w:hAnsiTheme="minorEastAsia" w:eastAsiaTheme="minorEastAsia"/>
                <w:color w:val="000000" w:themeColor="text1"/>
                <w:sz w:val="21"/>
                <w:szCs w:val="21"/>
                <w:highlight w:val="none"/>
                <w:lang w:eastAsia="zh-Hans"/>
                <w14:textFill>
                  <w14:solidFill>
                    <w14:schemeClr w14:val="tx1"/>
                  </w14:solidFill>
                </w14:textFill>
              </w:rPr>
              <w:t>项</w:t>
            </w:r>
            <w:bookmarkEnd w:id="88"/>
            <w:bookmarkEnd w:id="89"/>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主要负责人未履行安全生产管理职责</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违反条款:《中华人民共和国安全生产法》第二十一条第（一）项至第（七）项（根据实际选择）;</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w:t>
            </w:r>
            <w:r>
              <w:rPr>
                <w:rFonts w:hint="eastAsia" w:asciiTheme="minorEastAsia" w:hAnsiTheme="minorEastAsia" w:eastAsiaTheme="minorEastAsia"/>
                <w:color w:val="000000" w:themeColor="text1"/>
                <w:spacing w:val="-4"/>
                <w:sz w:val="15"/>
                <w:szCs w:val="15"/>
                <w:highlight w:val="none"/>
                <w14:textFill>
                  <w14:solidFill>
                    <w14:schemeClr w14:val="tx1"/>
                  </w14:solidFill>
                </w14:textFill>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spacing w:line="232" w:lineRule="exact"/>
              <w:ind w:left="6" w:hanging="21"/>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1.未履行第一项至第七项中任一项职责的，处 2 万元以上 3 万元以下的罚款；逾期未改正的，处 5 万元以上 7 万元以下的罚款；</w:t>
            </w:r>
          </w:p>
          <w:p>
            <w:pPr>
              <w:spacing w:line="232" w:lineRule="exact"/>
              <w:ind w:left="6" w:hanging="21"/>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2.未履行第一项至第七项中任两项职责的，处 3 万元以上 4 万元以下的罚款；逾期未改正的，处 7 万元以上 9 万元以下的罚款；</w:t>
            </w:r>
          </w:p>
          <w:p>
            <w:pPr>
              <w:spacing w:line="232" w:lineRule="exact"/>
              <w:ind w:left="6" w:hanging="21"/>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3.未履行第一项至第七项中任三项以上职责的，处 4 万元以上 5 万元以下的罚款；逾期未改正的，处 9 万元以上 10 万元以下的罚款。</w:t>
            </w:r>
          </w:p>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违反条款：《北京市生产经营单位安全生产主体责任规定》第四条第（五）项、第（七）项（根据实际选择）；</w:t>
            </w:r>
          </w:p>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处罚条款：第三十四条第一款，责令改正；拒不改正的，责令停产停业整顿，并处2万元以上5万元以下罚款。</w:t>
            </w:r>
          </w:p>
        </w:tc>
        <w:tc>
          <w:tcPr>
            <w:tcW w:w="8165" w:type="dxa"/>
            <w:gridSpan w:val="5"/>
            <w:shd w:val="clear" w:color="auto" w:fill="auto"/>
            <w:vAlign w:val="center"/>
          </w:tcPr>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spacing w:line="232" w:lineRule="exact"/>
              <w:ind w:left="6" w:hanging="21"/>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1.违反第五项、第七项中任一项职责的，并处2万元以上3万元以下的罚款；</w:t>
            </w:r>
          </w:p>
          <w:p>
            <w:pPr>
              <w:spacing w:line="232"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2.同时违反第五项、第七项两项职责的，并处3万元以上5万元以下的罚款。</w:t>
            </w:r>
          </w:p>
        </w:tc>
        <w:tc>
          <w:tcPr>
            <w:tcW w:w="824"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未按照规定设置安全生产管理机构或者配备安全生产管理人员</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color w:val="000000" w:themeColor="text1"/>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违反条款：第二十四条第二款；</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keepNext w:val="0"/>
              <w:keepLines w:val="0"/>
              <w:widowControl/>
              <w:suppressLineNumbers w:val="0"/>
              <w:jc w:val="left"/>
              <w:rPr>
                <w:rFonts w:ascii="宋体" w:hAnsi="宋体" w:eastAsia="宋体" w:cs="宋体"/>
                <w:color w:val="000000" w:themeColor="text1"/>
                <w:kern w:val="0"/>
                <w:sz w:val="15"/>
                <w:szCs w:val="15"/>
                <w:highlight w:val="none"/>
                <w:lang w:val="en-US" w:eastAsia="zh-CN" w:bidi="ar"/>
                <w14:textFill>
                  <w14:solidFill>
                    <w14:schemeClr w14:val="tx1"/>
                  </w14:solidFill>
                </w14:textFill>
              </w:rPr>
            </w:pPr>
            <w:r>
              <w:rPr>
                <w:rFonts w:ascii="宋体" w:hAnsi="宋体" w:eastAsia="宋体" w:cs="宋体"/>
                <w:color w:val="000000" w:themeColor="text1"/>
                <w:kern w:val="0"/>
                <w:sz w:val="15"/>
                <w:szCs w:val="15"/>
                <w:highlight w:val="none"/>
                <w:lang w:val="en-US" w:eastAsia="zh-CN" w:bidi="ar"/>
                <w14:textFill>
                  <w14:solidFill>
                    <w14:schemeClr w14:val="tx1"/>
                  </w14:solidFill>
                </w14:textFill>
              </w:rPr>
              <w:t>1.除矿山、金属冶炼、建筑施工、运输单位和危险物品的生产、经营、储存、装卸单位以外的生产经营单位，从业人员总数为 100人或者 100人以下， 未配备专职或者兼职安全生产管理人员的处 3万元以下的罚款；逾期未改正的，并处 10 万元以上 13万元以下的罚款，对其直接负责的主管人员和其他直接责任人员处2万元以上3万元以下的罚款；</w:t>
            </w:r>
          </w:p>
          <w:p>
            <w:pPr>
              <w:keepNext w:val="0"/>
              <w:keepLines w:val="0"/>
              <w:widowControl/>
              <w:suppressLineNumbers w:val="0"/>
              <w:jc w:val="left"/>
              <w:rPr>
                <w:color w:val="000000" w:themeColor="text1"/>
                <w:sz w:val="15"/>
                <w:szCs w:val="15"/>
                <w:highlight w:val="none"/>
                <w14:textFill>
                  <w14:solidFill>
                    <w14:schemeClr w14:val="tx1"/>
                  </w14:solidFill>
                </w14:textFill>
              </w:rPr>
            </w:pPr>
            <w:r>
              <w:rPr>
                <w:rFonts w:ascii="宋体" w:hAnsi="宋体" w:eastAsia="宋体" w:cs="宋体"/>
                <w:color w:val="000000" w:themeColor="text1"/>
                <w:kern w:val="0"/>
                <w:sz w:val="15"/>
                <w:szCs w:val="15"/>
                <w:highlight w:val="none"/>
                <w:lang w:val="en-US" w:eastAsia="zh-CN" w:bidi="ar"/>
                <w14:textFill>
                  <w14:solidFill>
                    <w14:schemeClr w14:val="tx1"/>
                  </w14:solidFill>
                </w14:textFill>
              </w:rPr>
              <w:t xml:space="preserve"> 2.除矿山、金属冶炼、建筑施工、运输单位和危险物品的生产、经营、储存、装卸单位以外的生产经营单位，从业人员总数超过 100 人，未设置安全生产管理机构或者未配备专职安全生产管理人员的，处3万元以上5万元以下的罚款；逾期未改正的，并处13万元以上15万元以下的罚款，对其直接负责的主管人员和其他直接责任人员处3万元以上4万元以下的罚款；</w:t>
            </w:r>
          </w:p>
          <w:p>
            <w:pPr>
              <w:spacing w:line="232"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其他负责人和安全生产管理人员未履行本法规定的安全生产管理职责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违反条款：第二十五条第一款第（一）项至第（七）项（根据实际选择）；</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处罚条款：第九十六条，责令限期改正，处一万元以上三万元以下的罚款；…构成犯罪的，依照刑法有关规定追究刑事责任。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spacing w:line="232" w:lineRule="exact"/>
              <w:ind w:left="6" w:leftChars="0" w:hanging="21" w:firstLineChars="0"/>
              <w:rPr>
                <w:rFonts w:hint="eastAsia" w:cs="宋体" w:asciiTheme="minorEastAsia" w:hAnsiTheme="minorEastAsia" w:eastAsiaTheme="minorEastAsia"/>
                <w:strike w:val="0"/>
                <w:dstrike w:val="0"/>
                <w:color w:val="000000" w:themeColor="text1"/>
                <w:kern w:val="0"/>
                <w:sz w:val="15"/>
                <w:szCs w:val="15"/>
                <w:highlight w:val="none"/>
                <w:lang w:val="en-US" w:eastAsia="zh-CN" w:bidi="ar-SA"/>
                <w14:textFill>
                  <w14:solidFill>
                    <w14:schemeClr w14:val="tx1"/>
                  </w14:solidFill>
                </w14:textFill>
              </w:rPr>
            </w:pPr>
            <w:r>
              <w:rPr>
                <w:rFonts w:hint="eastAsia" w:cs="宋体" w:asciiTheme="minorEastAsia" w:hAnsiTheme="minorEastAsia" w:eastAsiaTheme="minorEastAsia"/>
                <w:strike/>
                <w:dstrike w:val="0"/>
                <w:color w:val="000000" w:themeColor="text1"/>
                <w:kern w:val="0"/>
                <w:sz w:val="15"/>
                <w:szCs w:val="15"/>
                <w:highlight w:val="none"/>
                <w:lang w:val="en-US" w:eastAsia="zh-CN" w:bidi="ar-SA"/>
                <w14:textFill>
                  <w14:solidFill>
                    <w14:schemeClr w14:val="tx1"/>
                  </w14:solidFill>
                </w14:textFill>
              </w:rPr>
              <w:t>1</w:t>
            </w:r>
            <w:r>
              <w:rPr>
                <w:rFonts w:hint="eastAsia" w:cs="宋体" w:asciiTheme="minorEastAsia" w:hAnsiTheme="minorEastAsia" w:eastAsiaTheme="minorEastAsia"/>
                <w:strike w:val="0"/>
                <w:dstrike w:val="0"/>
                <w:color w:val="000000" w:themeColor="text1"/>
                <w:kern w:val="0"/>
                <w:sz w:val="15"/>
                <w:szCs w:val="15"/>
                <w:highlight w:val="none"/>
                <w:lang w:val="en-US" w:eastAsia="zh-CN" w:bidi="ar-SA"/>
                <w14:textFill>
                  <w14:solidFill>
                    <w14:schemeClr w14:val="tx1"/>
                  </w14:solidFill>
                </w14:textFill>
              </w:rPr>
              <w:t>.未履行第一项至第七项中任一项职责的，处1万元以上2万元以下的罚款；</w:t>
            </w:r>
          </w:p>
          <w:p>
            <w:pPr>
              <w:spacing w:line="232" w:lineRule="exact"/>
              <w:ind w:left="6" w:leftChars="0" w:hanging="21" w:firstLineChars="0"/>
              <w:rPr>
                <w:rFonts w:hint="eastAsia" w:cs="宋体" w:asciiTheme="minorEastAsia" w:hAnsiTheme="minorEastAsia" w:eastAsiaTheme="minorEastAsia"/>
                <w:strike w:val="0"/>
                <w:dstrike w:val="0"/>
                <w:color w:val="000000" w:themeColor="text1"/>
                <w:kern w:val="0"/>
                <w:sz w:val="15"/>
                <w:szCs w:val="15"/>
                <w:highlight w:val="none"/>
                <w:lang w:val="en-US" w:eastAsia="zh-CN" w:bidi="ar-SA"/>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lang w:val="en-US" w:eastAsia="zh-CN" w:bidi="ar-SA"/>
                <w14:textFill>
                  <w14:solidFill>
                    <w14:schemeClr w14:val="tx1"/>
                  </w14:solidFill>
                </w14:textFill>
              </w:rPr>
              <w:t>2.未履行第一项至第七项中任两项职责的，处2万元以上3万元以下的罚款；</w:t>
            </w:r>
          </w:p>
          <w:p>
            <w:pPr>
              <w:spacing w:line="232" w:lineRule="exact"/>
              <w:ind w:left="6" w:leftChars="0" w:hanging="21" w:firstLineChars="0"/>
              <w:rPr>
                <w:rFonts w:cs="宋体" w:asciiTheme="minorEastAsia" w:hAnsiTheme="minorEastAsia" w:eastAsiaTheme="minorEastAsia"/>
                <w:strike/>
                <w:dstrike w:val="0"/>
                <w:color w:val="000000" w:themeColor="text1"/>
                <w:kern w:val="0"/>
                <w:sz w:val="15"/>
                <w:szCs w:val="15"/>
                <w:highlight w:val="none"/>
                <w:lang w:val="en-US" w:eastAsia="zh-CN" w:bidi="ar-SA"/>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lang w:val="en-US" w:eastAsia="zh-CN" w:bidi="ar-SA"/>
                <w14:textFill>
                  <w14:solidFill>
                    <w14:schemeClr w14:val="tx1"/>
                  </w14:solidFill>
                </w14:textFill>
              </w:rPr>
              <w:t>3.未履行第一项至第七项中任三项以上职责的，处3万元的罚款；</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未按照规定对从业人员、被派遣劳动者、实习学生进行安全生产教育和培训</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违反条款：《中华人民共和国安全生产法》第二十八条第一款、第二款、第三款、第二十九条（根据实际选择）；</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spacing w:line="232" w:lineRule="exact"/>
              <w:ind w:left="6" w:hanging="21"/>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1.生产经营单位未按照规定对从业人员、被派遣劳动者、实习学生进行安全生产教育和培训的人数为3人以下的，处5万元以下的罚款；逾期未改正的，处10万元以上15万元以下的罚款，对其直接负责的主管人员和其他直接责任人员 2万元以上3万元以下的罚款；</w:t>
            </w:r>
          </w:p>
          <w:p>
            <w:pPr>
              <w:spacing w:line="232" w:lineRule="exact"/>
              <w:ind w:left="6" w:hanging="21"/>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2.生产经营单位未按照规定对从业人员、被派遣劳动者、实习学生进行安全生产教育和培训的人数为3人以上的，处5万元以上10万元以下的罚款；逾期未改正的，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000000" w:themeColor="text1"/>
                <w:sz w:val="15"/>
                <w:szCs w:val="15"/>
                <w:highlight w:val="none"/>
                <w14:textFill>
                  <w14:solidFill>
                    <w14:schemeClr w14:val="tx1"/>
                  </w14:solidFill>
                </w14:textFill>
              </w:rPr>
            </w:pPr>
            <w:r>
              <w:rPr>
                <w:rFonts w:hint="eastAsia" w:asciiTheme="minorEastAsia" w:hAnsiTheme="minorEastAsia" w:eastAsiaTheme="minorEastAsia"/>
                <w:b/>
                <w:bCs/>
                <w:color w:val="000000" w:themeColor="text1"/>
                <w:sz w:val="15"/>
                <w:szCs w:val="15"/>
                <w:highlight w:val="none"/>
                <w14:textFill>
                  <w14:solidFill>
                    <w14:schemeClr w14:val="tx1"/>
                  </w14:solidFill>
                </w14:textFill>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b/>
                <w:bCs/>
                <w:color w:val="000000" w:themeColor="text1"/>
                <w:sz w:val="15"/>
                <w:szCs w:val="15"/>
                <w:highlight w:val="none"/>
                <w14:textFill>
                  <w14:solidFill>
                    <w14:schemeClr w14:val="tx1"/>
                  </w14:solidFill>
                </w14:textFill>
              </w:rPr>
              <w:t>违反条款：《北京市安全生产条例》</w:t>
            </w:r>
            <w:r>
              <w:rPr>
                <w:rFonts w:hint="eastAsia" w:asciiTheme="minorEastAsia" w:hAnsiTheme="minorEastAsia" w:eastAsiaTheme="minorEastAsia"/>
                <w:color w:val="000000" w:themeColor="text1"/>
                <w:sz w:val="15"/>
                <w:szCs w:val="15"/>
                <w:highlight w:val="none"/>
                <w14:textFill>
                  <w14:solidFill>
                    <w14:schemeClr w14:val="tx1"/>
                  </w14:solidFill>
                </w14:textFill>
              </w:rPr>
              <w:t>第二十二条；</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未如实记录安全生产教育和培训情况</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违反条款：第二十八条第四款；</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1.生产经营单位未如实记录安全生产教育和培训情况的人数为 5 人以下的，处 5 万元以下的罚款；逾期未改正的，并处 10 万元以上 15 万元以下的罚款，对其直接负责的主管人员和其他责任人员处 2 万元以上 4 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2.生产经营单位未如实记录安全生产教育和培训情况人数为 5 人以上的，处 5 万元以上 10 万元以下的罚款；逾期未改正的，并处 15 万元以上 20 万元以下的罚款，对其直接负责的主管人员和其他责任人员处 4 万元以上 5 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未在有较大危险因素的生产经营场所和有关设施、设备上设置明显的安全警示标志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违反条款：第三十五条；</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1.未在有较大危险因素的生产经营场所和有关设施、设备上设置明显的安全警示标志有5处以下的，处2万元以下的罚款；逾期未改正的，处5万元以上10万元以下的罚款，对其直接负责的主管人员和其他直接责任人员处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2.未在有较大危险因素的生产经营场所和有关设施、设备上设置明显的安全警示标志有5处以上10处以下的，处2万元以上 4万元以下的罚款；逾期未改正的，处10万元以上15万元以下的罚款，对其直接负责的主管人员和其他直接责任人员处 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3.未在有较大危险因素的生产经营场所和有关设施、设备上设置明显的安全警示标志有10处以上的，处4万元以上5万元以下的罚款；逾期未改正的，处15万元以上20万元以下的罚款，对其直接负责的主管人员和其他直接责任人员处1万元以上 2万元以下的罚款。</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未建立事故隐患排查治理制度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违反条款：第四十一条第二款；</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除危险物品的生产、经营、储存、装卸单位以及矿山、金属冶炼、建筑施工、运输单位以外的生产经营单位，未建立事故隐患排查治理制度，处5万元以下的罚款；逾期未改正的，并处10万元以上15万元以下的罚款，对其直接负责的主管人员和其他直接责任人员处2万元以上3万元以下的罚款；</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9"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未如实记录事故隐患排查治理情况或者未向从业人员通报</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违反条款：第四十一条第二款 </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1.存在未将事故隐患排查治理情况如实记录或者未向从业人员通报情况之一的，处5万元以下的罚款；逾期未改正的，并处10万元以上15万元以下的罚款，对其直接负责的主管人员和其他直接责任人员处2万元以上4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2.未将事故隐患排查治理情况如实记录并且未向从业人员通报的，处5万元以上10万元以下的罚款；逾期未改正的，并处15万元以上20万元以下的罚款，对其直接负责的主管人员和其他直接责任人员处4万元以上5万元以下的罚款。</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重大事故隐患排查治理情况未按照规定报告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违反条款：第四十一条第二款  </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除危险物品的生产、经营、储存、装卸单位以及矿山、金属冶炼、建筑施工、运输单位以外的生产经营单位，重大事故隐患排查治理情况未按照规定报告的，处5万元以下的罚款；逾期未改正的，并处10万元以上15万元以下的罚款，对其直接负责的主管人员和其他直接责任人员处2万元以上3万元以下的罚款；</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未向从业人员如实告知有关安全生产事项</w:t>
            </w:r>
          </w:p>
        </w:tc>
        <w:tc>
          <w:tcPr>
            <w:tcW w:w="2789" w:type="dxa"/>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违反条款：《中华人民共和国安全生产法》第四十四条第一款；</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spacing w:line="232" w:lineRule="exact"/>
              <w:ind w:left="6" w:hanging="21"/>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1.生产经营单位未按照规定向从业人员如实告知作业场所和工作岗位存在的危险因素、防范措施以及事故应急措施中的任一项安全生产事项的，处 5万元以下的罚款；逾期未改正的，并处10万元以上15万元以下的罚款，对其直接负责的主管人员和其他直接责任人员处2万元以上3万元以下的罚款；</w:t>
            </w:r>
          </w:p>
          <w:p>
            <w:pPr>
              <w:spacing w:line="232" w:lineRule="exact"/>
              <w:ind w:left="6" w:hanging="21"/>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2.生产经营单位未按照规定向从业人员如实告知作业场所和工作岗位存在的危险因素、防范措施以及事故应急措施中的任两项安全生产事项的，处5万元以上10万元以下的罚款；逾期未改正的，并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3.生产经营单位未按照规定向从业人员如实告知作业场所和工作岗位存在的危险因素、防范措施以及事故应急措施中的全部安全生产事项的，处10万元的罚款；逾期未改正的，并处20万元的罚款，对其直接负责的主管人员和其他直接责任人员处5万元的罚款。</w:t>
            </w:r>
          </w:p>
          <w:p>
            <w:pPr>
              <w:spacing w:line="232"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br w:type="textWrapping"/>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spacing w:line="250"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违反条款：《北京市安全生产条例》第三十七条第一款</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拒绝、阻碍负有安全生产监督管理职责的部门依法实施监督检查</w:t>
            </w:r>
          </w:p>
        </w:tc>
        <w:tc>
          <w:tcPr>
            <w:tcW w:w="2789" w:type="dxa"/>
            <w:shd w:val="clear" w:color="auto" w:fill="auto"/>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违反条款：第六十六条；</w:t>
            </w:r>
            <w:r>
              <w:rPr>
                <w:rFonts w:hint="eastAsia" w:asciiTheme="minorEastAsia" w:hAnsiTheme="minorEastAsia" w:eastAsiaTheme="minorEastAsia"/>
                <w:color w:val="000000" w:themeColor="text1"/>
                <w:sz w:val="15"/>
                <w:szCs w:val="15"/>
                <w:highlight w:val="none"/>
                <w14:textFill>
                  <w14:solidFill>
                    <w14:schemeClr w14:val="tx1"/>
                  </w14:solidFill>
                </w14:textFill>
              </w:rPr>
              <w:br w:type="textWrapping"/>
            </w: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spacing w:line="232" w:lineRule="exact"/>
              <w:ind w:left="6" w:hanging="21"/>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1.生产经营单位拒绝安全生产行政执法人员依法监督检查，拒不改正的，</w:t>
            </w:r>
            <w:r>
              <w:rPr>
                <w:rFonts w:hint="default"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处2万元以上10万元以下的罚款，对其直接负责的主管人员和其他直接责任人员处1万元的罚款；</w:t>
            </w:r>
          </w:p>
          <w:p>
            <w:pPr>
              <w:spacing w:line="232" w:lineRule="exact"/>
              <w:ind w:left="6" w:hanging="21"/>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default"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2.生产经营单位阻碍安全生产行政执法人员依法监督检查，拒不改正的，处10万元以上20万元以下的罚款，对其直接负责的主管人员和其他直接责任人员处1万元以上2万元以下的罚款。</w:t>
            </w:r>
          </w:p>
          <w:p>
            <w:pPr>
              <w:spacing w:line="232"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未执行专项安全生产管理措施逾期未改正</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spacing w:line="232" w:lineRule="exact"/>
              <w:ind w:left="6" w:hanging="21"/>
              <w:jc w:val="left"/>
              <w:rPr>
                <w:rFonts w:hint="eastAsia" w:cs="宋体" w:asciiTheme="minorEastAsia" w:hAnsiTheme="minorEastAsia" w:eastAsiaTheme="minorEastAsia"/>
                <w:strike w:val="0"/>
                <w:dstrike w:val="0"/>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lang w:eastAsia="zh-CN"/>
                <w14:textFill>
                  <w14:solidFill>
                    <w14:schemeClr w14:val="tx1"/>
                  </w14:solidFill>
                </w14:textFill>
              </w:rPr>
              <w:t>无</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91" w:name="_Toc110851464"/>
            <w:bookmarkStart w:id="92" w:name="_Toc1075063771"/>
            <w:bookmarkStart w:id="93" w:name="_Toc1963656805"/>
            <w:r>
              <w:rPr>
                <w:rFonts w:hint="eastAsia" w:asciiTheme="minorEastAsia" w:hAnsiTheme="minorEastAsia" w:eastAsiaTheme="minorEastAsia"/>
                <w:color w:val="000000" w:themeColor="text1"/>
                <w:sz w:val="21"/>
                <w:szCs w:val="21"/>
                <w:highlight w:val="none"/>
                <w14:textFill>
                  <w14:solidFill>
                    <w14:schemeClr w14:val="tx1"/>
                  </w14:solidFill>
                </w14:textFill>
              </w:rPr>
              <w:t>《北京市生产安全事故隐患排查治理办法》</w:t>
            </w:r>
            <w:r>
              <w:rPr>
                <w:rFonts w:hint="eastAsia" w:asciiTheme="minorEastAsia" w:hAnsiTheme="minorEastAsia" w:eastAsiaTheme="minorEastAsia"/>
                <w:color w:val="000000" w:themeColor="text1"/>
                <w:sz w:val="21"/>
                <w:szCs w:val="21"/>
                <w:highlight w:val="none"/>
                <w:lang w:eastAsia="zh-Hans"/>
                <w14:textFill>
                  <w14:solidFill>
                    <w14:schemeClr w14:val="tx1"/>
                  </w14:solidFill>
                </w14:textFill>
              </w:rPr>
              <w:t>案由</w:t>
            </w:r>
            <w:r>
              <w:rPr>
                <w:rFonts w:asciiTheme="minorEastAsia" w:hAnsiTheme="minorEastAsia" w:eastAsiaTheme="minorEastAsia"/>
                <w:color w:val="000000" w:themeColor="text1"/>
                <w:sz w:val="21"/>
                <w:szCs w:val="21"/>
                <w:highlight w:val="none"/>
                <w:lang w:eastAsia="zh-Hans"/>
                <w14:textFill>
                  <w14:solidFill>
                    <w14:schemeClr w14:val="tx1"/>
                  </w14:solidFill>
                </w14:textFill>
              </w:rPr>
              <w:t>2</w:t>
            </w:r>
            <w:r>
              <w:rPr>
                <w:rFonts w:hint="eastAsia" w:asciiTheme="minorEastAsia" w:hAnsiTheme="minorEastAsia" w:eastAsiaTheme="minorEastAsia"/>
                <w:color w:val="000000" w:themeColor="text1"/>
                <w:sz w:val="21"/>
                <w:szCs w:val="21"/>
                <w:highlight w:val="none"/>
                <w:lang w:eastAsia="zh-Hans"/>
                <w14:textFill>
                  <w14:solidFill>
                    <w14:schemeClr w14:val="tx1"/>
                  </w14:solidFill>
                </w14:textFill>
              </w:rPr>
              <w:t>项</w:t>
            </w:r>
            <w:bookmarkEnd w:id="91"/>
            <w:bookmarkEnd w:id="92"/>
            <w:bookmark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主要负责人未履行规定的事故隐患排查治理职责</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w:t>
            </w:r>
            <w:r>
              <w:rPr>
                <w:rFonts w:hint="eastAsia" w:asciiTheme="minorEastAsia" w:hAnsiTheme="minorEastAsia" w:eastAsiaTheme="minorEastAsia"/>
                <w:color w:val="000000" w:themeColor="text1"/>
                <w:sz w:val="15"/>
                <w:szCs w:val="15"/>
                <w:highlight w:val="none"/>
                <w:lang w:eastAsia="zh-Hans"/>
                <w14:textFill>
                  <w14:solidFill>
                    <w14:schemeClr w14:val="tx1"/>
                  </w14:solidFill>
                </w14:textFill>
              </w:rPr>
              <w:t>第</w:t>
            </w:r>
            <w:r>
              <w:rPr>
                <w:rFonts w:hint="eastAsia" w:asciiTheme="minorEastAsia" w:hAnsiTheme="minorEastAsia" w:eastAsiaTheme="minorEastAsia"/>
                <w:color w:val="000000" w:themeColor="text1"/>
                <w:sz w:val="15"/>
                <w:szCs w:val="15"/>
                <w:highlight w:val="none"/>
                <w14:textFill>
                  <w14:solidFill>
                    <w14:schemeClr w14:val="tx1"/>
                  </w14:solidFill>
                </w14:textFill>
              </w:rPr>
              <w:t>七条；</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处罚条款：第二十六条，责令限期改正；逾期未改正的，处2万元以上5万元以下罚款。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spacing w:line="232" w:lineRule="exact"/>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1.经责令限期改正，主要负责人未履行其中任一项职责的，对主要负责人处2万元以上3万元以下的罚款；</w:t>
            </w:r>
          </w:p>
          <w:p>
            <w:pPr>
              <w:spacing w:line="232" w:lineRule="exact"/>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2.经责令限期改正，主要负责人未履行其中任两项以上职责的，对主要负责人处3万元以上5万元以下的罚款。</w:t>
            </w:r>
          </w:p>
          <w:p>
            <w:pPr>
              <w:spacing w:line="232"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未定期通报事故隐患排查治理情况，或者未公示重大事故隐患的危害程度、影响范围和应急措施</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违反条款：第十一条；</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pStyle w:val="6"/>
              <w:rPr>
                <w:rFonts w:hint="eastAsia" w:asciiTheme="minorEastAsia" w:hAnsiTheme="minorEastAsia" w:eastAsiaTheme="minorEastAsia" w:cstheme="minorEastAsia"/>
                <w:b/>
                <w:bCs/>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pacing w:val="-4"/>
                <w:sz w:val="15"/>
                <w:szCs w:val="15"/>
                <w:highlight w:val="none"/>
                <w:lang w:val="en-US" w:eastAsia="zh-CN"/>
                <w14:textFill>
                  <w14:solidFill>
                    <w14:schemeClr w14:val="tx1"/>
                  </w14:solidFill>
                </w14:textFill>
              </w:rPr>
              <w:t>北京市应急管理局关于印发《北京市应急管理轻微违法行为依法不予行政处罚事项清单》的通知（京应急规文〔2023〕2号）</w:t>
            </w:r>
          </w:p>
          <w:p>
            <w:pPr>
              <w:pStyle w:val="6"/>
              <w:rPr>
                <w:rFonts w:hint="eastAsia" w:asciiTheme="minorEastAsia" w:hAnsiTheme="minorEastAsia" w:eastAsiaTheme="minorEastAsia" w:cstheme="minorEastAsia"/>
                <w:b/>
                <w:bCs/>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pacing w:val="-4"/>
                <w:sz w:val="15"/>
                <w:szCs w:val="15"/>
                <w:highlight w:val="none"/>
                <w:lang w:val="en-US" w:eastAsia="zh-CN"/>
                <w14:textFill>
                  <w14:solidFill>
                    <w14:schemeClr w14:val="tx1"/>
                  </w14:solidFill>
                </w14:textFill>
              </w:rPr>
              <w:t>全部具备相应“不予处罚适用条件”的，依法不予行政处罚。</w:t>
            </w: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pacing w:val="-4"/>
                <w:sz w:val="15"/>
                <w:szCs w:val="15"/>
                <w:highlight w:val="none"/>
                <w:lang w:val="en-US" w:eastAsia="zh-CN"/>
                <w14:textFill>
                  <w14:solidFill>
                    <w14:schemeClr w14:val="tx1"/>
                  </w14:solidFill>
                </w14:textFill>
              </w:rPr>
              <w:t>不予处罚适用条件：</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1.首次被发现；2.已向从业人员通报了隐患排查治理情况但未每月通报，或者就重大事故隐患的危害程度、影响范围和应急措施已向从业人员进行了公示但公示不全；3.及时改正；4.危害后果轻微。</w:t>
            </w: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p>
          <w:p>
            <w:pPr>
              <w:pStyle w:val="6"/>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依据应急管理部门的裁量权基准执行。【</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北京市安全生产行政处罚自由裁量基准（</w:t>
            </w:r>
            <w:r>
              <w:rPr>
                <w:rFonts w:hint="default"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15"/>
                <w:szCs w:val="15"/>
                <w:highlight w:val="none"/>
                <w:lang w:val="en-US" w:eastAsia="zh-CN"/>
                <w14:textFill>
                  <w14:solidFill>
                    <w14:schemeClr w14:val="tx1"/>
                  </w14:solidFill>
                </w14:textFill>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000000" w:themeColor="text1"/>
                <w:spacing w:val="-4"/>
                <w:sz w:val="15"/>
                <w:szCs w:val="15"/>
                <w:highlight w:val="none"/>
                <w:lang w:val="en-US" w:eastAsia="zh-CN"/>
                <w14:textFill>
                  <w14:solidFill>
                    <w14:schemeClr w14:val="tx1"/>
                  </w14:solidFill>
                </w14:textFill>
              </w:rPr>
              <w:t>】</w:t>
            </w:r>
          </w:p>
          <w:p>
            <w:pPr>
              <w:spacing w:line="232" w:lineRule="exact"/>
              <w:ind w:left="6" w:hanging="21"/>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1.存在虽向从业人员通报了隐患排查治理情况但未每月通报，或者就重大</w:t>
            </w:r>
            <w:r>
              <w:rPr>
                <w:rFonts w:hint="default"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 xml:space="preserve">事故隐患的危害程度、影响范围和应急措施虽向从业人员进行了公示但公示不全的，可以处2万元以下的罚款；逾期未改正的，并处5万元以上7万元以下的罚款； </w:t>
            </w:r>
          </w:p>
          <w:p>
            <w:pPr>
              <w:spacing w:line="232" w:lineRule="exact"/>
              <w:ind w:left="6" w:hanging="21"/>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default" w:cs="宋体" w:asciiTheme="minorEastAsia" w:hAnsiTheme="minorEastAsia" w:eastAsiaTheme="minorEastAsia"/>
                <w:strike w:val="0"/>
                <w:dstrike w:val="0"/>
                <w:color w:val="000000" w:themeColor="text1"/>
                <w:kern w:val="0"/>
                <w:sz w:val="15"/>
                <w:szCs w:val="15"/>
                <w:highlight w:val="none"/>
                <w:lang w:val="en-US" w:eastAsia="zh-CN"/>
                <w14:textFill>
                  <w14:solidFill>
                    <w14:schemeClr w14:val="tx1"/>
                  </w14:solidFill>
                </w14:textFill>
              </w:rPr>
              <w:t>2.未向从业人员通报隐患排查治理情况，或者未向从业人员公示事故隐患的危害程度、影响范围和应急措施的，可以处2万元以上5万元以下的罚款；逾期未改正的，并处7万元以上10万元以下的罚款。</w:t>
            </w:r>
          </w:p>
          <w:p>
            <w:pPr>
              <w:spacing w:line="232" w:lineRule="exact"/>
              <w:ind w:left="6" w:hanging="21"/>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ind w:left="6" w:hanging="21"/>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94" w:name="_Toc110851465"/>
            <w:bookmarkStart w:id="95" w:name="_Toc780858134"/>
            <w:bookmarkStart w:id="96" w:name="_Toc1911813594"/>
            <w:r>
              <w:rPr>
                <w:rFonts w:hint="eastAsia" w:asciiTheme="minorEastAsia" w:hAnsiTheme="minorEastAsia" w:eastAsiaTheme="minorEastAsia"/>
                <w:color w:val="000000" w:themeColor="text1"/>
                <w:sz w:val="21"/>
                <w:szCs w:val="21"/>
                <w:highlight w:val="none"/>
                <w14:textFill>
                  <w14:solidFill>
                    <w14:schemeClr w14:val="tx1"/>
                  </w14:solidFill>
                </w14:textFill>
              </w:rPr>
              <w:t>《北京市单用途预付卡管理条例》案由7项</w:t>
            </w:r>
            <w:bookmarkEnd w:id="94"/>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预付卡经营者违反规定发行预付卡或者为消费者办理续卡的</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w:t>
            </w: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20</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预付卡经营者未向消费者出具载明规定内容的凭据逾期不改正</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预付卡经营者未按照规定提供查询或者未按照规定履行告知义务逾期不改正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预付卡经营者未按照规定保存交易记录逾期不改正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pacing w:val="-4"/>
                <w:sz w:val="15"/>
                <w:szCs w:val="15"/>
                <w:highlight w:val="none"/>
                <w14:textFill>
                  <w14:solidFill>
                    <w14:schemeClr w14:val="tx1"/>
                  </w14:solidFill>
                </w14:textFill>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预付卡经营者故意拖延或者无理拒绝退回预收款逾期不改正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w:t>
            </w: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10</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预付卡经营者迟报、瞒报、虚报有关信息逾期不改正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pacing w:val="-4"/>
                <w:sz w:val="15"/>
                <w:szCs w:val="15"/>
                <w:highlight w:val="none"/>
                <w14:textFill>
                  <w14:solidFill>
                    <w14:schemeClr w14:val="tx1"/>
                  </w14:solidFill>
                </w14:textFill>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w:t>
            </w: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1</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预付卡经营者未按照规定存管资金逾期不改正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罚款数额＝2000</w:t>
            </w:r>
            <w: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t>0</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24"/>
                <w:szCs w:val="24"/>
                <w:highlight w:val="none"/>
                <w14:textFill>
                  <w14:solidFill>
                    <w14:schemeClr w14:val="tx1"/>
                  </w14:solidFill>
                </w14:textFill>
              </w:rPr>
            </w:pPr>
            <w:bookmarkStart w:id="97" w:name="_Toc1495699393"/>
            <w:bookmarkStart w:id="98" w:name="_Toc110851466"/>
            <w:bookmarkStart w:id="99" w:name="_Toc1781030255"/>
            <w:r>
              <w:rPr>
                <w:rFonts w:hint="eastAsia" w:ascii="黑体" w:hAnsi="黑体" w:eastAsia="黑体"/>
                <w:b w:val="0"/>
                <w:color w:val="000000" w:themeColor="text1"/>
                <w:sz w:val="36"/>
                <w:szCs w:val="36"/>
                <w:highlight w:val="none"/>
                <w14:textFill>
                  <w14:solidFill>
                    <w14:schemeClr w14:val="tx1"/>
                  </w14:solidFill>
                </w14:textFill>
              </w:rPr>
              <w:t>园林绿化管理方面</w:t>
            </w:r>
            <w:bookmarkEnd w:id="97"/>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00" w:name="_Toc110851467"/>
            <w:bookmarkStart w:id="101" w:name="_Toc1801139429"/>
            <w:bookmarkStart w:id="102" w:name="_Toc1097138893"/>
            <w:r>
              <w:rPr>
                <w:rFonts w:hint="eastAsia" w:asciiTheme="minorEastAsia" w:hAnsiTheme="minorEastAsia" w:eastAsiaTheme="minorEastAsia"/>
                <w:color w:val="000000" w:themeColor="text1"/>
                <w:sz w:val="21"/>
                <w:szCs w:val="21"/>
                <w:highlight w:val="none"/>
                <w14:textFill>
                  <w14:solidFill>
                    <w14:schemeClr w14:val="tx1"/>
                  </w14:solidFill>
                </w14:textFill>
              </w:rPr>
              <w:t>《北京市绿化条例》案由16项</w:t>
            </w:r>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未按要求公示绿地平面图</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违反条款：第二十五条；</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按照条款规定执行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FFFFFF"/>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未按规定对闲置土地进行临时绿化</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违反条款：第二十七条；</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numPr>
                <w:ilvl w:val="0"/>
                <w:numId w:val="0"/>
              </w:num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闲置面积1000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以内，变量系数为0，闲置面积1000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以上的，每增加500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，变量系数增加1；</w:t>
            </w:r>
          </w:p>
          <w:p>
            <w:pPr>
              <w:numPr>
                <w:ilvl w:val="0"/>
                <w:numId w:val="0"/>
              </w:num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闲置时间超过一年的，系数为4；3. 尘土飞扬，对市容环境造成严重影响的，系数9。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strike/>
                <w:dstrike w:val="0"/>
                <w:color w:val="000000" w:themeColor="text1"/>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未按养护规范养护绿地、树木</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违反条款：第四十条第一款；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未按规范开发利用绿地地下空间</w:t>
            </w:r>
          </w:p>
        </w:tc>
        <w:tc>
          <w:tcPr>
            <w:tcW w:w="2789"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违反条款：第四十六条；</w:t>
            </w:r>
          </w:p>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1.造成树木死亡（胸径小于30厘米且不满3株），绿地损毁的，变量系数为1；</w:t>
            </w:r>
          </w:p>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逾期不改正的情形，不记入本项“</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824" w:type="dxa"/>
            <w:shd w:val="clear" w:color="auto" w:fill="auto"/>
            <w:vAlign w:val="center"/>
          </w:tcPr>
          <w:p>
            <w:pPr>
              <w:spacing w:line="20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0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vMerge w:val="restart"/>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在树木旁或者绿地内倾倒、排放污水、垃圾、渣</w:t>
            </w:r>
            <w:r>
              <w:rPr>
                <w:rFonts w:hint="eastAsia" w:cs="宋体" w:asciiTheme="minorEastAsia" w:hAnsiTheme="minorEastAsia" w:eastAsiaTheme="minorEastAsia"/>
                <w:color w:val="000000" w:themeColor="text1"/>
                <w:kern w:val="0"/>
                <w:sz w:val="15"/>
                <w:szCs w:val="15"/>
                <w:highlight w:val="none"/>
                <w:shd w:val="clear"/>
                <w14:textFill>
                  <w14:solidFill>
                    <w14:schemeClr w14:val="tx1"/>
                  </w14:solidFill>
                </w14:textFill>
              </w:rPr>
              <w:t>土及其</w:t>
            </w:r>
            <w:r>
              <w:rPr>
                <w:rFonts w:hint="eastAsia" w:cs="宋体" w:asciiTheme="minorEastAsia" w:hAnsiTheme="minorEastAsia" w:eastAsiaTheme="minorEastAsia"/>
                <w:color w:val="000000" w:themeColor="text1"/>
                <w:kern w:val="0"/>
                <w:sz w:val="15"/>
                <w:szCs w:val="15"/>
                <w:highlight w:val="none"/>
                <w:shd w:val="clear"/>
                <w:lang w:eastAsia="zh-CN"/>
                <w14:textFill>
                  <w14:solidFill>
                    <w14:schemeClr w14:val="tx1"/>
                  </w14:solidFill>
                </w14:textFill>
              </w:rPr>
              <w:t>他</w:t>
            </w:r>
            <w:r>
              <w:rPr>
                <w:rFonts w:hint="eastAsia" w:cs="宋体" w:asciiTheme="minorEastAsia" w:hAnsiTheme="minorEastAsia" w:eastAsiaTheme="minorEastAsia"/>
                <w:color w:val="000000" w:themeColor="text1"/>
                <w:kern w:val="0"/>
                <w:sz w:val="15"/>
                <w:szCs w:val="15"/>
                <w:highlight w:val="none"/>
                <w:shd w:val="clear"/>
                <w14:textFill>
                  <w14:solidFill>
                    <w14:schemeClr w14:val="tx1"/>
                  </w14:solidFill>
                </w14:textFill>
              </w:rPr>
              <w:t>废弃</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物</w:t>
            </w:r>
          </w:p>
        </w:tc>
        <w:tc>
          <w:tcPr>
            <w:tcW w:w="2789" w:type="dxa"/>
            <w:vMerge w:val="restart"/>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06"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restart"/>
            <w:shd w:val="clear" w:color="auto" w:fill="auto"/>
            <w:vAlign w:val="center"/>
          </w:tcPr>
          <w:p>
            <w:pPr>
              <w:spacing w:line="20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vMerge w:val="restart"/>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损毁树木、花草及绿化设施</w:t>
            </w:r>
          </w:p>
        </w:tc>
        <w:tc>
          <w:tcPr>
            <w:tcW w:w="2789" w:type="dxa"/>
            <w:vMerge w:val="restart"/>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06"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0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6"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06"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06"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vMerge w:val="restart"/>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在树木或者绿化设施上悬挂广告牌或者其</w:t>
            </w:r>
            <w:r>
              <w:rPr>
                <w:rFonts w:hint="eastAsia" w:cs="宋体" w:asciiTheme="minorEastAsia" w:hAnsiTheme="minorEastAsia" w:eastAsiaTheme="minorEastAsia"/>
                <w:color w:val="000000" w:themeColor="text1"/>
                <w:kern w:val="0"/>
                <w:sz w:val="15"/>
                <w:szCs w:val="15"/>
                <w:highlight w:val="none"/>
                <w:shd w:val="clear"/>
                <w:lang w:eastAsia="zh-CN"/>
                <w14:textFill>
                  <w14:solidFill>
                    <w14:schemeClr w14:val="tx1"/>
                  </w14:solidFill>
                </w14:textFill>
              </w:rPr>
              <w:t>他</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物品</w:t>
            </w:r>
          </w:p>
        </w:tc>
        <w:tc>
          <w:tcPr>
            <w:tcW w:w="2789" w:type="dxa"/>
            <w:vMerge w:val="restart"/>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5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造成树木</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vMerge w:val="restart"/>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在绿地内取土、搭建构筑物</w:t>
            </w:r>
          </w:p>
        </w:tc>
        <w:tc>
          <w:tcPr>
            <w:tcW w:w="2789" w:type="dxa"/>
            <w:vMerge w:val="restart"/>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5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造成树木、绿地或绿化设施损毁严重的，系数9。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vMerge w:val="restart"/>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在绿地内用火、烧烤</w:t>
            </w:r>
          </w:p>
        </w:tc>
        <w:tc>
          <w:tcPr>
            <w:tcW w:w="2789" w:type="dxa"/>
            <w:vMerge w:val="restart"/>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5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实施其</w:t>
            </w:r>
            <w:r>
              <w:rPr>
                <w:rFonts w:hint="eastAsia" w:cs="宋体" w:asciiTheme="minorEastAsia" w:hAnsiTheme="minorEastAsia" w:eastAsiaTheme="minorEastAsia"/>
                <w:color w:val="000000" w:themeColor="text1"/>
                <w:kern w:val="0"/>
                <w:sz w:val="15"/>
                <w:szCs w:val="15"/>
                <w:highlight w:val="none"/>
                <w:shd w:val="clear"/>
                <w:lang w:eastAsia="zh-CN"/>
                <w14:textFill>
                  <w14:solidFill>
                    <w14:schemeClr w14:val="tx1"/>
                  </w14:solidFill>
                </w14:textFill>
              </w:rPr>
              <w:t>他</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损害绿化成果及绿化设施的行为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未经许可擅自改变绿地性质和用途</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罚款数额＝面积×300×（1＋变量系数）</w:t>
            </w:r>
          </w:p>
        </w:tc>
        <w:tc>
          <w:tcPr>
            <w:tcW w:w="2385" w:type="dxa"/>
            <w:shd w:val="clear" w:color="auto" w:fill="auto"/>
            <w:vAlign w:val="center"/>
          </w:tcPr>
          <w:p>
            <w:pPr>
              <w:spacing w:line="232" w:lineRule="exact"/>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未按规定移植树木</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罚款数额＝树木价值×（3＋</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未按规定砍伐树木</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罚款数额＝树木价值×（5＋</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违反规定截除树木主干、去除树冠</w:t>
            </w:r>
          </w:p>
        </w:tc>
        <w:tc>
          <w:tcPr>
            <w:tcW w:w="2789" w:type="dxa"/>
            <w:shd w:val="clear" w:color="auto" w:fill="auto"/>
            <w:vAlign w:val="center"/>
          </w:tcPr>
          <w:p>
            <w:pPr>
              <w:spacing w:line="25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第五十条第（六）项；</w:t>
            </w:r>
          </w:p>
          <w:p>
            <w:pPr>
              <w:spacing w:line="25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罚款数额＝树木价值×（5＋</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未经许可临时占用绿地</w:t>
            </w:r>
          </w:p>
        </w:tc>
        <w:tc>
          <w:tcPr>
            <w:tcW w:w="2789"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违反条款：第六十条；</w:t>
            </w:r>
          </w:p>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罚款数额＝面积×300×（1 +变量系数）</w:t>
            </w:r>
          </w:p>
        </w:tc>
        <w:tc>
          <w:tcPr>
            <w:tcW w:w="2385" w:type="dxa"/>
            <w:shd w:val="clear" w:color="auto" w:fill="auto"/>
            <w:vAlign w:val="center"/>
          </w:tcPr>
          <w:p>
            <w:pPr>
              <w:spacing w:line="212" w:lineRule="exact"/>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12" w:lineRule="exact"/>
              <w:jc w:val="center"/>
              <w:rPr>
                <w:rFonts w:cs="宋体" w:asciiTheme="minorEastAsia" w:hAnsiTheme="minorEastAsia" w:eastAsiaTheme="minorEastAsia"/>
                <w:b/>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未将代征绿地交绿化主管部门组织绿化</w:t>
            </w:r>
          </w:p>
        </w:tc>
        <w:tc>
          <w:tcPr>
            <w:tcW w:w="2789"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违反条款：第六十一条；</w:t>
            </w:r>
          </w:p>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按规定计算罚款额度。</w:t>
            </w:r>
          </w:p>
        </w:tc>
        <w:tc>
          <w:tcPr>
            <w:tcW w:w="824"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03" w:name="_Toc110851468"/>
            <w:bookmarkStart w:id="104" w:name="_Toc177791596"/>
            <w:bookmarkStart w:id="105" w:name="_Toc1516675248"/>
            <w:r>
              <w:rPr>
                <w:rFonts w:hint="eastAsia" w:asciiTheme="minorEastAsia" w:hAnsiTheme="minorEastAsia" w:eastAsiaTheme="minorEastAsia"/>
                <w:color w:val="000000" w:themeColor="text1"/>
                <w:sz w:val="21"/>
                <w:szCs w:val="21"/>
                <w:highlight w:val="none"/>
                <w14:textFill>
                  <w14:solidFill>
                    <w14:schemeClr w14:val="tx1"/>
                  </w14:solidFill>
                </w14:textFill>
              </w:rPr>
              <w:t>《北京市物业</w:t>
            </w:r>
            <w:r>
              <w:rPr>
                <w:rFonts w:asciiTheme="minorEastAsia" w:hAnsiTheme="minorEastAsia" w:eastAsiaTheme="minorEastAsia"/>
                <w:color w:val="000000" w:themeColor="text1"/>
                <w:sz w:val="21"/>
                <w:szCs w:val="21"/>
                <w:highlight w:val="none"/>
                <w14:textFill>
                  <w14:solidFill>
                    <w14:schemeClr w14:val="tx1"/>
                  </w14:solidFill>
                </w14:textFill>
              </w:rPr>
              <w:t>管理条例</w:t>
            </w:r>
            <w:r>
              <w:rPr>
                <w:rFonts w:hint="eastAsia" w:asciiTheme="minorEastAsia" w:hAnsiTheme="minorEastAsia" w:eastAsiaTheme="minorEastAsia"/>
                <w:color w:val="000000" w:themeColor="text1"/>
                <w:sz w:val="21"/>
                <w:szCs w:val="21"/>
                <w:highlight w:val="none"/>
                <w14:textFill>
                  <w14:solidFill>
                    <w14:schemeClr w14:val="tx1"/>
                  </w14:solidFill>
                </w14:textFill>
              </w:rPr>
              <w:t>》案由1项</w:t>
            </w:r>
            <w:bookmarkEnd w:id="103"/>
            <w:bookmarkEnd w:id="104"/>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侵占绿地、毁坏绿化植物和绿化设施</w:t>
            </w:r>
          </w:p>
        </w:tc>
        <w:tc>
          <w:tcPr>
            <w:tcW w:w="2789"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违反条款：第七十八条第二款第(九)项。</w:t>
            </w:r>
          </w:p>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w:t>
            </w:r>
          </w:p>
        </w:tc>
        <w:tc>
          <w:tcPr>
            <w:tcW w:w="840"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造成绿化</w:t>
            </w:r>
            <w:r>
              <w:rPr>
                <w:rFonts w:asciiTheme="minorEastAsia" w:hAnsiTheme="minorEastAsia" w:eastAsiaTheme="minorEastAsia"/>
                <w:color w:val="000000" w:themeColor="text1"/>
                <w:sz w:val="15"/>
                <w:szCs w:val="15"/>
                <w:highlight w:val="none"/>
                <w14:textFill>
                  <w14:solidFill>
                    <w14:schemeClr w14:val="tx1"/>
                  </w14:solidFill>
                </w14:textFill>
              </w:rPr>
              <w:t>植物</w:t>
            </w:r>
            <w:r>
              <w:rPr>
                <w:rFonts w:hint="eastAsia" w:asciiTheme="minorEastAsia" w:hAnsiTheme="minorEastAsia" w:eastAsiaTheme="minorEastAsia"/>
                <w:color w:val="000000" w:themeColor="text1"/>
                <w:sz w:val="15"/>
                <w:szCs w:val="15"/>
                <w:highlight w:val="none"/>
                <w14:textFill>
                  <w14:solidFill>
                    <w14:schemeClr w14:val="tx1"/>
                  </w14:solidFill>
                </w14:textFill>
              </w:rPr>
              <w:t>、绿地或绿化设施损毁严重的，系数9。</w:t>
            </w:r>
          </w:p>
        </w:tc>
        <w:tc>
          <w:tcPr>
            <w:tcW w:w="17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1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经责令改正后，当事人主动改正违法行为，不予处罚</w:t>
            </w:r>
            <w:r>
              <w:rPr>
                <w:rFonts w:hint="eastAsia" w:asciiTheme="minorEastAsia" w:hAnsiTheme="minorEastAsia" w:eastAsiaTheme="minorEastAsia"/>
                <w:strike w:val="0"/>
                <w:dstrike w:val="0"/>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06" w:name="_Toc1446129084"/>
            <w:bookmarkStart w:id="107" w:name="_Toc110851469"/>
            <w:bookmarkStart w:id="108" w:name="_Toc1576301640"/>
            <w:bookmarkStart w:id="109" w:name="_Toc1284883561"/>
            <w:r>
              <w:rPr>
                <w:rFonts w:hint="eastAsia" w:cs="宋体" w:asciiTheme="minorEastAsia" w:hAnsiTheme="minorEastAsia" w:eastAsiaTheme="minorEastAsia"/>
                <w:color w:val="000000" w:themeColor="text1"/>
                <w:sz w:val="21"/>
                <w:szCs w:val="21"/>
                <w:highlight w:val="none"/>
                <w14:textFill>
                  <w14:solidFill>
                    <w14:schemeClr w14:val="tx1"/>
                  </w14:solidFill>
                </w14:textFill>
              </w:rPr>
              <w:t>《古树名木保护条例》案由11项</w:t>
            </w:r>
            <w:bookmarkEnd w:id="106"/>
            <w:bookmarkEnd w:id="107"/>
            <w:bookmarkEnd w:id="108"/>
            <w:bookmark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47" w:hRule="atLeast"/>
          <w:jc w:val="center"/>
        </w:trPr>
        <w:tc>
          <w:tcPr>
            <w:tcW w:w="940" w:type="dxa"/>
            <w:vMerge w:val="restart"/>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1500" w:type="dxa"/>
            <w:vMerge w:val="restart"/>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cs="宋体"/>
                <w:color w:val="000000" w:themeColor="text1"/>
                <w:kern w:val="0"/>
                <w:sz w:val="15"/>
                <w:szCs w:val="15"/>
                <w:highlight w:val="none"/>
                <w:lang w:eastAsia="zh-CN"/>
                <w14:textFill>
                  <w14:solidFill>
                    <w14:schemeClr w14:val="tx1"/>
                  </w14:solidFill>
                </w14:textFill>
              </w:rPr>
              <w:t>非法</w:t>
            </w:r>
            <w:r>
              <w:rPr>
                <w:rFonts w:hint="eastAsia" w:ascii="宋体" w:hAnsi="宋体" w:eastAsia="宋体" w:cs="宋体"/>
                <w:color w:val="000000" w:themeColor="text1"/>
                <w:kern w:val="0"/>
                <w:sz w:val="15"/>
                <w:szCs w:val="15"/>
                <w:highlight w:val="none"/>
                <w:lang w:eastAsia="zh-CN"/>
                <w14:textFill>
                  <w14:solidFill>
                    <w14:schemeClr w14:val="tx1"/>
                  </w14:solidFill>
                </w14:textFill>
              </w:rPr>
              <w:t>移植古树名木</w:t>
            </w:r>
          </w:p>
        </w:tc>
        <w:tc>
          <w:tcPr>
            <w:tcW w:w="2789"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十五</w:t>
            </w:r>
            <w:r>
              <w:rPr>
                <w:rFonts w:hint="eastAsia" w:ascii="宋体" w:hAnsi="宋体" w:eastAsia="宋体" w:cs="宋体"/>
                <w:color w:val="000000" w:themeColor="text1"/>
                <w:kern w:val="0"/>
                <w:sz w:val="15"/>
                <w:szCs w:val="15"/>
                <w:highlight w:val="none"/>
                <w14:textFill>
                  <w14:solidFill>
                    <w14:schemeClr w14:val="tx1"/>
                  </w14:solidFill>
                </w14:textFill>
              </w:rPr>
              <w:t>条</w:t>
            </w:r>
            <w:r>
              <w:rPr>
                <w:rFonts w:hint="eastAsia" w:ascii="宋体" w:hAnsi="宋体" w:eastAsia="宋体" w:cs="宋体"/>
                <w:color w:val="000000" w:themeColor="text1"/>
                <w:kern w:val="0"/>
                <w:sz w:val="15"/>
                <w:szCs w:val="15"/>
                <w:highlight w:val="none"/>
                <w:lang w:eastAsia="zh-CN"/>
                <w14:textFill>
                  <w14:solidFill>
                    <w14:schemeClr w14:val="tx1"/>
                  </w14:solidFill>
                </w14:textFill>
              </w:rPr>
              <w:t>第一款</w:t>
            </w:r>
            <w:r>
              <w:rPr>
                <w:rFonts w:hint="eastAsia" w:ascii="宋体" w:hAnsi="宋体" w:eastAsia="宋体" w:cs="宋体"/>
                <w:color w:val="000000" w:themeColor="text1"/>
                <w:kern w:val="0"/>
                <w:sz w:val="15"/>
                <w:szCs w:val="15"/>
                <w:highlight w:val="none"/>
                <w14:textFill>
                  <w14:solidFill>
                    <w14:schemeClr w14:val="tx1"/>
                  </w14:solidFill>
                </w14:textFill>
              </w:rPr>
              <w:t>；</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w:t>
            </w:r>
            <w:r>
              <w:rPr>
                <w:rFonts w:hint="eastAsia" w:ascii="宋体" w:hAnsi="宋体" w:eastAsia="宋体" w:cs="宋体"/>
                <w:color w:val="000000" w:themeColor="text1"/>
                <w:kern w:val="0"/>
                <w:sz w:val="15"/>
                <w:szCs w:val="15"/>
                <w:highlight w:val="none"/>
                <w:lang w:eastAsia="zh-CN"/>
                <w14:textFill>
                  <w14:solidFill>
                    <w14:schemeClr w14:val="tx1"/>
                  </w14:solidFill>
                </w14:textFill>
              </w:rPr>
              <w:t>二十六</w:t>
            </w:r>
            <w:r>
              <w:rPr>
                <w:rFonts w:hint="eastAsia" w:ascii="宋体" w:hAnsi="宋体" w:eastAsia="宋体" w:cs="宋体"/>
                <w:color w:val="000000" w:themeColor="text1"/>
                <w:kern w:val="0"/>
                <w:sz w:val="15"/>
                <w:szCs w:val="15"/>
                <w:highlight w:val="none"/>
                <w14:textFill>
                  <w14:solidFill>
                    <w14:schemeClr w14:val="tx1"/>
                  </w14:solidFill>
                </w14:textFill>
              </w:rPr>
              <w:t>条第一款第</w:t>
            </w:r>
            <w:r>
              <w:rPr>
                <w:rFonts w:hint="eastAsia" w:ascii="宋体" w:hAnsi="宋体" w:cs="宋体"/>
                <w:color w:val="000000" w:themeColor="text1"/>
                <w:kern w:val="0"/>
                <w:sz w:val="15"/>
                <w:szCs w:val="15"/>
                <w:highlight w:val="none"/>
                <w:lang w:val="en-US" w:eastAsia="zh-CN"/>
                <w14:textFill>
                  <w14:solidFill>
                    <w14:schemeClr w14:val="tx1"/>
                  </w14:solidFill>
                </w14:textFill>
              </w:rPr>
              <w:t>一</w:t>
            </w:r>
            <w:r>
              <w:rPr>
                <w:rFonts w:hint="eastAsia" w:ascii="宋体" w:hAnsi="宋体" w:eastAsia="宋体" w:cs="宋体"/>
                <w:color w:val="000000" w:themeColor="text1"/>
                <w:kern w:val="0"/>
                <w:sz w:val="15"/>
                <w:szCs w:val="15"/>
                <w:highlight w:val="none"/>
                <w14:textFill>
                  <w14:solidFill>
                    <w14:schemeClr w14:val="tx1"/>
                  </w14:solidFill>
                </w14:textFill>
              </w:rPr>
              <w:t>项、第</w:t>
            </w:r>
            <w:r>
              <w:rPr>
                <w:rFonts w:hint="eastAsia" w:ascii="宋体" w:hAnsi="宋体" w:cs="宋体"/>
                <w:color w:val="000000" w:themeColor="text1"/>
                <w:kern w:val="0"/>
                <w:sz w:val="15"/>
                <w:szCs w:val="15"/>
                <w:highlight w:val="none"/>
                <w:lang w:val="en-US" w:eastAsia="zh-CN"/>
                <w14:textFill>
                  <w14:solidFill>
                    <w14:schemeClr w14:val="tx1"/>
                  </w14:solidFill>
                </w14:textFill>
              </w:rPr>
              <w:t>二</w:t>
            </w:r>
            <w:r>
              <w:rPr>
                <w:rFonts w:hint="eastAsia" w:ascii="宋体" w:hAnsi="宋体" w:eastAsia="宋体" w:cs="宋体"/>
                <w:color w:val="000000" w:themeColor="text1"/>
                <w:kern w:val="0"/>
                <w:sz w:val="15"/>
                <w:szCs w:val="15"/>
                <w:highlight w:val="none"/>
                <w14:textFill>
                  <w14:solidFill>
                    <w14:schemeClr w14:val="tx1"/>
                  </w14:solidFill>
                </w14:textFill>
              </w:rPr>
              <w:t>项</w:t>
            </w:r>
            <w:r>
              <w:rPr>
                <w:rFonts w:hint="eastAsia" w:ascii="宋体" w:hAnsi="宋体" w:eastAsia="宋体" w:cs="宋体"/>
                <w:color w:val="000000" w:themeColor="text1"/>
                <w:kern w:val="0"/>
                <w:sz w:val="15"/>
                <w:szCs w:val="15"/>
                <w:highlight w:val="none"/>
                <w:lang w:eastAsia="zh-CN"/>
                <w14:textFill>
                  <w14:solidFill>
                    <w14:schemeClr w14:val="tx1"/>
                  </w14:solidFill>
                </w14:textFill>
              </w:rPr>
              <w:t>，第二款</w:t>
            </w:r>
            <w:r>
              <w:rPr>
                <w:rFonts w:hint="eastAsia" w:ascii="宋体" w:hAnsi="宋体" w:eastAsia="宋体" w:cs="宋体"/>
                <w:color w:val="000000" w:themeColor="text1"/>
                <w:kern w:val="0"/>
                <w:sz w:val="15"/>
                <w:szCs w:val="15"/>
                <w:highlight w:val="none"/>
                <w14:textFill>
                  <w14:solidFill>
                    <w14:schemeClr w14:val="tx1"/>
                  </w14:solidFill>
                </w14:textFill>
              </w:rPr>
              <w:t>（根据损害情况选择条款）责令停止违法行为、采取补救措施，没收违法所得，并依照下列规定处以罚款：</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（一）涉及实行一级保护的古树和名木的，处每株50万元以上100万元以下的罚款；</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（二）涉及实行二级保护的古树的，处每株20万元以上50万元以下的罚款；</w:t>
            </w:r>
          </w:p>
          <w:p>
            <w:pPr>
              <w:spacing w:line="232" w:lineRule="exact"/>
              <w:ind w:firstLine="300" w:firstLineChars="200"/>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违反本条例规定，损害古树名木及其生长环境，造成古树名木死亡的，依照前款规定处罚。</w:t>
            </w:r>
          </w:p>
        </w:tc>
        <w:tc>
          <w:tcPr>
            <w:tcW w:w="851" w:type="dxa"/>
            <w:vAlign w:val="center"/>
          </w:tcPr>
          <w:p>
            <w:pPr>
              <w:spacing w:line="232" w:lineRule="exact"/>
              <w:jc w:val="center"/>
              <w:rPr>
                <w:rFonts w:hint="default" w:ascii="宋体" w:hAnsi="宋体" w:eastAsia="宋体" w:cs="宋体"/>
                <w:color w:val="000000" w:themeColor="text1"/>
                <w:kern w:val="0"/>
                <w:sz w:val="15"/>
                <w:szCs w:val="15"/>
                <w:highlight w:val="none"/>
                <w:lang w:val="en-US"/>
                <w14:textFill>
                  <w14:solidFill>
                    <w14:schemeClr w14:val="tx1"/>
                  </w14:solidFill>
                </w14:textFill>
              </w:rPr>
            </w:pPr>
            <w:r>
              <w:rPr>
                <w:rFonts w:hint="default" w:ascii="宋体" w:hAnsi="宋体" w:cs="宋体"/>
                <w:color w:val="000000" w:themeColor="text1"/>
                <w:kern w:val="0"/>
                <w:sz w:val="15"/>
                <w:szCs w:val="15"/>
                <w:highlight w:val="none"/>
                <w:lang w:val="en-US"/>
                <w14:textFill>
                  <w14:solidFill>
                    <w14:schemeClr w14:val="tx1"/>
                  </w14:solidFill>
                </w14:textFill>
              </w:rPr>
              <w:t>500000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numPr>
                <w:ilvl w:val="0"/>
                <w:numId w:val="0"/>
              </w:num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1.制定相应移植和养护方案但未经审核批准的，变量系数0-0.5;</w:t>
            </w:r>
          </w:p>
          <w:p>
            <w:pPr>
              <w:numPr>
                <w:ilvl w:val="0"/>
                <w:numId w:val="0"/>
              </w:num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2.未制定移植和养护方案，或未按照方案执行的，变量系数0.6-1;</w:t>
            </w:r>
          </w:p>
          <w:p>
            <w:pPr>
              <w:numPr>
                <w:ilvl w:val="0"/>
                <w:numId w:val="0"/>
              </w:numPr>
              <w:spacing w:line="232" w:lineRule="exact"/>
              <w:rPr>
                <w:rFonts w:hint="default"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3.造成古树名木死亡的，变量系数1。</w:t>
            </w:r>
          </w:p>
        </w:tc>
        <w:tc>
          <w:tcPr>
            <w:tcW w:w="17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500000</w:t>
            </w:r>
            <w:r>
              <w:rPr>
                <w:rFonts w:hint="eastAsia" w:ascii="宋体" w:hAnsi="宋体" w:eastAsia="宋体" w:cs="宋体"/>
                <w:color w:val="000000" w:themeColor="text1"/>
                <w:kern w:val="0"/>
                <w:sz w:val="15"/>
                <w:szCs w:val="15"/>
                <w:highlight w:val="none"/>
                <w14:textFill>
                  <w14:solidFill>
                    <w14:schemeClr w14:val="tx1"/>
                  </w14:solidFill>
                </w14:textFill>
              </w:rPr>
              <w:t>×（1＋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r>
              <w:rPr>
                <w:rFonts w:hint="eastAsia" w:ascii="宋体" w:hAnsi="宋体" w:cs="宋体"/>
                <w:color w:val="000000" w:themeColor="text1"/>
                <w:kern w:val="0"/>
                <w:sz w:val="15"/>
                <w:szCs w:val="15"/>
                <w:highlight w:val="none"/>
                <w:lang w:eastAsia="zh-CN"/>
                <w14:textFill>
                  <w14:solidFill>
                    <w14:schemeClr w14:val="tx1"/>
                  </w14:solidFill>
                </w14:textFill>
              </w:rPr>
              <w:t>。</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w:t>
            </w:r>
            <w:r>
              <w:rPr>
                <w:rFonts w:hint="eastAsia" w:ascii="宋体" w:hAnsi="宋体" w:cs="宋体"/>
                <w:color w:val="000000" w:themeColor="text1"/>
                <w:kern w:val="0"/>
                <w:sz w:val="15"/>
                <w:szCs w:val="15"/>
                <w:highlight w:val="none"/>
                <w:lang w:eastAsia="zh-CN"/>
                <w14:textFill>
                  <w14:solidFill>
                    <w14:schemeClr w14:val="tx1"/>
                  </w14:solidFill>
                </w14:textFill>
              </w:rPr>
              <w:t>一级保护的古树和名木</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47" w:hRule="atLeast"/>
          <w:jc w:val="center"/>
        </w:trPr>
        <w:tc>
          <w:tcPr>
            <w:tcW w:w="940" w:type="dxa"/>
            <w:vMerge w:val="continue"/>
            <w:vAlign w:val="center"/>
          </w:tcPr>
          <w:p>
            <w:pPr>
              <w:spacing w:line="232" w:lineRule="exact"/>
              <w:jc w:val="center"/>
              <w:rPr>
                <w:rFonts w:hint="eastAsia" w:ascii="宋体" w:hAnsi="宋体" w:eastAsia="宋体" w:cs="宋体"/>
                <w:color w:val="000000" w:themeColor="text1"/>
                <w:kern w:val="0"/>
                <w:sz w:val="15"/>
                <w:szCs w:val="15"/>
                <w:highlight w:val="none"/>
                <w14:textFill>
                  <w14:solidFill>
                    <w14:schemeClr w14:val="tx1"/>
                  </w14:solidFill>
                </w14:textFill>
              </w:rPr>
            </w:pPr>
          </w:p>
        </w:tc>
        <w:tc>
          <w:tcPr>
            <w:tcW w:w="1500" w:type="dxa"/>
            <w:vMerge w:val="continue"/>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hint="default"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200000</w:t>
            </w:r>
          </w:p>
        </w:tc>
        <w:tc>
          <w:tcPr>
            <w:tcW w:w="840" w:type="dxa"/>
            <w:vAlign w:val="center"/>
          </w:tcPr>
          <w:p>
            <w:pPr>
              <w:spacing w:line="232" w:lineRule="exact"/>
              <w:jc w:val="center"/>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numPr>
                <w:ilvl w:val="0"/>
                <w:numId w:val="0"/>
              </w:num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1.制定相应移植和养护方案但未经审核批准的，变量系数0-0.5;</w:t>
            </w:r>
          </w:p>
          <w:p>
            <w:pPr>
              <w:numPr>
                <w:ilvl w:val="0"/>
                <w:numId w:val="0"/>
              </w:num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2.未制定移植和养护方案的，变量系数0.6-1;</w:t>
            </w:r>
          </w:p>
          <w:p>
            <w:pPr>
              <w:numPr>
                <w:ilvl w:val="0"/>
                <w:numId w:val="0"/>
              </w:numPr>
              <w:spacing w:line="232" w:lineRule="exact"/>
              <w:ind w:left="0" w:leftChars="0" w:firstLine="0" w:firstLineChars="0"/>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3.造成古树名木死亡的，变量系数1.5。</w:t>
            </w:r>
          </w:p>
        </w:tc>
        <w:tc>
          <w:tcPr>
            <w:tcW w:w="17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200000</w:t>
            </w:r>
            <w:r>
              <w:rPr>
                <w:rFonts w:hint="eastAsia" w:ascii="宋体" w:hAnsi="宋体" w:eastAsia="宋体" w:cs="宋体"/>
                <w:color w:val="000000" w:themeColor="text1"/>
                <w:kern w:val="0"/>
                <w:sz w:val="15"/>
                <w:szCs w:val="15"/>
                <w:highlight w:val="none"/>
                <w14:textFill>
                  <w14:solidFill>
                    <w14:schemeClr w14:val="tx1"/>
                  </w14:solidFill>
                </w14:textFill>
              </w:rPr>
              <w:t>×（1＋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r>
              <w:rPr>
                <w:rFonts w:hint="eastAsia" w:ascii="宋体" w:hAnsi="宋体" w:cs="宋体"/>
                <w:color w:val="000000" w:themeColor="text1"/>
                <w:kern w:val="0"/>
                <w:sz w:val="15"/>
                <w:szCs w:val="15"/>
                <w:highlight w:val="none"/>
                <w:lang w:eastAsia="zh-CN"/>
                <w14:textFill>
                  <w14:solidFill>
                    <w14:schemeClr w14:val="tx1"/>
                  </w14:solidFill>
                </w14:textFill>
              </w:rPr>
              <w:t>。</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w:t>
            </w:r>
            <w:r>
              <w:rPr>
                <w:rFonts w:hint="eastAsia" w:ascii="宋体" w:hAnsi="宋体" w:eastAsia="宋体" w:cs="宋体"/>
                <w:color w:val="000000" w:themeColor="text1"/>
                <w:kern w:val="0"/>
                <w:sz w:val="15"/>
                <w:szCs w:val="15"/>
                <w:highlight w:val="none"/>
                <w:lang w:eastAsia="zh-CN"/>
                <w14:textFill>
                  <w14:solidFill>
                    <w14:schemeClr w14:val="tx1"/>
                  </w14:solidFill>
                </w14:textFill>
              </w:rPr>
              <w:t>二</w:t>
            </w:r>
            <w:r>
              <w:rPr>
                <w:rFonts w:hint="eastAsia" w:ascii="宋体" w:hAnsi="宋体" w:cs="宋体"/>
                <w:color w:val="000000" w:themeColor="text1"/>
                <w:kern w:val="0"/>
                <w:sz w:val="15"/>
                <w:szCs w:val="15"/>
                <w:highlight w:val="none"/>
                <w:lang w:eastAsia="zh-CN"/>
                <w14:textFill>
                  <w14:solidFill>
                    <w14:schemeClr w14:val="tx1"/>
                  </w14:solidFill>
                </w14:textFill>
              </w:rPr>
              <w:t>级保护的古树</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9" w:hRule="atLeast"/>
          <w:jc w:val="center"/>
        </w:trPr>
        <w:tc>
          <w:tcPr>
            <w:tcW w:w="940" w:type="dxa"/>
            <w:vMerge w:val="restart"/>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2</w:t>
            </w:r>
          </w:p>
        </w:tc>
        <w:tc>
          <w:tcPr>
            <w:tcW w:w="1500" w:type="dxa"/>
            <w:vMerge w:val="restart"/>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cs="宋体"/>
                <w:color w:val="000000" w:themeColor="text1"/>
                <w:kern w:val="0"/>
                <w:sz w:val="15"/>
                <w:szCs w:val="15"/>
                <w:highlight w:val="none"/>
                <w:lang w:eastAsia="zh-CN"/>
                <w14:textFill>
                  <w14:solidFill>
                    <w14:schemeClr w14:val="tx1"/>
                  </w14:solidFill>
                </w14:textFill>
              </w:rPr>
              <w:t>非法采伐古树名木</w:t>
            </w:r>
          </w:p>
        </w:tc>
        <w:tc>
          <w:tcPr>
            <w:tcW w:w="2789"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w:t>
            </w:r>
            <w:r>
              <w:rPr>
                <w:rFonts w:hint="eastAsia" w:ascii="宋体" w:hAnsi="宋体" w:cs="宋体"/>
                <w:color w:val="000000" w:themeColor="text1"/>
                <w:kern w:val="0"/>
                <w:sz w:val="15"/>
                <w:szCs w:val="15"/>
                <w:highlight w:val="none"/>
                <w:lang w:eastAsia="zh-CN"/>
                <w14:textFill>
                  <w14:solidFill>
                    <w14:schemeClr w14:val="tx1"/>
                  </w14:solidFill>
                </w14:textFill>
              </w:rPr>
              <w:t>十四条</w:t>
            </w:r>
            <w:r>
              <w:rPr>
                <w:rFonts w:hint="eastAsia" w:ascii="宋体" w:hAnsi="宋体" w:cs="宋体"/>
                <w:color w:val="000000" w:themeColor="text1"/>
                <w:kern w:val="0"/>
                <w:sz w:val="15"/>
                <w:szCs w:val="15"/>
                <w:highlight w:val="none"/>
                <w:lang w:val="en-US" w:eastAsia="zh-CN"/>
                <w14:textFill>
                  <w14:solidFill>
                    <w14:schemeClr w14:val="tx1"/>
                  </w14:solidFill>
                </w14:textFill>
              </w:rPr>
              <w:t>第一款</w:t>
            </w:r>
            <w:r>
              <w:rPr>
                <w:rFonts w:hint="eastAsia" w:ascii="宋体" w:hAnsi="宋体" w:eastAsia="宋体" w:cs="宋体"/>
                <w:color w:val="000000" w:themeColor="text1"/>
                <w:kern w:val="0"/>
                <w:sz w:val="15"/>
                <w:szCs w:val="15"/>
                <w:highlight w:val="none"/>
                <w14:textFill>
                  <w14:solidFill>
                    <w14:schemeClr w14:val="tx1"/>
                  </w14:solidFill>
                </w14:textFill>
              </w:rPr>
              <w:t>；</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w:t>
            </w:r>
            <w:r>
              <w:rPr>
                <w:rFonts w:hint="eastAsia" w:ascii="宋体" w:hAnsi="宋体" w:eastAsia="宋体" w:cs="宋体"/>
                <w:color w:val="000000" w:themeColor="text1"/>
                <w:kern w:val="0"/>
                <w:sz w:val="15"/>
                <w:szCs w:val="15"/>
                <w:highlight w:val="none"/>
                <w:lang w:eastAsia="zh-CN"/>
                <w14:textFill>
                  <w14:solidFill>
                    <w14:schemeClr w14:val="tx1"/>
                  </w14:solidFill>
                </w14:textFill>
              </w:rPr>
              <w:t>二十六</w:t>
            </w:r>
            <w:r>
              <w:rPr>
                <w:rFonts w:hint="eastAsia" w:ascii="宋体" w:hAnsi="宋体" w:eastAsia="宋体" w:cs="宋体"/>
                <w:color w:val="000000" w:themeColor="text1"/>
                <w:kern w:val="0"/>
                <w:sz w:val="15"/>
                <w:szCs w:val="15"/>
                <w:highlight w:val="none"/>
                <w14:textFill>
                  <w14:solidFill>
                    <w14:schemeClr w14:val="tx1"/>
                  </w14:solidFill>
                </w14:textFill>
              </w:rPr>
              <w:t>条第一款第</w:t>
            </w:r>
            <w:r>
              <w:rPr>
                <w:rFonts w:hint="eastAsia" w:ascii="宋体" w:hAnsi="宋体" w:cs="宋体"/>
                <w:color w:val="000000" w:themeColor="text1"/>
                <w:kern w:val="0"/>
                <w:sz w:val="15"/>
                <w:szCs w:val="15"/>
                <w:highlight w:val="none"/>
                <w:lang w:val="en-US" w:eastAsia="zh-CN"/>
                <w14:textFill>
                  <w14:solidFill>
                    <w14:schemeClr w14:val="tx1"/>
                  </w14:solidFill>
                </w14:textFill>
              </w:rPr>
              <w:t>一</w:t>
            </w:r>
            <w:r>
              <w:rPr>
                <w:rFonts w:hint="eastAsia" w:ascii="宋体" w:hAnsi="宋体" w:eastAsia="宋体" w:cs="宋体"/>
                <w:color w:val="000000" w:themeColor="text1"/>
                <w:kern w:val="0"/>
                <w:sz w:val="15"/>
                <w:szCs w:val="15"/>
                <w:highlight w:val="none"/>
                <w14:textFill>
                  <w14:solidFill>
                    <w14:schemeClr w14:val="tx1"/>
                  </w14:solidFill>
                </w14:textFill>
              </w:rPr>
              <w:t>项、第</w:t>
            </w:r>
            <w:r>
              <w:rPr>
                <w:rFonts w:hint="eastAsia" w:ascii="宋体" w:hAnsi="宋体" w:cs="宋体"/>
                <w:color w:val="000000" w:themeColor="text1"/>
                <w:kern w:val="0"/>
                <w:sz w:val="15"/>
                <w:szCs w:val="15"/>
                <w:highlight w:val="none"/>
                <w:lang w:val="en-US" w:eastAsia="zh-CN"/>
                <w14:textFill>
                  <w14:solidFill>
                    <w14:schemeClr w14:val="tx1"/>
                  </w14:solidFill>
                </w14:textFill>
              </w:rPr>
              <w:t>二</w:t>
            </w:r>
            <w:r>
              <w:rPr>
                <w:rFonts w:hint="eastAsia" w:ascii="宋体" w:hAnsi="宋体" w:eastAsia="宋体" w:cs="宋体"/>
                <w:color w:val="000000" w:themeColor="text1"/>
                <w:kern w:val="0"/>
                <w:sz w:val="15"/>
                <w:szCs w:val="15"/>
                <w:highlight w:val="none"/>
                <w14:textFill>
                  <w14:solidFill>
                    <w14:schemeClr w14:val="tx1"/>
                  </w14:solidFill>
                </w14:textFill>
              </w:rPr>
              <w:t>项</w:t>
            </w:r>
            <w:r>
              <w:rPr>
                <w:rFonts w:hint="eastAsia" w:ascii="宋体" w:hAnsi="宋体" w:eastAsia="宋体" w:cs="宋体"/>
                <w:color w:val="000000" w:themeColor="text1"/>
                <w:kern w:val="0"/>
                <w:sz w:val="15"/>
                <w:szCs w:val="15"/>
                <w:highlight w:val="none"/>
                <w:lang w:eastAsia="zh-CN"/>
                <w14:textFill>
                  <w14:solidFill>
                    <w14:schemeClr w14:val="tx1"/>
                  </w14:solidFill>
                </w14:textFill>
              </w:rPr>
              <w:t>，第二款</w:t>
            </w:r>
            <w:r>
              <w:rPr>
                <w:rFonts w:hint="eastAsia" w:ascii="宋体" w:hAnsi="宋体" w:eastAsia="宋体" w:cs="宋体"/>
                <w:color w:val="000000" w:themeColor="text1"/>
                <w:kern w:val="0"/>
                <w:sz w:val="15"/>
                <w:szCs w:val="15"/>
                <w:highlight w:val="none"/>
                <w14:textFill>
                  <w14:solidFill>
                    <w14:schemeClr w14:val="tx1"/>
                  </w14:solidFill>
                </w14:textFill>
              </w:rPr>
              <w:t>（根据损害情况选择条款）责令停止违法行为、采取补救措施，没收违法所得，并依照下列规定处以罚款：</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（一）涉及实行一级保护的古树和名木的，处每株50万元以上100万元以下的罚款；</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（二）涉及实行二级保护的古树的，处每株20万元以上50万元以下的罚款；</w:t>
            </w:r>
          </w:p>
          <w:p>
            <w:pPr>
              <w:spacing w:line="232" w:lineRule="exact"/>
              <w:ind w:firstLine="300" w:firstLineChars="200"/>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违反本条例规定，损害古树名木及其生长环境，造成古树名木死亡的，依照前款规定处罚。</w:t>
            </w: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default" w:ascii="宋体" w:hAnsi="宋体" w:cs="宋体"/>
                <w:color w:val="000000" w:themeColor="text1"/>
                <w:kern w:val="0"/>
                <w:sz w:val="15"/>
                <w:szCs w:val="15"/>
                <w:highlight w:val="none"/>
                <w:lang w:val="en-US"/>
                <w14:textFill>
                  <w14:solidFill>
                    <w14:schemeClr w14:val="tx1"/>
                  </w14:solidFill>
                </w14:textFill>
              </w:rPr>
              <w:t>500000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default"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w:t>
            </w:r>
            <w:r>
              <w:rPr>
                <w:rFonts w:hint="eastAsia" w:ascii="宋体" w:hAnsi="宋体" w:eastAsia="宋体" w:cs="宋体"/>
                <w:color w:val="000000" w:themeColor="text1"/>
                <w:kern w:val="0"/>
                <w:sz w:val="15"/>
                <w:szCs w:val="15"/>
                <w:highlight w:val="none"/>
                <w14:textFill>
                  <w14:solidFill>
                    <w14:schemeClr w14:val="tx1"/>
                  </w14:solidFill>
                </w14:textFill>
              </w:rPr>
              <w:t>对</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古树名木</w:t>
            </w:r>
            <w:r>
              <w:rPr>
                <w:rFonts w:hint="eastAsia" w:ascii="宋体" w:hAnsi="宋体" w:eastAsia="宋体" w:cs="宋体"/>
                <w:color w:val="000000" w:themeColor="text1"/>
                <w:kern w:val="0"/>
                <w:sz w:val="15"/>
                <w:szCs w:val="15"/>
                <w:highlight w:val="none"/>
                <w14:textFill>
                  <w14:solidFill>
                    <w14:schemeClr w14:val="tx1"/>
                  </w14:solidFill>
                </w14:textFill>
              </w:rPr>
              <w:t>造成较大损害的，或者造成较大影响的</w:t>
            </w:r>
            <w:r>
              <w:rPr>
                <w:rFonts w:hint="eastAsia" w:ascii="宋体" w:hAnsi="宋体" w:cs="宋体"/>
                <w:color w:val="000000" w:themeColor="text1"/>
                <w:kern w:val="0"/>
                <w:sz w:val="15"/>
                <w:szCs w:val="15"/>
                <w:highlight w:val="none"/>
                <w:lang w:val="en-US" w:eastAsia="zh-CN"/>
                <w14:textFill>
                  <w14:solidFill>
                    <w14:schemeClr w14:val="tx1"/>
                  </w14:solidFill>
                </w14:textFill>
              </w:rPr>
              <w:t>，变量系数0-0.5。</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2.造成古树名木死亡的，变量系数1。</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500000</w:t>
            </w:r>
            <w:r>
              <w:rPr>
                <w:rFonts w:hint="eastAsia" w:ascii="宋体" w:hAnsi="宋体" w:eastAsia="宋体" w:cs="宋体"/>
                <w:color w:val="000000" w:themeColor="text1"/>
                <w:kern w:val="0"/>
                <w:sz w:val="15"/>
                <w:szCs w:val="15"/>
                <w:highlight w:val="none"/>
                <w14:textFill>
                  <w14:solidFill>
                    <w14:schemeClr w14:val="tx1"/>
                  </w14:solidFill>
                </w14:textFill>
              </w:rPr>
              <w:t>×（1＋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r>
              <w:rPr>
                <w:rFonts w:hint="eastAsia" w:ascii="宋体" w:hAnsi="宋体" w:cs="宋体"/>
                <w:color w:val="000000" w:themeColor="text1"/>
                <w:kern w:val="0"/>
                <w:sz w:val="15"/>
                <w:szCs w:val="15"/>
                <w:highlight w:val="none"/>
                <w:lang w:eastAsia="zh-CN"/>
                <w14:textFill>
                  <w14:solidFill>
                    <w14:schemeClr w14:val="tx1"/>
                  </w14:solidFill>
                </w14:textFill>
              </w:rPr>
              <w:t>。</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w:t>
            </w:r>
            <w:r>
              <w:rPr>
                <w:rFonts w:hint="eastAsia" w:ascii="宋体" w:hAnsi="宋体" w:cs="宋体"/>
                <w:color w:val="000000" w:themeColor="text1"/>
                <w:kern w:val="0"/>
                <w:sz w:val="15"/>
                <w:szCs w:val="15"/>
                <w:highlight w:val="none"/>
                <w:lang w:eastAsia="zh-CN"/>
                <w14:textFill>
                  <w14:solidFill>
                    <w14:schemeClr w14:val="tx1"/>
                  </w14:solidFill>
                </w14:textFill>
              </w:rPr>
              <w:t>一级保护的古树和名木</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5" w:hRule="atLeast"/>
          <w:jc w:val="center"/>
        </w:trPr>
        <w:tc>
          <w:tcPr>
            <w:tcW w:w="940" w:type="dxa"/>
            <w:vMerge w:val="continue"/>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p>
        </w:tc>
        <w:tc>
          <w:tcPr>
            <w:tcW w:w="1500" w:type="dxa"/>
            <w:vMerge w:val="continue"/>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200000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default"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w:t>
            </w:r>
            <w:r>
              <w:rPr>
                <w:rFonts w:hint="eastAsia" w:ascii="宋体" w:hAnsi="宋体" w:eastAsia="宋体" w:cs="宋体"/>
                <w:color w:val="000000" w:themeColor="text1"/>
                <w:kern w:val="0"/>
                <w:sz w:val="15"/>
                <w:szCs w:val="15"/>
                <w:highlight w:val="none"/>
                <w14:textFill>
                  <w14:solidFill>
                    <w14:schemeClr w14:val="tx1"/>
                  </w14:solidFill>
                </w14:textFill>
              </w:rPr>
              <w:t>对</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古树名木</w:t>
            </w:r>
            <w:r>
              <w:rPr>
                <w:rFonts w:hint="eastAsia" w:ascii="宋体" w:hAnsi="宋体" w:eastAsia="宋体" w:cs="宋体"/>
                <w:color w:val="000000" w:themeColor="text1"/>
                <w:kern w:val="0"/>
                <w:sz w:val="15"/>
                <w:szCs w:val="15"/>
                <w:highlight w:val="none"/>
                <w14:textFill>
                  <w14:solidFill>
                    <w14:schemeClr w14:val="tx1"/>
                  </w14:solidFill>
                </w14:textFill>
              </w:rPr>
              <w:t>造成较大损害的，或者造成较大影响的</w:t>
            </w:r>
            <w:r>
              <w:rPr>
                <w:rFonts w:hint="eastAsia" w:ascii="宋体" w:hAnsi="宋体" w:cs="宋体"/>
                <w:color w:val="000000" w:themeColor="text1"/>
                <w:kern w:val="0"/>
                <w:sz w:val="15"/>
                <w:szCs w:val="15"/>
                <w:highlight w:val="none"/>
                <w:lang w:val="en-US" w:eastAsia="zh-CN"/>
                <w14:textFill>
                  <w14:solidFill>
                    <w14:schemeClr w14:val="tx1"/>
                  </w14:solidFill>
                </w14:textFill>
              </w:rPr>
              <w:t>，变量系数0-0.5。</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2.造成古树名木死亡的，变量系数1.5。</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200000</w:t>
            </w:r>
            <w:r>
              <w:rPr>
                <w:rFonts w:hint="eastAsia" w:ascii="宋体" w:hAnsi="宋体" w:eastAsia="宋体" w:cs="宋体"/>
                <w:color w:val="000000" w:themeColor="text1"/>
                <w:kern w:val="0"/>
                <w:sz w:val="15"/>
                <w:szCs w:val="15"/>
                <w:highlight w:val="none"/>
                <w14:textFill>
                  <w14:solidFill>
                    <w14:schemeClr w14:val="tx1"/>
                  </w14:solidFill>
                </w14:textFill>
              </w:rPr>
              <w:t>×（1＋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r>
              <w:rPr>
                <w:rFonts w:hint="eastAsia" w:ascii="宋体" w:hAnsi="宋体" w:cs="宋体"/>
                <w:color w:val="000000" w:themeColor="text1"/>
                <w:kern w:val="0"/>
                <w:sz w:val="15"/>
                <w:szCs w:val="15"/>
                <w:highlight w:val="none"/>
                <w:lang w:eastAsia="zh-CN"/>
                <w14:textFill>
                  <w14:solidFill>
                    <w14:schemeClr w14:val="tx1"/>
                  </w14:solidFill>
                </w14:textFill>
              </w:rPr>
              <w:t>。</w:t>
            </w:r>
          </w:p>
        </w:tc>
        <w:tc>
          <w:tcPr>
            <w:tcW w:w="2385" w:type="dxa"/>
            <w:vAlign w:val="center"/>
          </w:tcPr>
          <w:p>
            <w:pPr>
              <w:spacing w:line="232" w:lineRule="exact"/>
              <w:rPr>
                <w:rFonts w:hint="eastAsia" w:ascii="宋体" w:hAnsi="宋体" w:eastAsia="宋体"/>
                <w:color w:val="000000" w:themeColor="text1"/>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w:t>
            </w:r>
            <w:r>
              <w:rPr>
                <w:rFonts w:hint="eastAsia" w:ascii="宋体" w:hAnsi="宋体" w:eastAsia="宋体" w:cs="宋体"/>
                <w:color w:val="000000" w:themeColor="text1"/>
                <w:kern w:val="0"/>
                <w:sz w:val="15"/>
                <w:szCs w:val="15"/>
                <w:highlight w:val="none"/>
                <w:lang w:eastAsia="zh-CN"/>
                <w14:textFill>
                  <w14:solidFill>
                    <w14:schemeClr w14:val="tx1"/>
                  </w14:solidFill>
                </w14:textFill>
              </w:rPr>
              <w:t>二</w:t>
            </w:r>
            <w:r>
              <w:rPr>
                <w:rFonts w:hint="eastAsia" w:ascii="宋体" w:hAnsi="宋体" w:cs="宋体"/>
                <w:color w:val="000000" w:themeColor="text1"/>
                <w:kern w:val="0"/>
                <w:sz w:val="15"/>
                <w:szCs w:val="15"/>
                <w:highlight w:val="none"/>
                <w:lang w:eastAsia="zh-CN"/>
                <w14:textFill>
                  <w14:solidFill>
                    <w14:schemeClr w14:val="tx1"/>
                  </w14:solidFill>
                </w14:textFill>
              </w:rPr>
              <w:t>级保护的古树</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2" w:hRule="atLeast"/>
          <w:jc w:val="center"/>
        </w:trPr>
        <w:tc>
          <w:tcPr>
            <w:tcW w:w="940" w:type="dxa"/>
            <w:vMerge w:val="restart"/>
            <w:vAlign w:val="center"/>
          </w:tcPr>
          <w:p>
            <w:pPr>
              <w:spacing w:line="232" w:lineRule="exact"/>
              <w:jc w:val="center"/>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3</w:t>
            </w:r>
          </w:p>
        </w:tc>
        <w:tc>
          <w:tcPr>
            <w:tcW w:w="1500" w:type="dxa"/>
            <w:vMerge w:val="restart"/>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cs="宋体"/>
                <w:color w:val="000000" w:themeColor="text1"/>
                <w:kern w:val="0"/>
                <w:sz w:val="15"/>
                <w:szCs w:val="15"/>
                <w:highlight w:val="none"/>
                <w:lang w:eastAsia="zh-CN"/>
                <w14:textFill>
                  <w14:solidFill>
                    <w14:schemeClr w14:val="tx1"/>
                  </w14:solidFill>
                </w14:textFill>
              </w:rPr>
              <w:t>买卖、运输、加工非法采伐、移植的古树名木（林木</w:t>
            </w:r>
            <w:r>
              <w:rPr>
                <w:rFonts w:hint="eastAsia" w:ascii="宋体" w:hAnsi="宋体" w:cs="宋体"/>
                <w:color w:val="000000" w:themeColor="text1"/>
                <w:kern w:val="0"/>
                <w:sz w:val="15"/>
                <w:szCs w:val="15"/>
                <w:highlight w:val="none"/>
                <w:lang w:val="en-US" w:eastAsia="zh-CN"/>
                <w14:textFill>
                  <w14:solidFill>
                    <w14:schemeClr w14:val="tx1"/>
                  </w14:solidFill>
                </w14:textFill>
              </w:rPr>
              <w:t>除外</w:t>
            </w:r>
            <w:r>
              <w:rPr>
                <w:rFonts w:hint="eastAsia" w:ascii="宋体" w:hAnsi="宋体" w:cs="宋体"/>
                <w:color w:val="000000" w:themeColor="text1"/>
                <w:kern w:val="0"/>
                <w:sz w:val="15"/>
                <w:szCs w:val="15"/>
                <w:highlight w:val="none"/>
                <w:lang w:eastAsia="zh-CN"/>
                <w14:textFill>
                  <w14:solidFill>
                    <w14:schemeClr w14:val="tx1"/>
                  </w14:solidFill>
                </w14:textFill>
              </w:rPr>
              <w:t>）</w:t>
            </w:r>
          </w:p>
        </w:tc>
        <w:tc>
          <w:tcPr>
            <w:tcW w:w="2789"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w:t>
            </w:r>
            <w:r>
              <w:rPr>
                <w:rFonts w:hint="eastAsia" w:ascii="宋体" w:hAnsi="宋体" w:cs="宋体"/>
                <w:color w:val="000000" w:themeColor="text1"/>
                <w:kern w:val="0"/>
                <w:sz w:val="15"/>
                <w:szCs w:val="15"/>
                <w:highlight w:val="none"/>
                <w:lang w:eastAsia="zh-CN"/>
                <w14:textFill>
                  <w14:solidFill>
                    <w14:schemeClr w14:val="tx1"/>
                  </w14:solidFill>
                </w14:textFill>
              </w:rPr>
              <w:t>十七条第一</w:t>
            </w:r>
            <w:r>
              <w:rPr>
                <w:rFonts w:hint="eastAsia" w:ascii="宋体" w:hAnsi="宋体" w:eastAsia="宋体" w:cs="宋体"/>
                <w:color w:val="000000" w:themeColor="text1"/>
                <w:kern w:val="0"/>
                <w:sz w:val="15"/>
                <w:szCs w:val="15"/>
                <w:highlight w:val="none"/>
                <w14:textFill>
                  <w14:solidFill>
                    <w14:schemeClr w14:val="tx1"/>
                  </w14:solidFill>
                </w14:textFill>
              </w:rPr>
              <w:t>项；</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处罚条款：第二十七条</w:t>
            </w:r>
            <w:r>
              <w:rPr>
                <w:rFonts w:hint="eastAsia" w:ascii="宋体" w:hAnsi="宋体" w:cs="宋体"/>
                <w:color w:val="000000" w:themeColor="text1"/>
                <w:kern w:val="0"/>
                <w:sz w:val="15"/>
                <w:szCs w:val="15"/>
                <w:highlight w:val="none"/>
                <w:lang w:eastAsia="zh-CN"/>
                <w14:textFill>
                  <w14:solidFill>
                    <w14:schemeClr w14:val="tx1"/>
                  </w14:solidFill>
                </w14:textFill>
              </w:rPr>
              <w:t>第一款</w:t>
            </w:r>
            <w:r>
              <w:rPr>
                <w:rFonts w:hint="eastAsia" w:ascii="宋体" w:hAnsi="宋体" w:eastAsia="宋体" w:cs="宋体"/>
                <w:color w:val="000000" w:themeColor="text1"/>
                <w:kern w:val="0"/>
                <w:sz w:val="15"/>
                <w:szCs w:val="15"/>
                <w:highlight w:val="none"/>
                <w14:textFill>
                  <w14:solidFill>
                    <w14:schemeClr w14:val="tx1"/>
                  </w14:solidFill>
                </w14:textFill>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hint="default"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hint="default"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买卖、运输、加工非法采伐、移植的古树名木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5" w:hRule="atLeast"/>
          <w:jc w:val="center"/>
        </w:trPr>
        <w:tc>
          <w:tcPr>
            <w:tcW w:w="940" w:type="dxa"/>
            <w:vMerge w:val="continue"/>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hint="default" w:ascii="宋体" w:hAnsi="宋体" w:eastAsia="宋体"/>
                <w:color w:val="000000" w:themeColor="text1"/>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50000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1.一级保护的古树或名木，系数2-3;二级保护的古树，系数0-1。</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买卖、运输、加工非法采伐、移植的古树名木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2株，系数1;3株，系数2；4株及以上的，系数3。</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500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适用拒不停止违法行为、不采取补救措施或者造成严重后果的</w:t>
            </w:r>
            <w:r>
              <w:rPr>
                <w:rFonts w:hint="eastAsia" w:ascii="宋体" w:hAnsi="宋体" w:eastAsia="宋体" w:cs="宋体"/>
                <w:color w:val="000000" w:themeColor="text1"/>
                <w:kern w:val="0"/>
                <w:sz w:val="15"/>
                <w:szCs w:val="15"/>
                <w:highlight w:val="none"/>
                <w:lang w:eastAsia="zh-CN"/>
                <w14:textFill>
                  <w14:solidFill>
                    <w14:schemeClr w14:val="tx1"/>
                  </w14:solidFill>
                </w14:textFill>
              </w:rPr>
              <w:t>情形。</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8" w:hRule="atLeast"/>
          <w:jc w:val="center"/>
        </w:trPr>
        <w:tc>
          <w:tcPr>
            <w:tcW w:w="940" w:type="dxa"/>
            <w:vMerge w:val="restart"/>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4</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对古树名木挖根</w:t>
            </w:r>
            <w:r>
              <w:rPr>
                <w:rFonts w:hint="eastAsia" w:ascii="宋体" w:hAnsi="宋体" w:cs="宋体"/>
                <w:color w:val="000000" w:themeColor="text1"/>
                <w:kern w:val="0"/>
                <w:sz w:val="15"/>
                <w:szCs w:val="15"/>
                <w:highlight w:val="none"/>
                <w:lang w:eastAsia="zh-CN"/>
                <w14:textFill>
                  <w14:solidFill>
                    <w14:schemeClr w14:val="tx1"/>
                  </w14:solidFill>
                </w14:textFill>
              </w:rPr>
              <w:t>、</w:t>
            </w:r>
            <w:r>
              <w:rPr>
                <w:rFonts w:hint="eastAsia" w:ascii="宋体" w:hAnsi="宋体" w:eastAsia="宋体" w:cs="宋体"/>
                <w:color w:val="000000" w:themeColor="text1"/>
                <w:kern w:val="0"/>
                <w:sz w:val="15"/>
                <w:szCs w:val="15"/>
                <w:highlight w:val="none"/>
                <w14:textFill>
                  <w14:solidFill>
                    <w14:schemeClr w14:val="tx1"/>
                  </w14:solidFill>
                </w14:textFill>
              </w:rPr>
              <w:t>剥损树皮、过度修剪枝干</w:t>
            </w:r>
          </w:p>
        </w:tc>
        <w:tc>
          <w:tcPr>
            <w:tcW w:w="2789"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w:t>
            </w:r>
            <w:r>
              <w:rPr>
                <w:rFonts w:hint="eastAsia" w:ascii="宋体" w:hAnsi="宋体" w:cs="宋体"/>
                <w:color w:val="000000" w:themeColor="text1"/>
                <w:kern w:val="0"/>
                <w:sz w:val="15"/>
                <w:szCs w:val="15"/>
                <w:highlight w:val="none"/>
                <w:lang w:eastAsia="zh-CN"/>
                <w14:textFill>
                  <w14:solidFill>
                    <w14:schemeClr w14:val="tx1"/>
                  </w14:solidFill>
                </w14:textFill>
              </w:rPr>
              <w:t>十七条第二</w:t>
            </w:r>
            <w:r>
              <w:rPr>
                <w:rFonts w:hint="eastAsia" w:ascii="宋体" w:hAnsi="宋体" w:eastAsia="宋体" w:cs="宋体"/>
                <w:color w:val="000000" w:themeColor="text1"/>
                <w:kern w:val="0"/>
                <w:sz w:val="15"/>
                <w:szCs w:val="15"/>
                <w:highlight w:val="none"/>
                <w14:textFill>
                  <w14:solidFill>
                    <w14:schemeClr w14:val="tx1"/>
                  </w14:solidFill>
                </w14:textFill>
              </w:rPr>
              <w:t>项；</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处罚条款：第二十七条</w:t>
            </w:r>
            <w:r>
              <w:rPr>
                <w:rFonts w:hint="eastAsia" w:ascii="宋体" w:hAnsi="宋体" w:eastAsia="宋体" w:cs="宋体"/>
                <w:color w:val="000000" w:themeColor="text1"/>
                <w:kern w:val="0"/>
                <w:sz w:val="15"/>
                <w:szCs w:val="15"/>
                <w:highlight w:val="none"/>
                <w:lang w:eastAsia="zh-CN"/>
                <w14:textFill>
                  <w14:solidFill>
                    <w14:schemeClr w14:val="tx1"/>
                  </w14:solidFill>
                </w14:textFill>
              </w:rPr>
              <w:t>第一款</w:t>
            </w:r>
            <w:r>
              <w:rPr>
                <w:rFonts w:hint="eastAsia" w:ascii="宋体" w:hAnsi="宋体" w:eastAsia="宋体" w:cs="宋体"/>
                <w:color w:val="000000" w:themeColor="text1"/>
                <w:kern w:val="0"/>
                <w:sz w:val="15"/>
                <w:szCs w:val="15"/>
                <w:highlight w:val="none"/>
                <w14:textFill>
                  <w14:solidFill>
                    <w14:schemeClr w14:val="tx1"/>
                  </w14:solidFill>
                </w14:textFill>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6" w:hRule="atLeast"/>
          <w:jc w:val="center"/>
        </w:trPr>
        <w:tc>
          <w:tcPr>
            <w:tcW w:w="940" w:type="dxa"/>
            <w:vMerge w:val="continue"/>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851"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50000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1.一级保护的古树或名木，系数2-3;二级保护的古树，系数0-1。</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2株，系数1;3株，系数2；4株及以上的，系数3。</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500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适用拒不停止违法行为、不采取补救措施或者造成严重后果的</w:t>
            </w:r>
            <w:r>
              <w:rPr>
                <w:rFonts w:hint="eastAsia" w:ascii="宋体" w:hAnsi="宋体" w:eastAsia="宋体" w:cs="宋体"/>
                <w:color w:val="000000" w:themeColor="text1"/>
                <w:kern w:val="0"/>
                <w:sz w:val="15"/>
                <w:szCs w:val="15"/>
                <w:highlight w:val="none"/>
                <w:lang w:eastAsia="zh-CN"/>
                <w14:textFill>
                  <w14:solidFill>
                    <w14:schemeClr w14:val="tx1"/>
                  </w14:solidFill>
                </w14:textFill>
              </w:rPr>
              <w:t>情形。</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2" w:hRule="atLeast"/>
          <w:jc w:val="center"/>
        </w:trPr>
        <w:tc>
          <w:tcPr>
            <w:tcW w:w="940" w:type="dxa"/>
            <w:vMerge w:val="restart"/>
            <w:vAlign w:val="center"/>
          </w:tcPr>
          <w:p>
            <w:pPr>
              <w:spacing w:line="232" w:lineRule="exact"/>
              <w:jc w:val="center"/>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5</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向古树名木灌注有毒有害物质</w:t>
            </w:r>
          </w:p>
        </w:tc>
        <w:tc>
          <w:tcPr>
            <w:tcW w:w="2789"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w:t>
            </w:r>
            <w:r>
              <w:rPr>
                <w:rFonts w:hint="eastAsia" w:ascii="宋体" w:hAnsi="宋体" w:cs="宋体"/>
                <w:color w:val="000000" w:themeColor="text1"/>
                <w:kern w:val="0"/>
                <w:sz w:val="15"/>
                <w:szCs w:val="15"/>
                <w:highlight w:val="none"/>
                <w:lang w:eastAsia="zh-CN"/>
                <w14:textFill>
                  <w14:solidFill>
                    <w14:schemeClr w14:val="tx1"/>
                  </w14:solidFill>
                </w14:textFill>
              </w:rPr>
              <w:t>十七条第三</w:t>
            </w:r>
            <w:r>
              <w:rPr>
                <w:rFonts w:hint="eastAsia" w:ascii="宋体" w:hAnsi="宋体" w:eastAsia="宋体" w:cs="宋体"/>
                <w:color w:val="000000" w:themeColor="text1"/>
                <w:kern w:val="0"/>
                <w:sz w:val="15"/>
                <w:szCs w:val="15"/>
                <w:highlight w:val="none"/>
                <w14:textFill>
                  <w14:solidFill>
                    <w14:schemeClr w14:val="tx1"/>
                  </w14:solidFill>
                </w14:textFill>
              </w:rPr>
              <w:t>项；</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处罚条款：第二十七条</w:t>
            </w:r>
            <w:r>
              <w:rPr>
                <w:rFonts w:hint="eastAsia" w:ascii="宋体" w:hAnsi="宋体" w:eastAsia="宋体" w:cs="宋体"/>
                <w:color w:val="000000" w:themeColor="text1"/>
                <w:kern w:val="0"/>
                <w:sz w:val="15"/>
                <w:szCs w:val="15"/>
                <w:highlight w:val="none"/>
                <w:lang w:eastAsia="zh-CN"/>
                <w14:textFill>
                  <w14:solidFill>
                    <w14:schemeClr w14:val="tx1"/>
                  </w14:solidFill>
                </w14:textFill>
              </w:rPr>
              <w:t>第一款</w:t>
            </w:r>
            <w:r>
              <w:rPr>
                <w:rFonts w:hint="eastAsia" w:ascii="宋体" w:hAnsi="宋体" w:eastAsia="宋体" w:cs="宋体"/>
                <w:color w:val="000000" w:themeColor="text1"/>
                <w:kern w:val="0"/>
                <w:sz w:val="15"/>
                <w:szCs w:val="15"/>
                <w:highlight w:val="none"/>
                <w14:textFill>
                  <w14:solidFill>
                    <w14:schemeClr w14:val="tx1"/>
                  </w14:solidFill>
                </w14:textFill>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26" w:hRule="atLeast"/>
          <w:jc w:val="center"/>
        </w:trPr>
        <w:tc>
          <w:tcPr>
            <w:tcW w:w="940" w:type="dxa"/>
            <w:vMerge w:val="continue"/>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851"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50000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1.一级保护的古树或名木，系数2-3;二级保护的古树，系数0-1。</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2株，系数1;3株，系数2；4株及以上的，系数3。</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500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适用拒不停止违法行为、不采取补救措施或者造成严重后果的</w:t>
            </w:r>
            <w:r>
              <w:rPr>
                <w:rFonts w:hint="eastAsia" w:ascii="宋体" w:hAnsi="宋体" w:eastAsia="宋体" w:cs="宋体"/>
                <w:color w:val="000000" w:themeColor="text1"/>
                <w:kern w:val="0"/>
                <w:sz w:val="15"/>
                <w:szCs w:val="15"/>
                <w:highlight w:val="none"/>
                <w:lang w:eastAsia="zh-CN"/>
                <w14:textFill>
                  <w14:solidFill>
                    <w14:schemeClr w14:val="tx1"/>
                  </w14:solidFill>
                </w14:textFill>
              </w:rPr>
              <w:t>情形。</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vMerge w:val="restart"/>
            <w:vAlign w:val="center"/>
          </w:tcPr>
          <w:p>
            <w:pPr>
              <w:spacing w:line="232" w:lineRule="exact"/>
              <w:jc w:val="cente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6</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在古树名木保护范围内铺设非通透性硬化地面、使用明火、堆放重物、倾倒易燃易爆物品或者有毒有害物质</w:t>
            </w:r>
          </w:p>
        </w:tc>
        <w:tc>
          <w:tcPr>
            <w:tcW w:w="2789"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w:t>
            </w:r>
            <w:r>
              <w:rPr>
                <w:rFonts w:hint="eastAsia" w:ascii="宋体" w:hAnsi="宋体" w:cs="宋体"/>
                <w:color w:val="000000" w:themeColor="text1"/>
                <w:kern w:val="0"/>
                <w:sz w:val="15"/>
                <w:szCs w:val="15"/>
                <w:highlight w:val="none"/>
                <w:lang w:eastAsia="zh-CN"/>
                <w14:textFill>
                  <w14:solidFill>
                    <w14:schemeClr w14:val="tx1"/>
                  </w14:solidFill>
                </w14:textFill>
              </w:rPr>
              <w:t>十七条第四</w:t>
            </w:r>
            <w:r>
              <w:rPr>
                <w:rFonts w:hint="eastAsia" w:ascii="宋体" w:hAnsi="宋体" w:eastAsia="宋体" w:cs="宋体"/>
                <w:color w:val="000000" w:themeColor="text1"/>
                <w:kern w:val="0"/>
                <w:sz w:val="15"/>
                <w:szCs w:val="15"/>
                <w:highlight w:val="none"/>
                <w14:textFill>
                  <w14:solidFill>
                    <w14:schemeClr w14:val="tx1"/>
                  </w14:solidFill>
                </w14:textFill>
              </w:rPr>
              <w:t>项；</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处罚条款：第二十七条</w:t>
            </w:r>
            <w:r>
              <w:rPr>
                <w:rFonts w:hint="eastAsia" w:ascii="宋体" w:hAnsi="宋体" w:eastAsia="宋体" w:cs="宋体"/>
                <w:color w:val="000000" w:themeColor="text1"/>
                <w:kern w:val="0"/>
                <w:sz w:val="15"/>
                <w:szCs w:val="15"/>
                <w:highlight w:val="none"/>
                <w:lang w:eastAsia="zh-CN"/>
                <w14:textFill>
                  <w14:solidFill>
                    <w14:schemeClr w14:val="tx1"/>
                  </w14:solidFill>
                </w14:textFill>
              </w:rPr>
              <w:t>第一款</w:t>
            </w:r>
            <w:r>
              <w:rPr>
                <w:rFonts w:hint="eastAsia" w:ascii="宋体" w:hAnsi="宋体" w:eastAsia="宋体" w:cs="宋体"/>
                <w:color w:val="000000" w:themeColor="text1"/>
                <w:kern w:val="0"/>
                <w:sz w:val="15"/>
                <w:szCs w:val="15"/>
                <w:highlight w:val="none"/>
                <w14:textFill>
                  <w14:solidFill>
                    <w14:schemeClr w14:val="tx1"/>
                  </w14:solidFill>
                </w14:textFill>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56" w:hRule="atLeast"/>
          <w:jc w:val="center"/>
        </w:trPr>
        <w:tc>
          <w:tcPr>
            <w:tcW w:w="940" w:type="dxa"/>
            <w:vMerge w:val="continue"/>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50000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1.一级保护的古树或名木，系数2-3;二级保护的古树，系数0-1。</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2株，系数1;3株，系数2；4株及以上的，系数3。</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500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适用拒不停止违法行为、不采取补救措施或者造成严重后果的</w:t>
            </w:r>
            <w:r>
              <w:rPr>
                <w:rFonts w:hint="eastAsia" w:ascii="宋体" w:hAnsi="宋体" w:eastAsia="宋体" w:cs="宋体"/>
                <w:color w:val="000000" w:themeColor="text1"/>
                <w:kern w:val="0"/>
                <w:sz w:val="15"/>
                <w:szCs w:val="15"/>
                <w:highlight w:val="none"/>
                <w:lang w:eastAsia="zh-CN"/>
                <w14:textFill>
                  <w14:solidFill>
                    <w14:schemeClr w14:val="tx1"/>
                  </w14:solidFill>
                </w14:textFill>
              </w:rPr>
              <w:t>情形。</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5" w:hRule="atLeast"/>
          <w:jc w:val="center"/>
        </w:trPr>
        <w:tc>
          <w:tcPr>
            <w:tcW w:w="940" w:type="dxa"/>
            <w:vMerge w:val="restart"/>
            <w:vAlign w:val="center"/>
          </w:tcPr>
          <w:p>
            <w:pPr>
              <w:spacing w:line="232" w:lineRule="exact"/>
              <w:jc w:val="center"/>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7</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在古树名木上刻划、架设线缆、缠绕或者悬挂物体等，攀爬古树名木</w:t>
            </w:r>
          </w:p>
        </w:tc>
        <w:tc>
          <w:tcPr>
            <w:tcW w:w="2789" w:type="dxa"/>
            <w:vMerge w:val="restart"/>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w:t>
            </w:r>
            <w:r>
              <w:rPr>
                <w:rFonts w:hint="eastAsia" w:ascii="宋体" w:hAnsi="宋体" w:cs="宋体"/>
                <w:color w:val="000000" w:themeColor="text1"/>
                <w:kern w:val="0"/>
                <w:sz w:val="15"/>
                <w:szCs w:val="15"/>
                <w:highlight w:val="none"/>
                <w:lang w:eastAsia="zh-CN"/>
                <w14:textFill>
                  <w14:solidFill>
                    <w14:schemeClr w14:val="tx1"/>
                  </w14:solidFill>
                </w14:textFill>
              </w:rPr>
              <w:t>十七条第五</w:t>
            </w:r>
            <w:r>
              <w:rPr>
                <w:rFonts w:hint="eastAsia" w:ascii="宋体" w:hAnsi="宋体" w:eastAsia="宋体" w:cs="宋体"/>
                <w:color w:val="000000" w:themeColor="text1"/>
                <w:kern w:val="0"/>
                <w:sz w:val="15"/>
                <w:szCs w:val="15"/>
                <w:highlight w:val="none"/>
                <w14:textFill>
                  <w14:solidFill>
                    <w14:schemeClr w14:val="tx1"/>
                  </w14:solidFill>
                </w14:textFill>
              </w:rPr>
              <w:t>项；</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w:t>
            </w:r>
            <w:r>
              <w:rPr>
                <w:rFonts w:hint="eastAsia" w:ascii="宋体" w:hAnsi="宋体" w:cs="宋体"/>
                <w:color w:val="000000" w:themeColor="text1"/>
                <w:kern w:val="0"/>
                <w:sz w:val="15"/>
                <w:szCs w:val="15"/>
                <w:highlight w:val="none"/>
                <w:lang w:eastAsia="zh-CN"/>
                <w14:textFill>
                  <w14:solidFill>
                    <w14:schemeClr w14:val="tx1"/>
                  </w14:solidFill>
                </w14:textFill>
              </w:rPr>
              <w:t>二十七</w:t>
            </w:r>
            <w:r>
              <w:rPr>
                <w:rFonts w:hint="eastAsia" w:ascii="宋体" w:hAnsi="宋体" w:eastAsia="宋体" w:cs="宋体"/>
                <w:color w:val="000000" w:themeColor="text1"/>
                <w:kern w:val="0"/>
                <w:sz w:val="15"/>
                <w:szCs w:val="15"/>
                <w:highlight w:val="none"/>
                <w14:textFill>
                  <w14:solidFill>
                    <w14:schemeClr w14:val="tx1"/>
                  </w14:solidFill>
                </w14:textFill>
              </w:rPr>
              <w:t>条第</w:t>
            </w:r>
            <w:r>
              <w:rPr>
                <w:rFonts w:hint="eastAsia" w:ascii="宋体" w:hAnsi="宋体" w:cs="宋体"/>
                <w:color w:val="000000" w:themeColor="text1"/>
                <w:kern w:val="0"/>
                <w:sz w:val="15"/>
                <w:szCs w:val="15"/>
                <w:highlight w:val="none"/>
                <w:lang w:eastAsia="zh-CN"/>
                <w14:textFill>
                  <w14:solidFill>
                    <w14:schemeClr w14:val="tx1"/>
                  </w14:solidFill>
                </w14:textFill>
              </w:rPr>
              <w:t>二</w:t>
            </w:r>
            <w:r>
              <w:rPr>
                <w:rFonts w:hint="eastAsia" w:ascii="宋体" w:hAnsi="宋体" w:eastAsia="宋体" w:cs="宋体"/>
                <w:color w:val="000000" w:themeColor="text1"/>
                <w:kern w:val="0"/>
                <w:sz w:val="15"/>
                <w:szCs w:val="15"/>
                <w:highlight w:val="none"/>
                <w14:textFill>
                  <w14:solidFill>
                    <w14:schemeClr w14:val="tx1"/>
                  </w14:solidFill>
                </w14:textFill>
              </w:rPr>
              <w:t>款 责令停止违法行为、采取补救措施，没收违法所得，可以并处1万元以下的罚款；拒不停止违法行为、不采取补救措施或者造成严重后果的，并处1万元以上10万元以下的罚款。</w:t>
            </w:r>
          </w:p>
        </w:tc>
        <w:tc>
          <w:tcPr>
            <w:tcW w:w="851" w:type="dxa"/>
            <w:vAlign w:val="center"/>
          </w:tcPr>
          <w:p>
            <w:pPr>
              <w:spacing w:line="232" w:lineRule="exact"/>
              <w:jc w:val="center"/>
              <w:rPr>
                <w:rFonts w:hint="default" w:ascii="宋体" w:hAnsi="宋体" w:eastAsia="宋体" w:cs="宋体"/>
                <w:color w:val="000000" w:themeColor="text1"/>
                <w:kern w:val="0"/>
                <w:sz w:val="15"/>
                <w:szCs w:val="15"/>
                <w:highlight w:val="none"/>
                <w:lang w:val="en-US"/>
                <w14:textFill>
                  <w14:solidFill>
                    <w14:schemeClr w14:val="tx1"/>
                  </w14:solidFill>
                </w14:textFill>
              </w:rPr>
            </w:pP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p>
        </w:tc>
        <w:tc>
          <w:tcPr>
            <w:tcW w:w="2304" w:type="dxa"/>
            <w:vAlign w:val="center"/>
          </w:tcPr>
          <w:p>
            <w:pPr>
              <w:spacing w:line="232" w:lineRule="exact"/>
              <w:rPr>
                <w:rFonts w:hint="default" w:ascii="宋体" w:hAnsi="宋体" w:cs="宋体"/>
                <w:color w:val="000000" w:themeColor="text1"/>
                <w:kern w:val="0"/>
                <w:sz w:val="15"/>
                <w:szCs w:val="15"/>
                <w:highlight w:val="none"/>
                <w:lang w:val="en-US" w:eastAsia="zh-CN"/>
                <w14:textFill>
                  <w14:solidFill>
                    <w14:schemeClr w14:val="tx1"/>
                  </w14:solidFill>
                </w14:textFill>
              </w:rPr>
            </w:pP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2385" w:type="dxa"/>
            <w:vAlign w:val="center"/>
          </w:tcPr>
          <w:p>
            <w:pPr>
              <w:spacing w:line="232" w:lineRule="exact"/>
              <w:rPr>
                <w:rFonts w:hint="default"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架设线缆、缠绕或者悬挂物体等，攀爬古树名木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未造成实质危害，</w:t>
            </w:r>
            <w:r>
              <w:rPr>
                <w:rFonts w:hint="eastAsia" w:ascii="宋体" w:hAnsi="宋体" w:eastAsia="宋体" w:cs="仿宋_GB2312"/>
                <w:color w:val="000000" w:themeColor="text1"/>
                <w:kern w:val="0"/>
                <w:sz w:val="15"/>
                <w:szCs w:val="15"/>
                <w:highlight w:val="none"/>
                <w14:textFill>
                  <w14:solidFill>
                    <w14:schemeClr w14:val="tx1"/>
                  </w14:solidFill>
                </w14:textFill>
              </w:rPr>
              <w:t>需要作出</w:t>
            </w: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1000</w:t>
            </w:r>
            <w:r>
              <w:rPr>
                <w:rFonts w:hint="eastAsia" w:ascii="宋体" w:hAnsi="宋体" w:eastAsia="宋体" w:cs="仿宋_GB2312"/>
                <w:color w:val="000000" w:themeColor="text1"/>
                <w:kern w:val="0"/>
                <w:sz w:val="15"/>
                <w:szCs w:val="15"/>
                <w:highlight w:val="none"/>
                <w14:textFill>
                  <w14:solidFill>
                    <w14:schemeClr w14:val="tx1"/>
                  </w14:solidFill>
                </w14:textFill>
              </w:rPr>
              <w:t>元以下罚款决定的，由执法人员在案卷中说明理由并自行决定。</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5" w:hRule="atLeast"/>
          <w:jc w:val="center"/>
        </w:trPr>
        <w:tc>
          <w:tcPr>
            <w:tcW w:w="940" w:type="dxa"/>
            <w:vMerge w:val="continue"/>
            <w:vAlign w:val="center"/>
          </w:tcPr>
          <w:p>
            <w:pPr>
              <w:spacing w:line="232" w:lineRule="exact"/>
              <w:jc w:val="center"/>
              <w:rPr>
                <w:rFonts w:hint="eastAsia" w:ascii="宋体" w:hAnsi="宋体" w:cs="宋体"/>
                <w:color w:val="000000" w:themeColor="text1"/>
                <w:kern w:val="0"/>
                <w:sz w:val="15"/>
                <w:szCs w:val="15"/>
                <w:highlight w:val="none"/>
                <w:lang w:val="en-US" w:eastAsia="zh-CN"/>
                <w14:textFill>
                  <w14:solidFill>
                    <w14:schemeClr w14:val="tx1"/>
                  </w14:solidFill>
                </w14:textFill>
              </w:rPr>
            </w:pPr>
          </w:p>
        </w:tc>
        <w:tc>
          <w:tcPr>
            <w:tcW w:w="1500" w:type="dxa"/>
            <w:vMerge w:val="continue"/>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hint="default"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w:t>
            </w:r>
          </w:p>
        </w:tc>
        <w:tc>
          <w:tcPr>
            <w:tcW w:w="840" w:type="dxa"/>
            <w:vAlign w:val="center"/>
          </w:tcPr>
          <w:p>
            <w:pPr>
              <w:spacing w:line="232" w:lineRule="exact"/>
              <w:jc w:val="cente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p>
            <w:pPr>
              <w:spacing w:line="232" w:lineRule="exact"/>
              <w:rPr>
                <w:rFonts w:hint="default"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3.在古树名木上刻划的，系数2；</w:t>
            </w:r>
            <w:r>
              <w:rPr>
                <w:rFonts w:hint="eastAsia" w:ascii="宋体" w:hAnsi="宋体" w:eastAsia="宋体" w:cs="宋体"/>
                <w:color w:val="000000" w:themeColor="text1"/>
                <w:kern w:val="0"/>
                <w:sz w:val="15"/>
                <w:szCs w:val="15"/>
                <w:highlight w:val="none"/>
                <w14:textFill>
                  <w14:solidFill>
                    <w14:schemeClr w14:val="tx1"/>
                  </w14:solidFill>
                </w14:textFill>
              </w:rPr>
              <w:t>架设线缆、缠绕或者悬挂物体等，攀爬古树名木</w:t>
            </w:r>
            <w:r>
              <w:rPr>
                <w:rFonts w:hint="eastAsia" w:ascii="宋体" w:hAnsi="宋体" w:cs="宋体"/>
                <w:color w:val="000000" w:themeColor="text1"/>
                <w:kern w:val="0"/>
                <w:sz w:val="15"/>
                <w:szCs w:val="15"/>
                <w:highlight w:val="none"/>
                <w:lang w:eastAsia="zh-CN"/>
                <w14:textFill>
                  <w14:solidFill>
                    <w14:schemeClr w14:val="tx1"/>
                  </w14:solidFill>
                </w14:textFill>
              </w:rPr>
              <w:t>，</w:t>
            </w:r>
            <w:r>
              <w:rPr>
                <w:rFonts w:hint="eastAsia" w:ascii="宋体" w:hAnsi="宋体" w:cs="宋体"/>
                <w:color w:val="000000" w:themeColor="text1"/>
                <w:kern w:val="0"/>
                <w:sz w:val="15"/>
                <w:szCs w:val="15"/>
                <w:highlight w:val="none"/>
                <w:lang w:val="en-US" w:eastAsia="zh-CN"/>
                <w14:textFill>
                  <w14:solidFill>
                    <w14:schemeClr w14:val="tx1"/>
                  </w14:solidFill>
                </w14:textFill>
              </w:rPr>
              <w:t>造成折枝等损害的，系数1。</w:t>
            </w:r>
          </w:p>
        </w:tc>
        <w:tc>
          <w:tcPr>
            <w:tcW w:w="17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3" w:hRule="atLeast"/>
          <w:jc w:val="center"/>
        </w:trPr>
        <w:tc>
          <w:tcPr>
            <w:tcW w:w="940" w:type="dxa"/>
            <w:vMerge w:val="continue"/>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3.在古树名木上刻划的，系数2；</w:t>
            </w:r>
            <w:r>
              <w:rPr>
                <w:rFonts w:hint="eastAsia" w:ascii="宋体" w:hAnsi="宋体" w:eastAsia="宋体" w:cs="宋体"/>
                <w:color w:val="000000" w:themeColor="text1"/>
                <w:kern w:val="0"/>
                <w:sz w:val="15"/>
                <w:szCs w:val="15"/>
                <w:highlight w:val="none"/>
                <w14:textFill>
                  <w14:solidFill>
                    <w14:schemeClr w14:val="tx1"/>
                  </w14:solidFill>
                </w14:textFill>
              </w:rPr>
              <w:t>架设线缆、缠绕或者悬挂物体等，攀爬古树名木</w:t>
            </w:r>
            <w:r>
              <w:rPr>
                <w:rFonts w:hint="eastAsia" w:ascii="宋体" w:hAnsi="宋体" w:cs="宋体"/>
                <w:color w:val="000000" w:themeColor="text1"/>
                <w:kern w:val="0"/>
                <w:sz w:val="15"/>
                <w:szCs w:val="15"/>
                <w:highlight w:val="none"/>
                <w:lang w:eastAsia="zh-CN"/>
                <w14:textFill>
                  <w14:solidFill>
                    <w14:schemeClr w14:val="tx1"/>
                  </w14:solidFill>
                </w14:textFill>
              </w:rPr>
              <w:t>，</w:t>
            </w:r>
            <w:r>
              <w:rPr>
                <w:rFonts w:hint="eastAsia" w:ascii="宋体" w:hAnsi="宋体" w:cs="宋体"/>
                <w:color w:val="000000" w:themeColor="text1"/>
                <w:kern w:val="0"/>
                <w:sz w:val="15"/>
                <w:szCs w:val="15"/>
                <w:highlight w:val="none"/>
                <w:lang w:val="en-US" w:eastAsia="zh-CN"/>
                <w14:textFill>
                  <w14:solidFill>
                    <w14:schemeClr w14:val="tx1"/>
                  </w14:solidFill>
                </w14:textFill>
              </w:rPr>
              <w:t>造成折枝等损害的，系数1。</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适用拒不停止违法行为、不采取补救措施或者造成严重后果的</w:t>
            </w:r>
            <w:r>
              <w:rPr>
                <w:rFonts w:hint="eastAsia" w:ascii="宋体" w:hAnsi="宋体" w:eastAsia="宋体" w:cs="宋体"/>
                <w:color w:val="000000" w:themeColor="text1"/>
                <w:kern w:val="0"/>
                <w:sz w:val="15"/>
                <w:szCs w:val="15"/>
                <w:highlight w:val="none"/>
                <w:lang w:eastAsia="zh-CN"/>
                <w14:textFill>
                  <w14:solidFill>
                    <w14:schemeClr w14:val="tx1"/>
                  </w14:solidFill>
                </w14:textFill>
              </w:rPr>
              <w:t>情形。</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8" w:hRule="atLeast"/>
          <w:jc w:val="center"/>
        </w:trPr>
        <w:tc>
          <w:tcPr>
            <w:tcW w:w="940" w:type="dxa"/>
            <w:vMerge w:val="restart"/>
            <w:vAlign w:val="center"/>
          </w:tcPr>
          <w:p>
            <w:pPr>
              <w:spacing w:line="232" w:lineRule="exact"/>
              <w:jc w:val="center"/>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8</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破坏古树名木保护设施、保护标志</w:t>
            </w:r>
          </w:p>
        </w:tc>
        <w:tc>
          <w:tcPr>
            <w:tcW w:w="2789" w:type="dxa"/>
            <w:vMerge w:val="restart"/>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w:t>
            </w:r>
            <w:r>
              <w:rPr>
                <w:rFonts w:hint="eastAsia" w:ascii="宋体" w:hAnsi="宋体" w:cs="宋体"/>
                <w:color w:val="000000" w:themeColor="text1"/>
                <w:kern w:val="0"/>
                <w:sz w:val="15"/>
                <w:szCs w:val="15"/>
                <w:highlight w:val="none"/>
                <w:lang w:eastAsia="zh-CN"/>
                <w14:textFill>
                  <w14:solidFill>
                    <w14:schemeClr w14:val="tx1"/>
                  </w14:solidFill>
                </w14:textFill>
              </w:rPr>
              <w:t>十七条第六</w:t>
            </w:r>
            <w:r>
              <w:rPr>
                <w:rFonts w:hint="eastAsia" w:ascii="宋体" w:hAnsi="宋体" w:eastAsia="宋体" w:cs="宋体"/>
                <w:color w:val="000000" w:themeColor="text1"/>
                <w:kern w:val="0"/>
                <w:sz w:val="15"/>
                <w:szCs w:val="15"/>
                <w:highlight w:val="none"/>
                <w14:textFill>
                  <w14:solidFill>
                    <w14:schemeClr w14:val="tx1"/>
                  </w14:solidFill>
                </w14:textFill>
              </w:rPr>
              <w:t>项；</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w:t>
            </w:r>
            <w:r>
              <w:rPr>
                <w:rFonts w:hint="eastAsia" w:ascii="宋体" w:hAnsi="宋体" w:cs="宋体"/>
                <w:color w:val="000000" w:themeColor="text1"/>
                <w:kern w:val="0"/>
                <w:sz w:val="15"/>
                <w:szCs w:val="15"/>
                <w:highlight w:val="none"/>
                <w:lang w:eastAsia="zh-CN"/>
                <w14:textFill>
                  <w14:solidFill>
                    <w14:schemeClr w14:val="tx1"/>
                  </w14:solidFill>
                </w14:textFill>
              </w:rPr>
              <w:t>二十七</w:t>
            </w:r>
            <w:r>
              <w:rPr>
                <w:rFonts w:hint="eastAsia" w:ascii="宋体" w:hAnsi="宋体" w:eastAsia="宋体" w:cs="宋体"/>
                <w:color w:val="000000" w:themeColor="text1"/>
                <w:kern w:val="0"/>
                <w:sz w:val="15"/>
                <w:szCs w:val="15"/>
                <w:highlight w:val="none"/>
                <w14:textFill>
                  <w14:solidFill>
                    <w14:schemeClr w14:val="tx1"/>
                  </w14:solidFill>
                </w14:textFill>
              </w:rPr>
              <w:t>条第</w:t>
            </w:r>
            <w:r>
              <w:rPr>
                <w:rFonts w:hint="eastAsia" w:ascii="宋体" w:hAnsi="宋体" w:cs="宋体"/>
                <w:color w:val="000000" w:themeColor="text1"/>
                <w:kern w:val="0"/>
                <w:sz w:val="15"/>
                <w:szCs w:val="15"/>
                <w:highlight w:val="none"/>
                <w:lang w:eastAsia="zh-CN"/>
                <w14:textFill>
                  <w14:solidFill>
                    <w14:schemeClr w14:val="tx1"/>
                  </w14:solidFill>
                </w14:textFill>
              </w:rPr>
              <w:t>二</w:t>
            </w:r>
            <w:r>
              <w:rPr>
                <w:rFonts w:hint="eastAsia" w:ascii="宋体" w:hAnsi="宋体" w:eastAsia="宋体" w:cs="宋体"/>
                <w:color w:val="000000" w:themeColor="text1"/>
                <w:kern w:val="0"/>
                <w:sz w:val="15"/>
                <w:szCs w:val="15"/>
                <w:highlight w:val="none"/>
                <w14:textFill>
                  <w14:solidFill>
                    <w14:schemeClr w14:val="tx1"/>
                  </w14:solidFill>
                </w14:textFill>
              </w:rPr>
              <w:t>款 责令停止违法行为、采取补救措施，没收违法所得，可以并处1万元以下的罚款；拒不停止违法行为、不采取补救措施或者造成严重后果的，并处1万元以上10万元以下的罚款。</w:t>
            </w: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p>
            <w:pPr>
              <w:spacing w:line="232" w:lineRule="exact"/>
              <w:rPr>
                <w:rFonts w:hint="default"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3.涉及保护设施或保护标志3处及以上的，系数1。</w:t>
            </w: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未造成实质危害，</w:t>
            </w:r>
            <w:r>
              <w:rPr>
                <w:rFonts w:hint="eastAsia" w:ascii="宋体" w:hAnsi="宋体" w:eastAsia="宋体" w:cs="仿宋_GB2312"/>
                <w:color w:val="000000" w:themeColor="text1"/>
                <w:kern w:val="0"/>
                <w:sz w:val="15"/>
                <w:szCs w:val="15"/>
                <w:highlight w:val="none"/>
                <w14:textFill>
                  <w14:solidFill>
                    <w14:schemeClr w14:val="tx1"/>
                  </w14:solidFill>
                </w14:textFill>
              </w:rPr>
              <w:t>需要作出</w:t>
            </w: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1000</w:t>
            </w:r>
            <w:r>
              <w:rPr>
                <w:rFonts w:hint="eastAsia" w:ascii="宋体" w:hAnsi="宋体" w:eastAsia="宋体" w:cs="仿宋_GB2312"/>
                <w:color w:val="000000" w:themeColor="text1"/>
                <w:kern w:val="0"/>
                <w:sz w:val="15"/>
                <w:szCs w:val="15"/>
                <w:highlight w:val="none"/>
                <w14:textFill>
                  <w14:solidFill>
                    <w14:schemeClr w14:val="tx1"/>
                  </w14:solidFill>
                </w14:textFill>
              </w:rPr>
              <w:t>元以下罚款决定的，由执法人员在案卷中说明理由并自行决定。</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vMerge w:val="continue"/>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10000</w:t>
            </w:r>
          </w:p>
        </w:tc>
        <w:tc>
          <w:tcPr>
            <w:tcW w:w="840" w:type="dxa"/>
            <w:vAlign w:val="center"/>
          </w:tcPr>
          <w:p>
            <w:pPr>
              <w:spacing w:line="232" w:lineRule="exact"/>
              <w:jc w:val="center"/>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hint="eastAsia"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eastAsia="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p>
            <w:pPr>
              <w:spacing w:line="232" w:lineRule="exact"/>
              <w:rPr>
                <w:rFonts w:hint="eastAsia"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3.涉及保护设施或保护标志3处及以上的，系数1。</w:t>
            </w:r>
          </w:p>
          <w:p>
            <w:pPr>
              <w:spacing w:line="232" w:lineRule="exact"/>
              <w:rPr>
                <w:rFonts w:hint="eastAsia" w:ascii="宋体" w:hAnsi="宋体" w:eastAsia="宋体" w:cs="宋体"/>
                <w:color w:val="000000" w:themeColor="text1"/>
                <w:kern w:val="0"/>
                <w:sz w:val="15"/>
                <w:szCs w:val="15"/>
                <w:highlight w:val="none"/>
                <w:lang w:val="en-US" w:eastAsia="zh-CN"/>
                <w14:textFill>
                  <w14:solidFill>
                    <w14:schemeClr w14:val="tx1"/>
                  </w14:solidFill>
                </w14:textFill>
              </w:rPr>
            </w:pPr>
          </w:p>
        </w:tc>
        <w:tc>
          <w:tcPr>
            <w:tcW w:w="17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适用拒不停止违法行为、不采取补救措施或者造成严重后果的</w:t>
            </w:r>
            <w:r>
              <w:rPr>
                <w:rFonts w:hint="eastAsia" w:ascii="宋体" w:hAnsi="宋体" w:eastAsia="宋体" w:cs="宋体"/>
                <w:color w:val="000000" w:themeColor="text1"/>
                <w:kern w:val="0"/>
                <w:sz w:val="15"/>
                <w:szCs w:val="15"/>
                <w:highlight w:val="none"/>
                <w:lang w:eastAsia="zh-CN"/>
                <w14:textFill>
                  <w14:solidFill>
                    <w14:schemeClr w14:val="tx1"/>
                  </w14:solidFill>
                </w14:textFill>
              </w:rPr>
              <w:t>情形。</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 w:hRule="atLeast"/>
          <w:jc w:val="center"/>
        </w:trPr>
        <w:tc>
          <w:tcPr>
            <w:tcW w:w="940" w:type="dxa"/>
            <w:vMerge w:val="restart"/>
            <w:vAlign w:val="center"/>
          </w:tcPr>
          <w:p>
            <w:pPr>
              <w:spacing w:line="232" w:lineRule="exact"/>
              <w:jc w:val="cente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9</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其他损害古树名木及其生长环境的行为</w:t>
            </w:r>
          </w:p>
        </w:tc>
        <w:tc>
          <w:tcPr>
            <w:tcW w:w="2789" w:type="dxa"/>
            <w:vMerge w:val="restart"/>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w:t>
            </w:r>
            <w:r>
              <w:rPr>
                <w:rFonts w:hint="eastAsia" w:ascii="宋体" w:hAnsi="宋体" w:cs="宋体"/>
                <w:color w:val="000000" w:themeColor="text1"/>
                <w:kern w:val="0"/>
                <w:sz w:val="15"/>
                <w:szCs w:val="15"/>
                <w:highlight w:val="none"/>
                <w:lang w:eastAsia="zh-CN"/>
                <w14:textFill>
                  <w14:solidFill>
                    <w14:schemeClr w14:val="tx1"/>
                  </w14:solidFill>
                </w14:textFill>
              </w:rPr>
              <w:t>十七条第七</w:t>
            </w:r>
            <w:r>
              <w:rPr>
                <w:rFonts w:hint="eastAsia" w:ascii="宋体" w:hAnsi="宋体" w:eastAsia="宋体" w:cs="宋体"/>
                <w:color w:val="000000" w:themeColor="text1"/>
                <w:kern w:val="0"/>
                <w:sz w:val="15"/>
                <w:szCs w:val="15"/>
                <w:highlight w:val="none"/>
                <w14:textFill>
                  <w14:solidFill>
                    <w14:schemeClr w14:val="tx1"/>
                  </w14:solidFill>
                </w14:textFill>
              </w:rPr>
              <w:t>项；</w:t>
            </w:r>
          </w:p>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w:t>
            </w:r>
            <w:r>
              <w:rPr>
                <w:rFonts w:hint="eastAsia" w:ascii="宋体" w:hAnsi="宋体" w:cs="宋体"/>
                <w:color w:val="000000" w:themeColor="text1"/>
                <w:kern w:val="0"/>
                <w:sz w:val="15"/>
                <w:szCs w:val="15"/>
                <w:highlight w:val="none"/>
                <w:lang w:eastAsia="zh-CN"/>
                <w14:textFill>
                  <w14:solidFill>
                    <w14:schemeClr w14:val="tx1"/>
                  </w14:solidFill>
                </w14:textFill>
              </w:rPr>
              <w:t>二十七</w:t>
            </w:r>
            <w:r>
              <w:rPr>
                <w:rFonts w:hint="eastAsia" w:ascii="宋体" w:hAnsi="宋体" w:eastAsia="宋体" w:cs="宋体"/>
                <w:color w:val="000000" w:themeColor="text1"/>
                <w:kern w:val="0"/>
                <w:sz w:val="15"/>
                <w:szCs w:val="15"/>
                <w:highlight w:val="none"/>
                <w14:textFill>
                  <w14:solidFill>
                    <w14:schemeClr w14:val="tx1"/>
                  </w14:solidFill>
                </w14:textFill>
              </w:rPr>
              <w:t>条第</w:t>
            </w:r>
            <w:r>
              <w:rPr>
                <w:rFonts w:hint="eastAsia" w:ascii="宋体" w:hAnsi="宋体" w:cs="宋体"/>
                <w:color w:val="000000" w:themeColor="text1"/>
                <w:kern w:val="0"/>
                <w:sz w:val="15"/>
                <w:szCs w:val="15"/>
                <w:highlight w:val="none"/>
                <w:lang w:eastAsia="zh-CN"/>
                <w14:textFill>
                  <w14:solidFill>
                    <w14:schemeClr w14:val="tx1"/>
                  </w14:solidFill>
                </w14:textFill>
              </w:rPr>
              <w:t>二</w:t>
            </w:r>
            <w:r>
              <w:rPr>
                <w:rFonts w:hint="eastAsia" w:ascii="宋体" w:hAnsi="宋体" w:eastAsia="宋体" w:cs="宋体"/>
                <w:color w:val="000000" w:themeColor="text1"/>
                <w:kern w:val="0"/>
                <w:sz w:val="15"/>
                <w:szCs w:val="15"/>
                <w:highlight w:val="none"/>
                <w14:textFill>
                  <w14:solidFill>
                    <w14:schemeClr w14:val="tx1"/>
                  </w14:solidFill>
                </w14:textFill>
              </w:rPr>
              <w:t>款 责令停止违法行为、采取补救措施，没收违法所得，可以并处1万元以下的罚款；拒不停止违法行为、不采取补救措施或者造成严重后果的，并处1万元以上10万元以下的罚款。</w:t>
            </w:r>
          </w:p>
        </w:tc>
        <w:tc>
          <w:tcPr>
            <w:tcW w:w="851" w:type="dxa"/>
            <w:vAlign w:val="center"/>
          </w:tcPr>
          <w:p>
            <w:pPr>
              <w:spacing w:line="232" w:lineRule="exact"/>
              <w:jc w:val="center"/>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w:t>
            </w:r>
          </w:p>
        </w:tc>
        <w:tc>
          <w:tcPr>
            <w:tcW w:w="840" w:type="dxa"/>
            <w:vAlign w:val="center"/>
          </w:tcPr>
          <w:p>
            <w:pPr>
              <w:spacing w:line="232" w:lineRule="exact"/>
              <w:jc w:val="center"/>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3.涉及保护设施或保护标志3处及以上的，系数1。</w:t>
            </w:r>
          </w:p>
        </w:tc>
        <w:tc>
          <w:tcPr>
            <w:tcW w:w="17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未造成实质危害，</w:t>
            </w:r>
            <w:r>
              <w:rPr>
                <w:rFonts w:hint="eastAsia" w:ascii="宋体" w:hAnsi="宋体" w:eastAsia="宋体" w:cs="仿宋_GB2312"/>
                <w:color w:val="000000" w:themeColor="text1"/>
                <w:kern w:val="0"/>
                <w:sz w:val="15"/>
                <w:szCs w:val="15"/>
                <w:highlight w:val="none"/>
                <w14:textFill>
                  <w14:solidFill>
                    <w14:schemeClr w14:val="tx1"/>
                  </w14:solidFill>
                </w14:textFill>
              </w:rPr>
              <w:t>需要作出</w:t>
            </w:r>
            <w:r>
              <w:rPr>
                <w:rFonts w:hint="eastAsia" w:ascii="宋体" w:hAnsi="宋体" w:eastAsia="宋体" w:cs="仿宋_GB2312"/>
                <w:color w:val="000000" w:themeColor="text1"/>
                <w:kern w:val="0"/>
                <w:sz w:val="15"/>
                <w:szCs w:val="15"/>
                <w:highlight w:val="none"/>
                <w:lang w:val="en-US" w:eastAsia="zh-CN"/>
                <w14:textFill>
                  <w14:solidFill>
                    <w14:schemeClr w14:val="tx1"/>
                  </w14:solidFill>
                </w14:textFill>
              </w:rPr>
              <w:t>1000</w:t>
            </w:r>
            <w:r>
              <w:rPr>
                <w:rFonts w:hint="eastAsia" w:ascii="宋体" w:hAnsi="宋体" w:eastAsia="宋体" w:cs="仿宋_GB2312"/>
                <w:color w:val="000000" w:themeColor="text1"/>
                <w:kern w:val="0"/>
                <w:sz w:val="15"/>
                <w:szCs w:val="15"/>
                <w:highlight w:val="none"/>
                <w14:textFill>
                  <w14:solidFill>
                    <w14:schemeClr w14:val="tx1"/>
                  </w14:solidFill>
                </w14:textFill>
              </w:rPr>
              <w:t>元以下罚款决定的，由执法人员在案卷中说明理由并自行决定。</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vMerge w:val="continue"/>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10000</w:t>
            </w:r>
          </w:p>
        </w:tc>
        <w:tc>
          <w:tcPr>
            <w:tcW w:w="840" w:type="dxa"/>
            <w:vAlign w:val="center"/>
          </w:tcPr>
          <w:p>
            <w:pPr>
              <w:spacing w:line="232" w:lineRule="exact"/>
              <w:jc w:val="center"/>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1.一级保护的古树或名木，系数6-9;二级保护的古树，系数0-5。</w:t>
            </w:r>
          </w:p>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w:t>
            </w:r>
            <w:r>
              <w:rPr>
                <w:rFonts w:hint="eastAsia" w:ascii="宋体" w:hAnsi="宋体" w:cs="宋体"/>
                <w:color w:val="000000" w:themeColor="text1"/>
                <w:kern w:val="0"/>
                <w:sz w:val="15"/>
                <w:szCs w:val="15"/>
                <w:highlight w:val="none"/>
                <w:lang w:eastAsia="zh-CN"/>
                <w14:textFill>
                  <w14:solidFill>
                    <w14:schemeClr w14:val="tx1"/>
                  </w14:solidFill>
                </w14:textFill>
              </w:rPr>
              <w:t>涉及古树名木</w:t>
            </w:r>
            <w:r>
              <w:rPr>
                <w:rFonts w:hint="eastAsia" w:ascii="宋体" w:hAnsi="宋体" w:cs="宋体"/>
                <w:color w:val="000000" w:themeColor="text1"/>
                <w:kern w:val="0"/>
                <w:sz w:val="15"/>
                <w:szCs w:val="15"/>
                <w:highlight w:val="none"/>
                <w:lang w:val="en-US" w:eastAsia="zh-CN"/>
                <w14:textFill>
                  <w14:solidFill>
                    <w14:schemeClr w14:val="tx1"/>
                  </w14:solidFill>
                </w14:textFill>
              </w:rPr>
              <w:t>2株，系数1;3株，系数2,以此类推，10株及以上的，系数9。</w:t>
            </w:r>
          </w:p>
        </w:tc>
        <w:tc>
          <w:tcPr>
            <w:tcW w:w="17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w:t>
            </w:r>
            <w:r>
              <w:rPr>
                <w:rFonts w:hint="eastAsia" w:ascii="宋体" w:hAnsi="宋体" w:eastAsia="宋体" w:cs="宋体"/>
                <w:color w:val="000000" w:themeColor="text1"/>
                <w:kern w:val="0"/>
                <w:sz w:val="15"/>
                <w:szCs w:val="15"/>
                <w:highlight w:val="none"/>
                <w14:textFill>
                  <w14:solidFill>
                    <w14:schemeClr w14:val="tx1"/>
                  </w14:solidFill>
                </w14:textFill>
              </w:rPr>
              <w:t>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适用拒不停止违法行为、不采取补救措施或者造成严重后果的</w:t>
            </w:r>
            <w:r>
              <w:rPr>
                <w:rFonts w:hint="eastAsia" w:ascii="宋体" w:hAnsi="宋体" w:eastAsia="宋体" w:cs="宋体"/>
                <w:color w:val="000000" w:themeColor="text1"/>
                <w:kern w:val="0"/>
                <w:sz w:val="15"/>
                <w:szCs w:val="15"/>
                <w:highlight w:val="none"/>
                <w:lang w:eastAsia="zh-CN"/>
                <w14:textFill>
                  <w14:solidFill>
                    <w14:schemeClr w14:val="tx1"/>
                  </w14:solidFill>
                </w14:textFill>
              </w:rPr>
              <w:t>情形。</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vMerge w:val="restart"/>
            <w:vAlign w:val="center"/>
          </w:tcPr>
          <w:p>
            <w:pPr>
              <w:spacing w:line="232" w:lineRule="exact"/>
              <w:jc w:val="center"/>
              <w:rPr>
                <w:rFonts w:hint="default"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10</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损害古树名木及其生长环境，造成古树名木死亡</w:t>
            </w:r>
          </w:p>
        </w:tc>
        <w:tc>
          <w:tcPr>
            <w:tcW w:w="2789" w:type="dxa"/>
            <w:vMerge w:val="restart"/>
            <w:vAlign w:val="center"/>
          </w:tcPr>
          <w:p>
            <w:pPr>
              <w:spacing w:line="232" w:lineRule="exact"/>
              <w:rPr>
                <w:rFonts w:hint="eastAsia" w:ascii="宋体" w:hAnsi="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违反条款：第十七条第一项、第二项、第三项、第四项、第五项、第六项、第七项</w:t>
            </w:r>
            <w:r>
              <w:rPr>
                <w:rFonts w:hint="eastAsia" w:ascii="宋体" w:hAnsi="宋体" w:cs="宋体"/>
                <w:color w:val="000000" w:themeColor="text1"/>
                <w:kern w:val="0"/>
                <w:sz w:val="15"/>
                <w:szCs w:val="15"/>
                <w:highlight w:val="none"/>
                <w:lang w:eastAsia="zh-CN"/>
                <w14:textFill>
                  <w14:solidFill>
                    <w14:schemeClr w14:val="tx1"/>
                  </w14:solidFill>
                </w14:textFill>
              </w:rPr>
              <w:t>；第十八条第一款；</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w:t>
            </w:r>
            <w:r>
              <w:rPr>
                <w:rFonts w:hint="eastAsia" w:ascii="宋体" w:hAnsi="宋体" w:eastAsia="宋体" w:cs="宋体"/>
                <w:color w:val="000000" w:themeColor="text1"/>
                <w:kern w:val="0"/>
                <w:sz w:val="15"/>
                <w:szCs w:val="15"/>
                <w:highlight w:val="none"/>
                <w:lang w:eastAsia="zh-CN"/>
                <w14:textFill>
                  <w14:solidFill>
                    <w14:schemeClr w14:val="tx1"/>
                  </w14:solidFill>
                </w14:textFill>
              </w:rPr>
              <w:t>二十六</w:t>
            </w:r>
            <w:r>
              <w:rPr>
                <w:rFonts w:hint="eastAsia" w:ascii="宋体" w:hAnsi="宋体" w:eastAsia="宋体" w:cs="宋体"/>
                <w:color w:val="000000" w:themeColor="text1"/>
                <w:kern w:val="0"/>
                <w:sz w:val="15"/>
                <w:szCs w:val="15"/>
                <w:highlight w:val="none"/>
                <w14:textFill>
                  <w14:solidFill>
                    <w14:schemeClr w14:val="tx1"/>
                  </w14:solidFill>
                </w14:textFill>
              </w:rPr>
              <w:t>条第一款第</w:t>
            </w:r>
            <w:r>
              <w:rPr>
                <w:rFonts w:hint="eastAsia" w:ascii="宋体" w:hAnsi="宋体" w:cs="宋体"/>
                <w:color w:val="000000" w:themeColor="text1"/>
                <w:kern w:val="0"/>
                <w:sz w:val="15"/>
                <w:szCs w:val="15"/>
                <w:highlight w:val="none"/>
                <w:lang w:val="en-US" w:eastAsia="zh-CN"/>
                <w14:textFill>
                  <w14:solidFill>
                    <w14:schemeClr w14:val="tx1"/>
                  </w14:solidFill>
                </w14:textFill>
              </w:rPr>
              <w:t>一</w:t>
            </w:r>
            <w:r>
              <w:rPr>
                <w:rFonts w:hint="eastAsia" w:ascii="宋体" w:hAnsi="宋体" w:eastAsia="宋体" w:cs="宋体"/>
                <w:color w:val="000000" w:themeColor="text1"/>
                <w:kern w:val="0"/>
                <w:sz w:val="15"/>
                <w:szCs w:val="15"/>
                <w:highlight w:val="none"/>
                <w14:textFill>
                  <w14:solidFill>
                    <w14:schemeClr w14:val="tx1"/>
                  </w14:solidFill>
                </w14:textFill>
              </w:rPr>
              <w:t>项、第</w:t>
            </w:r>
            <w:r>
              <w:rPr>
                <w:rFonts w:hint="eastAsia" w:ascii="宋体" w:hAnsi="宋体" w:cs="宋体"/>
                <w:color w:val="000000" w:themeColor="text1"/>
                <w:kern w:val="0"/>
                <w:sz w:val="15"/>
                <w:szCs w:val="15"/>
                <w:highlight w:val="none"/>
                <w:lang w:val="en-US" w:eastAsia="zh-CN"/>
                <w14:textFill>
                  <w14:solidFill>
                    <w14:schemeClr w14:val="tx1"/>
                  </w14:solidFill>
                </w14:textFill>
              </w:rPr>
              <w:t>二</w:t>
            </w:r>
            <w:r>
              <w:rPr>
                <w:rFonts w:hint="eastAsia" w:ascii="宋体" w:hAnsi="宋体" w:eastAsia="宋体" w:cs="宋体"/>
                <w:color w:val="000000" w:themeColor="text1"/>
                <w:kern w:val="0"/>
                <w:sz w:val="15"/>
                <w:szCs w:val="15"/>
                <w:highlight w:val="none"/>
                <w14:textFill>
                  <w14:solidFill>
                    <w14:schemeClr w14:val="tx1"/>
                  </w14:solidFill>
                </w14:textFill>
              </w:rPr>
              <w:t>项</w:t>
            </w:r>
            <w:r>
              <w:rPr>
                <w:rFonts w:hint="eastAsia" w:ascii="宋体" w:hAnsi="宋体" w:eastAsia="宋体" w:cs="宋体"/>
                <w:color w:val="000000" w:themeColor="text1"/>
                <w:kern w:val="0"/>
                <w:sz w:val="15"/>
                <w:szCs w:val="15"/>
                <w:highlight w:val="none"/>
                <w:lang w:eastAsia="zh-CN"/>
                <w14:textFill>
                  <w14:solidFill>
                    <w14:schemeClr w14:val="tx1"/>
                  </w14:solidFill>
                </w14:textFill>
              </w:rPr>
              <w:t>，第二款</w:t>
            </w:r>
            <w:r>
              <w:rPr>
                <w:rFonts w:hint="eastAsia" w:ascii="宋体" w:hAnsi="宋体" w:eastAsia="宋体" w:cs="宋体"/>
                <w:color w:val="000000" w:themeColor="text1"/>
                <w:kern w:val="0"/>
                <w:sz w:val="15"/>
                <w:szCs w:val="15"/>
                <w:highlight w:val="none"/>
                <w14:textFill>
                  <w14:solidFill>
                    <w14:schemeClr w14:val="tx1"/>
                  </w14:solidFill>
                </w14:textFill>
              </w:rPr>
              <w:t>（根据损害情况选择条款）责令停止违法行为、采取补救措施，没收违法所得，并依照下列规定处以罚款：</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（一）涉及实行一级保护的古树和名木的，处每株50万元以上100万元以下的罚款；</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（二）涉及实行二级保护的古树的，处每株20万元以上50万元以下的罚款；</w:t>
            </w:r>
          </w:p>
          <w:p>
            <w:pPr>
              <w:spacing w:line="232" w:lineRule="exact"/>
              <w:ind w:firstLine="300" w:firstLineChars="200"/>
              <w:rPr>
                <w:rFonts w:hint="eastAsia" w:ascii="宋体" w:hAnsi="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违反本条例规定，损害古树名木及其生长环境，造成古树名木死亡的，依照前款规定处罚。</w:t>
            </w:r>
          </w:p>
        </w:tc>
        <w:tc>
          <w:tcPr>
            <w:tcW w:w="851" w:type="dxa"/>
            <w:vAlign w:val="center"/>
          </w:tcPr>
          <w:p>
            <w:pPr>
              <w:spacing w:line="232" w:lineRule="exact"/>
              <w:jc w:val="center"/>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default" w:ascii="宋体" w:hAnsi="宋体" w:cs="宋体"/>
                <w:color w:val="000000" w:themeColor="text1"/>
                <w:kern w:val="0"/>
                <w:sz w:val="15"/>
                <w:szCs w:val="15"/>
                <w:highlight w:val="none"/>
                <w:lang w:val="en-US"/>
                <w14:textFill>
                  <w14:solidFill>
                    <w14:schemeClr w14:val="tx1"/>
                  </w14:solidFill>
                </w14:textFill>
              </w:rPr>
              <w:t>500000</w:t>
            </w:r>
          </w:p>
        </w:tc>
        <w:tc>
          <w:tcPr>
            <w:tcW w:w="840" w:type="dxa"/>
            <w:vAlign w:val="center"/>
          </w:tcPr>
          <w:p>
            <w:pPr>
              <w:spacing w:line="232" w:lineRule="exact"/>
              <w:jc w:val="center"/>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32" w:lineRule="exact"/>
              <w:rPr>
                <w:rFonts w:hint="default"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树木生长在中心城区和城市副中心或者自然保护区、风景名胜区、森林公园等自然保护区和历史文化街区、风景保护区、历史名园及名人故居的，系数0-0.5。</w:t>
            </w:r>
          </w:p>
        </w:tc>
        <w:tc>
          <w:tcPr>
            <w:tcW w:w="17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500000</w:t>
            </w:r>
            <w:r>
              <w:rPr>
                <w:rFonts w:hint="eastAsia" w:ascii="宋体" w:hAnsi="宋体" w:eastAsia="宋体" w:cs="宋体"/>
                <w:color w:val="000000" w:themeColor="text1"/>
                <w:kern w:val="0"/>
                <w:sz w:val="15"/>
                <w:szCs w:val="15"/>
                <w:highlight w:val="none"/>
                <w14:textFill>
                  <w14:solidFill>
                    <w14:schemeClr w14:val="tx1"/>
                  </w14:solidFill>
                </w14:textFill>
              </w:rPr>
              <w:t>×（1＋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cs="宋体"/>
                <w:color w:val="000000" w:themeColor="text1"/>
                <w:kern w:val="0"/>
                <w:sz w:val="15"/>
                <w:szCs w:val="15"/>
                <w:highlight w:val="none"/>
                <w:lang w:val="en-US" w:eastAsia="zh-CN"/>
                <w14:textFill>
                  <w14:solidFill>
                    <w14:schemeClr w14:val="tx1"/>
                  </w14:solidFill>
                </w14:textFill>
              </w:rPr>
              <w:t>+变量系数</w:t>
            </w:r>
            <w:r>
              <w:rPr>
                <w:rFonts w:hint="eastAsia" w:ascii="宋体" w:hAnsi="宋体" w:eastAsia="宋体" w:cs="宋体"/>
                <w:color w:val="000000" w:themeColor="text1"/>
                <w:kern w:val="0"/>
                <w:sz w:val="15"/>
                <w:szCs w:val="15"/>
                <w:highlight w:val="none"/>
                <w14:textFill>
                  <w14:solidFill>
                    <w14:schemeClr w14:val="tx1"/>
                  </w14:solidFill>
                </w14:textFill>
              </w:rPr>
              <w:t>）×N。N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r>
              <w:rPr>
                <w:rFonts w:hint="eastAsia" w:ascii="宋体" w:hAnsi="宋体" w:cs="宋体"/>
                <w:color w:val="000000" w:themeColor="text1"/>
                <w:kern w:val="0"/>
                <w:sz w:val="15"/>
                <w:szCs w:val="15"/>
                <w:highlight w:val="none"/>
                <w:lang w:eastAsia="zh-CN"/>
                <w14:textFill>
                  <w14:solidFill>
                    <w14:schemeClr w14:val="tx1"/>
                  </w14:solidFill>
                </w14:textFill>
              </w:rPr>
              <w:t>。</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w:t>
            </w:r>
            <w:r>
              <w:rPr>
                <w:rFonts w:hint="eastAsia" w:ascii="宋体" w:hAnsi="宋体" w:eastAsia="宋体" w:cs="宋体"/>
                <w:color w:val="000000" w:themeColor="text1"/>
                <w:kern w:val="0"/>
                <w:sz w:val="15"/>
                <w:szCs w:val="15"/>
                <w:highlight w:val="none"/>
                <w:lang w:eastAsia="zh-CN"/>
                <w14:textFill>
                  <w14:solidFill>
                    <w14:schemeClr w14:val="tx1"/>
                  </w14:solidFill>
                </w14:textFill>
              </w:rPr>
              <w:t>造成</w:t>
            </w:r>
            <w:r>
              <w:rPr>
                <w:rFonts w:hint="eastAsia" w:ascii="宋体" w:hAnsi="宋体" w:cs="宋体"/>
                <w:color w:val="000000" w:themeColor="text1"/>
                <w:kern w:val="0"/>
                <w:sz w:val="15"/>
                <w:szCs w:val="15"/>
                <w:highlight w:val="none"/>
                <w:lang w:val="en-US" w:eastAsia="zh-CN"/>
                <w14:textFill>
                  <w14:solidFill>
                    <w14:schemeClr w14:val="tx1"/>
                  </w14:solidFill>
                </w14:textFill>
              </w:rPr>
              <w:t>一</w:t>
            </w:r>
            <w:r>
              <w:rPr>
                <w:rFonts w:hint="eastAsia" w:ascii="宋体" w:hAnsi="宋体" w:cs="宋体"/>
                <w:color w:val="000000" w:themeColor="text1"/>
                <w:kern w:val="0"/>
                <w:sz w:val="15"/>
                <w:szCs w:val="15"/>
                <w:highlight w:val="none"/>
                <w:lang w:eastAsia="zh-CN"/>
                <w14:textFill>
                  <w14:solidFill>
                    <w14:schemeClr w14:val="tx1"/>
                  </w14:solidFill>
                </w14:textFill>
              </w:rPr>
              <w:t>级保护的古树和名木死亡情形</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p>
            <w:pPr>
              <w:spacing w:line="232" w:lineRule="exact"/>
              <w:rPr>
                <w:rFonts w:hint="default"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需要</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在法定幅度内</w:t>
            </w:r>
            <w:r>
              <w:rPr>
                <w:rFonts w:hint="eastAsia" w:ascii="宋体" w:hAnsi="宋体" w:eastAsia="宋体" w:cs="宋体"/>
                <w:color w:val="000000" w:themeColor="text1"/>
                <w:kern w:val="0"/>
                <w:sz w:val="15"/>
                <w:szCs w:val="15"/>
                <w:highlight w:val="none"/>
                <w14:textFill>
                  <w14:solidFill>
                    <w14:schemeClr w14:val="tx1"/>
                  </w14:solidFill>
                </w14:textFill>
              </w:rPr>
              <w:t>作出</w:t>
            </w:r>
            <w:r>
              <w:rPr>
                <w:rFonts w:ascii="宋体" w:hAnsi="宋体" w:eastAsia="宋体" w:cs="宋体"/>
                <w:color w:val="000000" w:themeColor="text1"/>
                <w:kern w:val="0"/>
                <w:sz w:val="15"/>
                <w:szCs w:val="15"/>
                <w:highlight w:val="none"/>
                <w14:textFill>
                  <w14:solidFill>
                    <w14:schemeClr w14:val="tx1"/>
                  </w14:solidFill>
                </w14:textFill>
              </w:rPr>
              <w:t>其</w:t>
            </w:r>
            <w:r>
              <w:rPr>
                <w:rFonts w:hint="eastAsia" w:ascii="宋体" w:hAnsi="宋体" w:eastAsia="宋体" w:cs="宋体"/>
                <w:color w:val="000000" w:themeColor="text1"/>
                <w:kern w:val="0"/>
                <w:sz w:val="15"/>
                <w:szCs w:val="15"/>
                <w:highlight w:val="none"/>
                <w14:textFill>
                  <w14:solidFill>
                    <w14:schemeClr w14:val="tx1"/>
                  </w14:solidFill>
                </w14:textFill>
              </w:rPr>
              <w:t>它额度</w:t>
            </w:r>
            <w:r>
              <w:rPr>
                <w:rFonts w:ascii="宋体" w:hAnsi="宋体" w:eastAsia="宋体" w:cs="宋体"/>
                <w:color w:val="000000" w:themeColor="text1"/>
                <w:kern w:val="0"/>
                <w:sz w:val="15"/>
                <w:szCs w:val="15"/>
                <w:highlight w:val="none"/>
                <w14:textFill>
                  <w14:solidFill>
                    <w14:schemeClr w14:val="tx1"/>
                  </w14:solidFill>
                </w14:textFill>
              </w:rPr>
              <w:t>处罚的，报</w:t>
            </w:r>
            <w:r>
              <w:rPr>
                <w:rFonts w:hint="eastAsia" w:ascii="宋体" w:hAnsi="宋体" w:eastAsia="宋体" w:cs="宋体"/>
                <w:color w:val="000000" w:themeColor="text1"/>
                <w:kern w:val="0"/>
                <w:sz w:val="15"/>
                <w:szCs w:val="15"/>
                <w:highlight w:val="none"/>
                <w14:textFill>
                  <w14:solidFill>
                    <w14:schemeClr w14:val="tx1"/>
                  </w14:solidFill>
                </w14:textFill>
              </w:rPr>
              <w:t>案审</w:t>
            </w:r>
            <w:r>
              <w:rPr>
                <w:rFonts w:ascii="宋体" w:hAnsi="宋体" w:eastAsia="宋体" w:cs="宋体"/>
                <w:color w:val="000000" w:themeColor="text1"/>
                <w:kern w:val="0"/>
                <w:sz w:val="15"/>
                <w:szCs w:val="15"/>
                <w:highlight w:val="none"/>
                <w14:textFill>
                  <w14:solidFill>
                    <w14:schemeClr w14:val="tx1"/>
                  </w14:solidFill>
                </w14:textFill>
              </w:rPr>
              <w:t>会</w:t>
            </w:r>
            <w:r>
              <w:rPr>
                <w:rFonts w:hint="eastAsia" w:ascii="宋体" w:hAnsi="宋体" w:eastAsia="宋体" w:cs="宋体"/>
                <w:color w:val="000000" w:themeColor="text1"/>
                <w:kern w:val="0"/>
                <w:sz w:val="15"/>
                <w:szCs w:val="15"/>
                <w:highlight w:val="none"/>
                <w14:textFill>
                  <w14:solidFill>
                    <w14:schemeClr w14:val="tx1"/>
                  </w14:solidFill>
                </w14:textFill>
              </w:rPr>
              <w:t>讨论</w:t>
            </w:r>
            <w:r>
              <w:rPr>
                <w:rFonts w:ascii="宋体" w:hAnsi="宋体" w:eastAsia="宋体" w:cs="宋体"/>
                <w:color w:val="000000" w:themeColor="text1"/>
                <w:kern w:val="0"/>
                <w:sz w:val="15"/>
                <w:szCs w:val="15"/>
                <w:highlight w:val="none"/>
                <w14:textFill>
                  <w14:solidFill>
                    <w14:schemeClr w14:val="tx1"/>
                  </w14:solidFill>
                </w14:textFill>
              </w:rPr>
              <w:t>决定。</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vMerge w:val="continue"/>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200000</w:t>
            </w:r>
          </w:p>
        </w:tc>
        <w:tc>
          <w:tcPr>
            <w:tcW w:w="840" w:type="dxa"/>
            <w:vAlign w:val="center"/>
          </w:tcPr>
          <w:p>
            <w:pPr>
              <w:spacing w:line="232" w:lineRule="exact"/>
              <w:jc w:val="center"/>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numPr>
                <w:ilvl w:val="0"/>
                <w:numId w:val="0"/>
              </w:numPr>
              <w:spacing w:line="232" w:lineRule="exact"/>
              <w:ind w:left="0" w:leftChars="0" w:firstLine="0" w:firstLineChars="0"/>
              <w:rPr>
                <w:rFonts w:hint="default"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树木生长在中心城区和城市副中心或者自然保护区、风景名胜区、森林公园等自然保护区和历史文化街区、风景保护区、历史名园及名人故居的，系数0-0.5。</w:t>
            </w:r>
          </w:p>
        </w:tc>
        <w:tc>
          <w:tcPr>
            <w:tcW w:w="17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200000</w:t>
            </w:r>
            <w:r>
              <w:rPr>
                <w:rFonts w:hint="eastAsia" w:ascii="宋体" w:hAnsi="宋体" w:eastAsia="宋体" w:cs="宋体"/>
                <w:color w:val="000000" w:themeColor="text1"/>
                <w:kern w:val="0"/>
                <w:sz w:val="15"/>
                <w:szCs w:val="15"/>
                <w:highlight w:val="none"/>
                <w14:textFill>
                  <w14:solidFill>
                    <w14:schemeClr w14:val="tx1"/>
                  </w14:solidFill>
                </w14:textFill>
              </w:rPr>
              <w:t>×（1＋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cs="宋体"/>
                <w:color w:val="000000" w:themeColor="text1"/>
                <w:kern w:val="0"/>
                <w:sz w:val="15"/>
                <w:szCs w:val="15"/>
                <w:highlight w:val="none"/>
                <w:lang w:val="en-US" w:eastAsia="zh-CN"/>
                <w14:textFill>
                  <w14:solidFill>
                    <w14:schemeClr w14:val="tx1"/>
                  </w14:solidFill>
                </w14:textFill>
              </w:rPr>
              <w:t>+变量系数</w:t>
            </w:r>
            <w:r>
              <w:rPr>
                <w:rFonts w:hint="eastAsia" w:ascii="宋体" w:hAnsi="宋体" w:eastAsia="宋体" w:cs="宋体"/>
                <w:color w:val="000000" w:themeColor="text1"/>
                <w:kern w:val="0"/>
                <w:sz w:val="15"/>
                <w:szCs w:val="15"/>
                <w:highlight w:val="none"/>
                <w14:textFill>
                  <w14:solidFill>
                    <w14:schemeClr w14:val="tx1"/>
                  </w14:solidFill>
                </w14:textFill>
              </w:rPr>
              <w:t>）×N。N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r>
              <w:rPr>
                <w:rFonts w:hint="eastAsia" w:ascii="宋体" w:hAnsi="宋体" w:cs="宋体"/>
                <w:color w:val="000000" w:themeColor="text1"/>
                <w:kern w:val="0"/>
                <w:sz w:val="15"/>
                <w:szCs w:val="15"/>
                <w:highlight w:val="none"/>
                <w:lang w:eastAsia="zh-CN"/>
                <w14:textFill>
                  <w14:solidFill>
                    <w14:schemeClr w14:val="tx1"/>
                  </w14:solidFill>
                </w14:textFill>
              </w:rPr>
              <w:t>。</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w:t>
            </w:r>
            <w:r>
              <w:rPr>
                <w:rFonts w:hint="eastAsia" w:ascii="宋体" w:hAnsi="宋体" w:eastAsia="宋体" w:cs="宋体"/>
                <w:color w:val="000000" w:themeColor="text1"/>
                <w:kern w:val="0"/>
                <w:sz w:val="15"/>
                <w:szCs w:val="15"/>
                <w:highlight w:val="none"/>
                <w:lang w:eastAsia="zh-CN"/>
                <w14:textFill>
                  <w14:solidFill>
                    <w14:schemeClr w14:val="tx1"/>
                  </w14:solidFill>
                </w14:textFill>
              </w:rPr>
              <w:t>造成二</w:t>
            </w:r>
            <w:r>
              <w:rPr>
                <w:rFonts w:hint="eastAsia" w:ascii="宋体" w:hAnsi="宋体" w:cs="宋体"/>
                <w:color w:val="000000" w:themeColor="text1"/>
                <w:kern w:val="0"/>
                <w:sz w:val="15"/>
                <w:szCs w:val="15"/>
                <w:highlight w:val="none"/>
                <w:lang w:eastAsia="zh-CN"/>
                <w14:textFill>
                  <w14:solidFill>
                    <w14:schemeClr w14:val="tx1"/>
                  </w14:solidFill>
                </w14:textFill>
              </w:rPr>
              <w:t>级保护的古树死亡情形</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需要</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在法定幅度内</w:t>
            </w:r>
            <w:r>
              <w:rPr>
                <w:rFonts w:hint="eastAsia" w:ascii="宋体" w:hAnsi="宋体" w:eastAsia="宋体" w:cs="宋体"/>
                <w:color w:val="000000" w:themeColor="text1"/>
                <w:kern w:val="0"/>
                <w:sz w:val="15"/>
                <w:szCs w:val="15"/>
                <w:highlight w:val="none"/>
                <w14:textFill>
                  <w14:solidFill>
                    <w14:schemeClr w14:val="tx1"/>
                  </w14:solidFill>
                </w14:textFill>
              </w:rPr>
              <w:t>作出</w:t>
            </w:r>
            <w:r>
              <w:rPr>
                <w:rFonts w:ascii="宋体" w:hAnsi="宋体" w:eastAsia="宋体" w:cs="宋体"/>
                <w:color w:val="000000" w:themeColor="text1"/>
                <w:kern w:val="0"/>
                <w:sz w:val="15"/>
                <w:szCs w:val="15"/>
                <w:highlight w:val="none"/>
                <w14:textFill>
                  <w14:solidFill>
                    <w14:schemeClr w14:val="tx1"/>
                  </w14:solidFill>
                </w14:textFill>
              </w:rPr>
              <w:t>其</w:t>
            </w:r>
            <w:r>
              <w:rPr>
                <w:rFonts w:hint="eastAsia" w:ascii="宋体" w:hAnsi="宋体" w:eastAsia="宋体" w:cs="宋体"/>
                <w:color w:val="000000" w:themeColor="text1"/>
                <w:kern w:val="0"/>
                <w:sz w:val="15"/>
                <w:szCs w:val="15"/>
                <w:highlight w:val="none"/>
                <w14:textFill>
                  <w14:solidFill>
                    <w14:schemeClr w14:val="tx1"/>
                  </w14:solidFill>
                </w14:textFill>
              </w:rPr>
              <w:t>它额度</w:t>
            </w:r>
            <w:r>
              <w:rPr>
                <w:rFonts w:ascii="宋体" w:hAnsi="宋体" w:eastAsia="宋体" w:cs="宋体"/>
                <w:color w:val="000000" w:themeColor="text1"/>
                <w:kern w:val="0"/>
                <w:sz w:val="15"/>
                <w:szCs w:val="15"/>
                <w:highlight w:val="none"/>
                <w14:textFill>
                  <w14:solidFill>
                    <w14:schemeClr w14:val="tx1"/>
                  </w14:solidFill>
                </w14:textFill>
              </w:rPr>
              <w:t>处罚的，报</w:t>
            </w:r>
            <w:r>
              <w:rPr>
                <w:rFonts w:hint="eastAsia" w:ascii="宋体" w:hAnsi="宋体" w:eastAsia="宋体" w:cs="宋体"/>
                <w:color w:val="000000" w:themeColor="text1"/>
                <w:kern w:val="0"/>
                <w:sz w:val="15"/>
                <w:szCs w:val="15"/>
                <w:highlight w:val="none"/>
                <w14:textFill>
                  <w14:solidFill>
                    <w14:schemeClr w14:val="tx1"/>
                  </w14:solidFill>
                </w14:textFill>
              </w:rPr>
              <w:t>案审</w:t>
            </w:r>
            <w:r>
              <w:rPr>
                <w:rFonts w:ascii="宋体" w:hAnsi="宋体" w:eastAsia="宋体" w:cs="宋体"/>
                <w:color w:val="000000" w:themeColor="text1"/>
                <w:kern w:val="0"/>
                <w:sz w:val="15"/>
                <w:szCs w:val="15"/>
                <w:highlight w:val="none"/>
                <w14:textFill>
                  <w14:solidFill>
                    <w14:schemeClr w14:val="tx1"/>
                  </w14:solidFill>
                </w14:textFill>
              </w:rPr>
              <w:t>会</w:t>
            </w:r>
            <w:r>
              <w:rPr>
                <w:rFonts w:hint="eastAsia" w:ascii="宋体" w:hAnsi="宋体" w:eastAsia="宋体" w:cs="宋体"/>
                <w:color w:val="000000" w:themeColor="text1"/>
                <w:kern w:val="0"/>
                <w:sz w:val="15"/>
                <w:szCs w:val="15"/>
                <w:highlight w:val="none"/>
                <w14:textFill>
                  <w14:solidFill>
                    <w14:schemeClr w14:val="tx1"/>
                  </w14:solidFill>
                </w14:textFill>
              </w:rPr>
              <w:t>讨论</w:t>
            </w:r>
            <w:r>
              <w:rPr>
                <w:rFonts w:ascii="宋体" w:hAnsi="宋体" w:eastAsia="宋体" w:cs="宋体"/>
                <w:color w:val="000000" w:themeColor="text1"/>
                <w:kern w:val="0"/>
                <w:sz w:val="15"/>
                <w:szCs w:val="15"/>
                <w:highlight w:val="none"/>
                <w14:textFill>
                  <w14:solidFill>
                    <w14:schemeClr w14:val="tx1"/>
                  </w14:solidFill>
                </w14:textFill>
              </w:rPr>
              <w:t>决定。</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vMerge w:val="restart"/>
            <w:vAlign w:val="center"/>
          </w:tcPr>
          <w:p>
            <w:pPr>
              <w:spacing w:line="232" w:lineRule="exact"/>
              <w:jc w:val="center"/>
              <w:rPr>
                <w:rFonts w:hint="default"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11</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建设施工未按规定避开古树名木保护范围或者未采取必要工程措施</w:t>
            </w:r>
          </w:p>
        </w:tc>
        <w:tc>
          <w:tcPr>
            <w:tcW w:w="2789" w:type="dxa"/>
            <w:vMerge w:val="restart"/>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违反条款：第十</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八</w:t>
            </w:r>
            <w:r>
              <w:rPr>
                <w:rFonts w:hint="eastAsia" w:ascii="宋体" w:hAnsi="宋体" w:eastAsia="宋体" w:cs="宋体"/>
                <w:color w:val="000000" w:themeColor="text1"/>
                <w:kern w:val="0"/>
                <w:sz w:val="15"/>
                <w:szCs w:val="15"/>
                <w:highlight w:val="none"/>
                <w14:textFill>
                  <w14:solidFill>
                    <w14:schemeClr w14:val="tx1"/>
                  </w14:solidFill>
                </w14:textFill>
              </w:rPr>
              <w:t>条第</w:t>
            </w:r>
            <w:r>
              <w:rPr>
                <w:rFonts w:hint="eastAsia" w:ascii="宋体" w:hAnsi="宋体" w:eastAsia="宋体" w:cs="宋体"/>
                <w:color w:val="000000" w:themeColor="text1"/>
                <w:kern w:val="0"/>
                <w:sz w:val="15"/>
                <w:szCs w:val="15"/>
                <w:highlight w:val="none"/>
                <w:lang w:eastAsia="zh-CN"/>
                <w14:textFill>
                  <w14:solidFill>
                    <w14:schemeClr w14:val="tx1"/>
                  </w14:solidFill>
                </w14:textFill>
              </w:rPr>
              <w:t>一款；</w:t>
            </w:r>
          </w:p>
          <w:p>
            <w:pPr>
              <w:spacing w:line="232" w:lineRule="exact"/>
              <w:rPr>
                <w:rFonts w:hint="eastAsia"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lang w:eastAsia="zh-CN"/>
                <w14:textFill>
                  <w14:solidFill>
                    <w14:schemeClr w14:val="tx1"/>
                  </w14:solidFill>
                </w14:textFill>
              </w:rPr>
              <w:t>处罚条款：第二十八条</w:t>
            </w:r>
            <w:r>
              <w:rPr>
                <w:rFonts w:hint="eastAsia" w:ascii="宋体" w:hAnsi="宋体" w:cs="宋体"/>
                <w:color w:val="000000" w:themeColor="text1"/>
                <w:kern w:val="0"/>
                <w:sz w:val="15"/>
                <w:szCs w:val="15"/>
                <w:highlight w:val="none"/>
                <w:lang w:val="en-US" w:eastAsia="zh-CN"/>
                <w14:textFill>
                  <w14:solidFill>
                    <w14:schemeClr w14:val="tx1"/>
                  </w14:solidFill>
                </w14:textFill>
              </w:rPr>
              <w:t xml:space="preserve">第一项、第二项 </w:t>
            </w: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 xml:space="preserve"> 责令停止违法行为、限期恢复原状或者采取其他补救措施，没收违法所得；拒不停止违法行为、逾期不恢复原状、不采取其他补救措施或者造成严重后果的，依照下列规定处以罚款：</w:t>
            </w:r>
          </w:p>
          <w:p>
            <w:pPr>
              <w:spacing w:line="232" w:lineRule="exact"/>
              <w:rPr>
                <w:rFonts w:hint="eastAsia"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（一）涉及实行一级保护的古树和名木的，处每株20万元以上50万元以下的罚款；</w:t>
            </w:r>
          </w:p>
          <w:p>
            <w:pPr>
              <w:spacing w:line="232" w:lineRule="exact"/>
              <w:rPr>
                <w:rFonts w:hint="default" w:ascii="宋体" w:hAnsi="宋体" w:eastAsia="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（二）涉及实行二级保护的古树的，处每株10万元以上20万元以下的罚款；</w:t>
            </w:r>
          </w:p>
        </w:tc>
        <w:tc>
          <w:tcPr>
            <w:tcW w:w="851" w:type="dxa"/>
            <w:vAlign w:val="center"/>
          </w:tcPr>
          <w:p>
            <w:pPr>
              <w:spacing w:line="232" w:lineRule="exact"/>
              <w:jc w:val="center"/>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200000</w:t>
            </w:r>
          </w:p>
        </w:tc>
        <w:tc>
          <w:tcPr>
            <w:tcW w:w="840" w:type="dxa"/>
            <w:vAlign w:val="center"/>
          </w:tcPr>
          <w:p>
            <w:pPr>
              <w:spacing w:line="232" w:lineRule="exact"/>
              <w:jc w:val="center"/>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numPr>
                <w:ilvl w:val="0"/>
                <w:numId w:val="0"/>
              </w:numPr>
              <w:spacing w:line="232" w:lineRule="exact"/>
              <w:ind w:left="0" w:leftChars="0" w:firstLine="0" w:firstLineChars="0"/>
              <w:rPr>
                <w:rFonts w:hint="default" w:ascii="宋体" w:hAnsi="宋体" w:cs="宋体"/>
                <w:color w:val="000000" w:themeColor="text1"/>
                <w:kern w:val="0"/>
                <w:sz w:val="15"/>
                <w:szCs w:val="15"/>
                <w:highlight w:val="none"/>
                <w:lang w:val="en-US" w:eastAsia="zh-CN"/>
                <w14:textFill>
                  <w14:solidFill>
                    <w14:schemeClr w14:val="tx1"/>
                  </w14:solidFill>
                </w14:textFill>
              </w:rPr>
            </w:pPr>
          </w:p>
        </w:tc>
        <w:tc>
          <w:tcPr>
            <w:tcW w:w="17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200000</w:t>
            </w:r>
            <w:r>
              <w:rPr>
                <w:rFonts w:hint="eastAsia" w:ascii="宋体" w:hAnsi="宋体" w:eastAsia="宋体" w:cs="宋体"/>
                <w:color w:val="000000" w:themeColor="text1"/>
                <w:kern w:val="0"/>
                <w:sz w:val="15"/>
                <w:szCs w:val="15"/>
                <w:highlight w:val="none"/>
                <w14:textFill>
                  <w14:solidFill>
                    <w14:schemeClr w14:val="tx1"/>
                  </w14:solidFill>
                </w14:textFill>
              </w:rPr>
              <w:t>×（1＋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r>
              <w:rPr>
                <w:rFonts w:hint="eastAsia" w:ascii="宋体" w:hAnsi="宋体" w:cs="宋体"/>
                <w:color w:val="000000" w:themeColor="text1"/>
                <w:kern w:val="0"/>
                <w:sz w:val="15"/>
                <w:szCs w:val="15"/>
                <w:highlight w:val="none"/>
                <w:lang w:eastAsia="zh-CN"/>
                <w14:textFill>
                  <w14:solidFill>
                    <w14:schemeClr w14:val="tx1"/>
                  </w14:solidFill>
                </w14:textFill>
              </w:rPr>
              <w:t>。</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w:t>
            </w:r>
            <w:r>
              <w:rPr>
                <w:rFonts w:hint="eastAsia" w:ascii="宋体" w:hAnsi="宋体" w:eastAsia="宋体" w:cs="宋体"/>
                <w:color w:val="000000" w:themeColor="text1"/>
                <w:kern w:val="0"/>
                <w:sz w:val="15"/>
                <w:szCs w:val="15"/>
                <w:highlight w:val="none"/>
                <w:lang w:eastAsia="zh-CN"/>
                <w14:textFill>
                  <w14:solidFill>
                    <w14:schemeClr w14:val="tx1"/>
                  </w14:solidFill>
                </w14:textFill>
              </w:rPr>
              <w:t>一</w:t>
            </w:r>
            <w:r>
              <w:rPr>
                <w:rFonts w:hint="eastAsia" w:ascii="宋体" w:hAnsi="宋体" w:cs="宋体"/>
                <w:color w:val="000000" w:themeColor="text1"/>
                <w:kern w:val="0"/>
                <w:sz w:val="15"/>
                <w:szCs w:val="15"/>
                <w:highlight w:val="none"/>
                <w:lang w:eastAsia="zh-CN"/>
                <w14:textFill>
                  <w14:solidFill>
                    <w14:schemeClr w14:val="tx1"/>
                  </w14:solidFill>
                </w14:textFill>
              </w:rPr>
              <w:t>级保护的古树和名木</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适用</w:t>
            </w: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拒不停止违法行为、逾期不恢复原状、不采取其他补救措施或者造成严重后果的</w:t>
            </w:r>
            <w:r>
              <w:rPr>
                <w:rFonts w:hint="eastAsia" w:ascii="宋体" w:hAnsi="宋体" w:cs="宋体"/>
                <w:color w:val="000000" w:themeColor="text1"/>
                <w:kern w:val="0"/>
                <w:sz w:val="15"/>
                <w:szCs w:val="15"/>
                <w:highlight w:val="none"/>
                <w:lang w:val="en-US" w:eastAsia="zh-CN"/>
                <w14:textFill>
                  <w14:solidFill>
                    <w14:schemeClr w14:val="tx1"/>
                  </w14:solidFill>
                </w14:textFill>
              </w:rPr>
              <w:t>。</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vMerge w:val="continue"/>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1</w:t>
            </w:r>
            <w:r>
              <w:rPr>
                <w:rFonts w:hint="default" w:ascii="宋体" w:hAnsi="宋体" w:cs="宋体"/>
                <w:color w:val="000000" w:themeColor="text1"/>
                <w:kern w:val="0"/>
                <w:sz w:val="15"/>
                <w:szCs w:val="15"/>
                <w:highlight w:val="none"/>
                <w:lang w:val="en-US"/>
                <w14:textFill>
                  <w14:solidFill>
                    <w14:schemeClr w14:val="tx1"/>
                  </w14:solidFill>
                </w14:textFill>
              </w:rPr>
              <w:t>00000</w:t>
            </w:r>
          </w:p>
        </w:tc>
        <w:tc>
          <w:tcPr>
            <w:tcW w:w="840" w:type="dxa"/>
            <w:vAlign w:val="center"/>
          </w:tcPr>
          <w:p>
            <w:pPr>
              <w:spacing w:line="232" w:lineRule="exact"/>
              <w:jc w:val="center"/>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numPr>
                <w:ilvl w:val="0"/>
                <w:numId w:val="0"/>
              </w:numPr>
              <w:spacing w:line="232" w:lineRule="exact"/>
              <w:ind w:left="0" w:leftChars="0" w:firstLine="0" w:firstLineChars="0"/>
              <w:rPr>
                <w:rFonts w:hint="eastAsia" w:ascii="宋体" w:hAnsi="宋体" w:cs="宋体"/>
                <w:color w:val="000000" w:themeColor="text1"/>
                <w:kern w:val="0"/>
                <w:sz w:val="15"/>
                <w:szCs w:val="15"/>
                <w:highlight w:val="none"/>
                <w:lang w:val="en-US" w:eastAsia="zh-CN"/>
                <w14:textFill>
                  <w14:solidFill>
                    <w14:schemeClr w14:val="tx1"/>
                  </w14:solidFill>
                </w14:textFill>
              </w:rPr>
            </w:pPr>
          </w:p>
        </w:tc>
        <w:tc>
          <w:tcPr>
            <w:tcW w:w="1785" w:type="dxa"/>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w:t>
            </w:r>
            <w:r>
              <w:rPr>
                <w:rFonts w:hint="eastAsia" w:ascii="宋体" w:hAnsi="宋体" w:cs="宋体"/>
                <w:color w:val="000000" w:themeColor="text1"/>
                <w:kern w:val="0"/>
                <w:sz w:val="15"/>
                <w:szCs w:val="15"/>
                <w:highlight w:val="none"/>
                <w:lang w:val="en-US" w:eastAsia="zh-CN"/>
                <w14:textFill>
                  <w14:solidFill>
                    <w14:schemeClr w14:val="tx1"/>
                  </w14:solidFill>
                </w14:textFill>
              </w:rPr>
              <w:t>100000</w:t>
            </w:r>
            <w:r>
              <w:rPr>
                <w:rFonts w:hint="eastAsia" w:ascii="宋体" w:hAnsi="宋体" w:eastAsia="宋体" w:cs="宋体"/>
                <w:color w:val="000000" w:themeColor="text1"/>
                <w:kern w:val="0"/>
                <w:sz w:val="15"/>
                <w:szCs w:val="15"/>
                <w:highlight w:val="none"/>
                <w14:textFill>
                  <w14:solidFill>
                    <w14:schemeClr w14:val="tx1"/>
                  </w14:solidFill>
                </w14:textFill>
              </w:rPr>
              <w:t>×（1＋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r>
              <w:rPr>
                <w:rFonts w:hint="eastAsia" w:ascii="宋体" w:hAnsi="宋体" w:cs="宋体"/>
                <w:color w:val="000000" w:themeColor="text1"/>
                <w:kern w:val="0"/>
                <w:sz w:val="15"/>
                <w:szCs w:val="15"/>
                <w:highlight w:val="none"/>
                <w:lang w:eastAsia="zh-CN"/>
                <w14:textFill>
                  <w14:solidFill>
                    <w14:schemeClr w14:val="tx1"/>
                  </w14:solidFill>
                </w14:textFill>
              </w:rPr>
              <w:t>。</w:t>
            </w:r>
          </w:p>
        </w:tc>
        <w:tc>
          <w:tcPr>
            <w:tcW w:w="2385" w:type="dxa"/>
            <w:vAlign w:val="center"/>
          </w:tcPr>
          <w:p>
            <w:pPr>
              <w:spacing w:line="232" w:lineRule="exact"/>
              <w:rPr>
                <w:rFonts w:hint="eastAsia" w:ascii="宋体" w:hAnsi="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w:t>
            </w:r>
            <w:r>
              <w:rPr>
                <w:rFonts w:hint="eastAsia" w:ascii="宋体" w:hAnsi="宋体" w:eastAsia="宋体" w:cs="宋体"/>
                <w:color w:val="000000" w:themeColor="text1"/>
                <w:kern w:val="0"/>
                <w:sz w:val="15"/>
                <w:szCs w:val="15"/>
                <w:highlight w:val="none"/>
                <w:lang w:eastAsia="zh-CN"/>
                <w14:textFill>
                  <w14:solidFill>
                    <w14:schemeClr w14:val="tx1"/>
                  </w14:solidFill>
                </w14:textFill>
              </w:rPr>
              <w:t>二</w:t>
            </w:r>
            <w:r>
              <w:rPr>
                <w:rFonts w:hint="eastAsia" w:ascii="宋体" w:hAnsi="宋体" w:cs="宋体"/>
                <w:color w:val="000000" w:themeColor="text1"/>
                <w:kern w:val="0"/>
                <w:sz w:val="15"/>
                <w:szCs w:val="15"/>
                <w:highlight w:val="none"/>
                <w:lang w:eastAsia="zh-CN"/>
                <w14:textFill>
                  <w14:solidFill>
                    <w14:schemeClr w14:val="tx1"/>
                  </w14:solidFill>
                </w14:textFill>
              </w:rPr>
              <w:t>级保护的古树。</w:t>
            </w:r>
          </w:p>
          <w:p>
            <w:pPr>
              <w:spacing w:line="232" w:lineRule="exact"/>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cs="宋体"/>
                <w:color w:val="000000" w:themeColor="text1"/>
                <w:kern w:val="0"/>
                <w:sz w:val="15"/>
                <w:szCs w:val="15"/>
                <w:highlight w:val="none"/>
                <w:lang w:val="en-US" w:eastAsia="zh-CN"/>
                <w14:textFill>
                  <w14:solidFill>
                    <w14:schemeClr w14:val="tx1"/>
                  </w14:solidFill>
                </w14:textFill>
              </w:rPr>
              <w:t>适用</w:t>
            </w: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拒不停止违法行为、逾期不恢复原状、不采取其他补救措施或者造成严重后果的</w:t>
            </w:r>
            <w:r>
              <w:rPr>
                <w:rFonts w:hint="eastAsia" w:ascii="宋体" w:hAnsi="宋体" w:cs="宋体"/>
                <w:color w:val="000000" w:themeColor="text1"/>
                <w:kern w:val="0"/>
                <w:sz w:val="15"/>
                <w:szCs w:val="15"/>
                <w:highlight w:val="none"/>
                <w:lang w:val="en-US" w:eastAsia="zh-CN"/>
                <w14:textFill>
                  <w14:solidFill>
                    <w14:schemeClr w14:val="tx1"/>
                  </w14:solidFill>
                </w14:textFill>
              </w:rPr>
              <w:t>。</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hint="eastAsia" w:ascii="宋体" w:hAnsi="宋体" w:cs="宋体"/>
                <w:color w:val="000000" w:themeColor="text1"/>
                <w:kern w:val="0"/>
                <w:sz w:val="15"/>
                <w:szCs w:val="15"/>
                <w:highlight w:val="none"/>
                <w:lang w:val="en-US" w:eastAsia="zh-CN"/>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14218" w:type="dxa"/>
            <w:gridSpan w:val="9"/>
            <w:vAlign w:val="center"/>
          </w:tcPr>
          <w:p>
            <w:pPr>
              <w:pStyle w:val="3"/>
              <w:bidi w:val="0"/>
              <w:jc w:val="center"/>
              <w:rPr>
                <w:rFonts w:hint="eastAsia"/>
                <w:color w:val="000000" w:themeColor="text1"/>
                <w:highlight w:val="none"/>
                <w:lang w:val="en-US" w:eastAsia="zh-CN"/>
                <w14:textFill>
                  <w14:solidFill>
                    <w14:schemeClr w14:val="tx1"/>
                  </w14:solidFill>
                </w14:textFill>
              </w:rPr>
            </w:pPr>
            <w:bookmarkStart w:id="110" w:name="_Toc1270096950"/>
            <w:r>
              <w:rPr>
                <w:rFonts w:hint="eastAsia"/>
                <w:color w:val="000000" w:themeColor="text1"/>
                <w:highlight w:val="none"/>
                <w14:textFill>
                  <w14:solidFill>
                    <w14:schemeClr w14:val="tx1"/>
                  </w14:solidFill>
                </w14:textFill>
              </w:rPr>
              <w:t>《北京市古树名木保护管理条例》案由</w:t>
            </w:r>
            <w:r>
              <w:rPr>
                <w:rFonts w:hint="eastAsia"/>
                <w:color w:val="000000" w:themeColor="text1"/>
                <w:highlight w:val="none"/>
                <w:lang w:val="en-US" w:eastAsia="zh-CN"/>
                <w14:textFill>
                  <w14:solidFill>
                    <w14:schemeClr w14:val="tx1"/>
                  </w14:solidFill>
                </w14:textFill>
              </w:rPr>
              <w:t>3项</w:t>
            </w:r>
            <w:bookmarkEnd w:id="1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33" w:hRule="atLeast"/>
          <w:jc w:val="center"/>
        </w:trPr>
        <w:tc>
          <w:tcPr>
            <w:tcW w:w="940" w:type="dxa"/>
            <w:vMerge w:val="restart"/>
            <w:vAlign w:val="center"/>
          </w:tcPr>
          <w:p>
            <w:pPr>
              <w:spacing w:line="232" w:lineRule="exact"/>
              <w:jc w:val="center"/>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1</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未按规定养护管理古树名木</w:t>
            </w:r>
          </w:p>
        </w:tc>
        <w:tc>
          <w:tcPr>
            <w:tcW w:w="2789"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违反条款：第十一条第一款；处罚条款：第十八条第一款 责令改正</w:t>
            </w:r>
            <w:r>
              <w:rPr>
                <w:rFonts w:ascii="宋体" w:hAnsi="宋体" w:eastAsia="宋体" w:cs="宋体"/>
                <w:color w:val="000000" w:themeColor="text1"/>
                <w:kern w:val="0"/>
                <w:sz w:val="15"/>
                <w:szCs w:val="15"/>
                <w:highlight w:val="none"/>
                <w14:textFill>
                  <w14:solidFill>
                    <w14:schemeClr w14:val="tx1"/>
                  </w14:solidFill>
                </w14:textFill>
              </w:rPr>
              <w:t>，</w:t>
            </w:r>
            <w:r>
              <w:rPr>
                <w:rFonts w:hint="eastAsia" w:ascii="宋体" w:hAnsi="宋体" w:eastAsia="宋体" w:cs="宋体"/>
                <w:color w:val="000000" w:themeColor="text1"/>
                <w:kern w:val="0"/>
                <w:sz w:val="15"/>
                <w:szCs w:val="15"/>
                <w:highlight w:val="none"/>
                <w14:textFill>
                  <w14:solidFill>
                    <w14:schemeClr w14:val="tx1"/>
                  </w14:solidFill>
                </w14:textFill>
              </w:rPr>
              <w:t>造成损伤的，每株处以500至2000元罚款；造成死亡的，每株处1万元至5万元罚款。</w:t>
            </w: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500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20"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损伤一级古树或者具有特殊历史价值和特别珍贵名木的，系数为2。</w:t>
            </w:r>
          </w:p>
        </w:tc>
        <w:tc>
          <w:tcPr>
            <w:tcW w:w="1785" w:type="dxa"/>
            <w:vAlign w:val="center"/>
          </w:tcPr>
          <w:p>
            <w:pPr>
              <w:spacing w:line="220"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罚款数额＝500×（1＋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p>
        </w:tc>
        <w:tc>
          <w:tcPr>
            <w:tcW w:w="23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0" w:hRule="atLeast"/>
          <w:jc w:val="center"/>
        </w:trPr>
        <w:tc>
          <w:tcPr>
            <w:tcW w:w="940" w:type="dxa"/>
            <w:vMerge w:val="continue"/>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20" w:lineRule="exact"/>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造成一级古树或者具有特殊历史价值和特别珍贵名木死亡的，系数为2。</w:t>
            </w:r>
          </w:p>
        </w:tc>
        <w:tc>
          <w:tcPr>
            <w:tcW w:w="1785" w:type="dxa"/>
            <w:vAlign w:val="center"/>
          </w:tcPr>
          <w:p>
            <w:pPr>
              <w:spacing w:line="220"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罚款数额＝10000×（1＋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适用造成死亡情形</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5" w:hRule="atLeast"/>
          <w:jc w:val="center"/>
        </w:trPr>
        <w:tc>
          <w:tcPr>
            <w:tcW w:w="940" w:type="dxa"/>
            <w:vMerge w:val="restart"/>
            <w:vAlign w:val="center"/>
          </w:tcPr>
          <w:p>
            <w:pPr>
              <w:spacing w:line="232" w:lineRule="exact"/>
              <w:jc w:val="center"/>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2</w:t>
            </w:r>
          </w:p>
        </w:tc>
        <w:tc>
          <w:tcPr>
            <w:tcW w:w="1500"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未按要求对古树名木治理、复壮</w:t>
            </w:r>
          </w:p>
        </w:tc>
        <w:tc>
          <w:tcPr>
            <w:tcW w:w="2789" w:type="dxa"/>
            <w:vMerge w:val="restart"/>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违反条款：第十一条第二款；处罚条款：第十八条第一款 责令改正</w:t>
            </w:r>
            <w:r>
              <w:rPr>
                <w:rFonts w:ascii="宋体" w:hAnsi="宋体" w:eastAsia="宋体" w:cs="宋体"/>
                <w:color w:val="000000" w:themeColor="text1"/>
                <w:kern w:val="0"/>
                <w:sz w:val="15"/>
                <w:szCs w:val="15"/>
                <w:highlight w:val="none"/>
                <w14:textFill>
                  <w14:solidFill>
                    <w14:schemeClr w14:val="tx1"/>
                  </w14:solidFill>
                </w14:textFill>
              </w:rPr>
              <w:t>，</w:t>
            </w:r>
            <w:r>
              <w:rPr>
                <w:rFonts w:hint="eastAsia" w:ascii="宋体" w:hAnsi="宋体" w:eastAsia="宋体" w:cs="宋体"/>
                <w:color w:val="000000" w:themeColor="text1"/>
                <w:kern w:val="0"/>
                <w:sz w:val="15"/>
                <w:szCs w:val="15"/>
                <w:highlight w:val="none"/>
                <w14:textFill>
                  <w14:solidFill>
                    <w14:schemeClr w14:val="tx1"/>
                  </w14:solidFill>
                </w14:textFill>
              </w:rPr>
              <w:t>造成损伤的，每株处以500至2000元罚款；造成死亡的，每株处1万元至5万元罚款。</w:t>
            </w: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500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20"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损伤一级古树或者具有特殊历史价值和特别珍贵名木的，系数为2。</w:t>
            </w:r>
          </w:p>
        </w:tc>
        <w:tc>
          <w:tcPr>
            <w:tcW w:w="1785" w:type="dxa"/>
            <w:vAlign w:val="center"/>
          </w:tcPr>
          <w:p>
            <w:pPr>
              <w:spacing w:line="220"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罚款数额＝500×（1＋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p>
        </w:tc>
        <w:tc>
          <w:tcPr>
            <w:tcW w:w="23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3" w:hRule="atLeast"/>
          <w:jc w:val="center"/>
        </w:trPr>
        <w:tc>
          <w:tcPr>
            <w:tcW w:w="940" w:type="dxa"/>
            <w:vMerge w:val="continue"/>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p>
        </w:tc>
        <w:tc>
          <w:tcPr>
            <w:tcW w:w="1500" w:type="dxa"/>
            <w:vMerge w:val="continue"/>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2789" w:type="dxa"/>
            <w:vMerge w:val="continue"/>
            <w:vAlign w:val="center"/>
          </w:tcPr>
          <w:p>
            <w:pPr>
              <w:spacing w:line="232" w:lineRule="exact"/>
              <w:rPr>
                <w:rFonts w:ascii="宋体" w:hAnsi="宋体" w:eastAsia="宋体"/>
                <w:color w:val="000000" w:themeColor="text1"/>
                <w:sz w:val="15"/>
                <w:szCs w:val="15"/>
                <w:highlight w:val="none"/>
                <w14:textFill>
                  <w14:solidFill>
                    <w14:schemeClr w14:val="tx1"/>
                  </w14:solidFill>
                </w14:textFill>
              </w:rPr>
            </w:pP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10000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spacing w:line="220" w:lineRule="exact"/>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造成一级古树或者具有特殊历史价值和特别珍贵名木死亡的，系数为2。</w:t>
            </w:r>
          </w:p>
        </w:tc>
        <w:tc>
          <w:tcPr>
            <w:tcW w:w="1785" w:type="dxa"/>
            <w:vAlign w:val="center"/>
          </w:tcPr>
          <w:p>
            <w:pPr>
              <w:spacing w:line="220"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罚款数额＝10000×（1＋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＋变量系数）×N。N</w:t>
            </w:r>
            <w:r>
              <w:rPr>
                <w:rFonts w:hint="eastAsia" w:ascii="宋体" w:hAnsi="宋体" w:eastAsia="宋体" w:cs="仿宋_GB2312"/>
                <w:color w:val="000000" w:themeColor="text1"/>
                <w:kern w:val="0"/>
                <w:sz w:val="15"/>
                <w:szCs w:val="15"/>
                <w:highlight w:val="none"/>
                <w14:textFill>
                  <w14:solidFill>
                    <w14:schemeClr w14:val="tx1"/>
                  </w14:solidFill>
                </w14:textFill>
              </w:rPr>
              <w:t>为株数。</w:t>
            </w:r>
          </w:p>
        </w:tc>
        <w:tc>
          <w:tcPr>
            <w:tcW w:w="2385" w:type="dxa"/>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适用造成死亡情形</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8" w:hRule="atLeast"/>
          <w:jc w:val="center"/>
        </w:trPr>
        <w:tc>
          <w:tcPr>
            <w:tcW w:w="940" w:type="dxa"/>
            <w:vAlign w:val="center"/>
          </w:tcPr>
          <w:p>
            <w:pPr>
              <w:spacing w:line="232" w:lineRule="exact"/>
              <w:jc w:val="center"/>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lang w:val="en-US" w:eastAsia="zh-CN"/>
                <w14:textFill>
                  <w14:solidFill>
                    <w14:schemeClr w14:val="tx1"/>
                  </w14:solidFill>
                </w14:textFill>
              </w:rPr>
              <w:t>3</w:t>
            </w:r>
          </w:p>
        </w:tc>
        <w:tc>
          <w:tcPr>
            <w:tcW w:w="1500"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擅自处理死亡古树名木</w:t>
            </w:r>
          </w:p>
        </w:tc>
        <w:tc>
          <w:tcPr>
            <w:tcW w:w="2789" w:type="dxa"/>
            <w:vAlign w:val="center"/>
          </w:tcPr>
          <w:p>
            <w:pPr>
              <w:spacing w:line="21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违反条款：第十一条第三款；</w:t>
            </w:r>
          </w:p>
          <w:p>
            <w:pPr>
              <w:spacing w:line="21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处罚条款：第十八条第二款 每株处以2000元至1万元罚款。</w:t>
            </w:r>
          </w:p>
        </w:tc>
        <w:tc>
          <w:tcPr>
            <w:tcW w:w="851"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2000</w:t>
            </w:r>
          </w:p>
        </w:tc>
        <w:tc>
          <w:tcPr>
            <w:tcW w:w="840" w:type="dxa"/>
            <w:vAlign w:val="center"/>
          </w:tcPr>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1</w:t>
            </w:r>
          </w:p>
        </w:tc>
        <w:tc>
          <w:tcPr>
            <w:tcW w:w="2304" w:type="dxa"/>
            <w:vAlign w:val="center"/>
          </w:tcPr>
          <w:p>
            <w:pPr>
              <w:pStyle w:val="6"/>
              <w:spacing w:line="212" w:lineRule="exact"/>
              <w:jc w:val="both"/>
              <w:rPr>
                <w:rFonts w:hint="default" w:ascii="宋体" w:hAnsi="宋体" w:eastAsia="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擅自处理死亡一级古树的，变量系数4；二级古树的，变量系数3</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tc>
        <w:tc>
          <w:tcPr>
            <w:tcW w:w="1785" w:type="dxa"/>
            <w:vAlign w:val="center"/>
          </w:tcPr>
          <w:p>
            <w:pPr>
              <w:spacing w:line="212" w:lineRule="exact"/>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罚款数额＝2000×（1＋</w:t>
            </w:r>
            <w:r>
              <w:rPr>
                <w:rFonts w:hint="eastAsia" w:ascii="宋体" w:hAnsi="宋体" w:eastAsia="宋体" w:cs="宋体"/>
                <w:color w:val="000000" w:themeColor="text1"/>
                <w:kern w:val="0"/>
                <w:sz w:val="15"/>
                <w:szCs w:val="15"/>
                <w:highlight w:val="none"/>
                <w:lang w:eastAsia="zh-CN"/>
                <w14:textFill>
                  <w14:solidFill>
                    <w14:schemeClr w14:val="tx1"/>
                  </w14:solidFill>
                </w14:textFill>
              </w:rPr>
              <w:t>常量系数</w:t>
            </w:r>
            <w:r>
              <w:rPr>
                <w:rFonts w:hint="eastAsia" w:ascii="宋体" w:hAnsi="宋体" w:eastAsia="宋体" w:cs="宋体"/>
                <w:color w:val="000000" w:themeColor="text1"/>
                <w:kern w:val="0"/>
                <w:sz w:val="15"/>
                <w:szCs w:val="15"/>
                <w:highlight w:val="none"/>
                <w14:textFill>
                  <w14:solidFill>
                    <w14:schemeClr w14:val="tx1"/>
                  </w14:solidFill>
                </w14:textFill>
              </w:rPr>
              <w:t>＋变量系数）×N。N为株数。</w:t>
            </w:r>
          </w:p>
        </w:tc>
        <w:tc>
          <w:tcPr>
            <w:tcW w:w="2385" w:type="dxa"/>
            <w:vAlign w:val="center"/>
          </w:tcPr>
          <w:p>
            <w:pPr>
              <w:spacing w:line="232" w:lineRule="exact"/>
              <w:rPr>
                <w:rFonts w:ascii="宋体" w:hAnsi="宋体" w:eastAsia="宋体" w:cs="宋体"/>
                <w:color w:val="000000" w:themeColor="text1"/>
                <w:kern w:val="0"/>
                <w:sz w:val="15"/>
                <w:szCs w:val="15"/>
                <w:highlight w:val="none"/>
                <w14:textFill>
                  <w14:solidFill>
                    <w14:schemeClr w14:val="tx1"/>
                  </w14:solidFill>
                </w14:textFill>
              </w:rPr>
            </w:pPr>
          </w:p>
        </w:tc>
        <w:tc>
          <w:tcPr>
            <w:tcW w:w="824" w:type="dxa"/>
            <w:vAlign w:val="center"/>
          </w:tcPr>
          <w:p>
            <w:pPr>
              <w:spacing w:line="232" w:lineRule="exact"/>
              <w:jc w:val="center"/>
              <w:rPr>
                <w:rFonts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街道</w:t>
            </w:r>
          </w:p>
          <w:p>
            <w:pPr>
              <w:spacing w:line="232" w:lineRule="exact"/>
              <w:jc w:val="center"/>
              <w:rPr>
                <w:rFonts w:ascii="宋体" w:hAnsi="宋体" w:eastAsia="宋体" w:cs="宋体"/>
                <w:color w:val="000000" w:themeColor="text1"/>
                <w:kern w:val="0"/>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11" w:name="_Toc110851470"/>
            <w:bookmarkStart w:id="112" w:name="_Toc465734653"/>
            <w:bookmarkStart w:id="113" w:name="_Toc1662411082"/>
            <w:r>
              <w:rPr>
                <w:rFonts w:hint="eastAsia" w:asciiTheme="minorEastAsia" w:hAnsiTheme="minorEastAsia" w:eastAsiaTheme="minorEastAsia"/>
                <w:color w:val="000000" w:themeColor="text1"/>
                <w:sz w:val="21"/>
                <w:szCs w:val="21"/>
                <w:highlight w:val="none"/>
                <w14:textFill>
                  <w14:solidFill>
                    <w14:schemeClr w14:val="tx1"/>
                  </w14:solidFill>
                </w14:textFill>
              </w:rPr>
              <w:t>《北京市公园条例》案由</w:t>
            </w:r>
            <w:r>
              <w:rPr>
                <w:rFonts w:asciiTheme="minorEastAsia" w:hAnsiTheme="minorEastAsia" w:eastAsiaTheme="minorEastAsia"/>
                <w:color w:val="000000" w:themeColor="text1"/>
                <w:sz w:val="21"/>
                <w:szCs w:val="21"/>
                <w:highlight w:val="none"/>
                <w14:textFill>
                  <w14:solidFill>
                    <w14:schemeClr w14:val="tx1"/>
                  </w14:solidFill>
                </w14:textFill>
              </w:rPr>
              <w:t xml:space="preserve"> 18</w:t>
            </w:r>
            <w:r>
              <w:rPr>
                <w:rFonts w:hint="eastAsia" w:asciiTheme="minorEastAsia" w:hAnsiTheme="minorEastAsia" w:eastAsiaTheme="minorEastAsia"/>
                <w:color w:val="000000" w:themeColor="text1"/>
                <w:sz w:val="21"/>
                <w:szCs w:val="21"/>
                <w:highlight w:val="none"/>
                <w14:textFill>
                  <w14:solidFill>
                    <w14:schemeClr w14:val="tx1"/>
                  </w14:solidFill>
                </w14:textFill>
              </w:rPr>
              <w:t>项</w:t>
            </w:r>
            <w:bookmarkEnd w:id="111"/>
            <w:bookmarkEnd w:id="112"/>
            <w:bookmarkEnd w:id="1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公园内游人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翻越围墙、栏杆、绿篱</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第四十六条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第（一）项；处罚条款：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第五十六条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 xml:space="preserve">第一款第（一）项 </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责令改正，并可以处20元以上50元以下罚款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restart"/>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公园内游人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在禁烟区吸烟</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在非游泳区游泳，在非滑冰区滑冰，在非钓鱼区钓鱼，在非体育运动场所踢球、滑旱冰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公园内游人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随地吐痰、便溺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乱丢果皮等废弃物</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789"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公园内游人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营火、烧烤</w:t>
            </w:r>
          </w:p>
        </w:tc>
        <w:tc>
          <w:tcPr>
            <w:tcW w:w="2789" w:type="dxa"/>
            <w:vMerge w:val="restart"/>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第四十六条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第（二）项；处罚条款：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第五十六条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 xml:space="preserve">第一款第（二）项 </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责令改正，并可以处50元以上100元以下罚款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shd w:val="clear" w:color="auto" w:fill="auto"/>
            <w:vAlign w:val="center"/>
          </w:tcPr>
          <w:p>
            <w:pPr>
              <w:spacing w:line="20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按照《基准》规定的执行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1785" w:type="dxa"/>
            <w:vMerge w:val="restart"/>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vMerge w:val="restart"/>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9"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公园内游人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捕捞、捕捉动物</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采挖植物，恐吓、投打、伤害动物</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在非投喂区投喂动物</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61"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公园内游人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在建筑物、构筑物、设施、树木上涂写、刻划</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 xml:space="preserve"> </w:t>
            </w:r>
          </w:p>
        </w:tc>
        <w:tc>
          <w:tcPr>
            <w:tcW w:w="2789" w:type="dxa"/>
            <w:vMerge w:val="restart"/>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第四十六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第（三）项；处罚条款：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第五十六条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 xml:space="preserve">第一款第（三）项 </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restart"/>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 </w:t>
            </w:r>
          </w:p>
        </w:tc>
        <w:tc>
          <w:tcPr>
            <w:tcW w:w="1785" w:type="dxa"/>
            <w:vMerge w:val="restart"/>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restart"/>
            <w:shd w:val="clear" w:color="auto" w:fill="auto"/>
            <w:vAlign w:val="center"/>
          </w:tcPr>
          <w:p>
            <w:pPr>
              <w:spacing w:line="20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按照简易程序执行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公园内游人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攀折花木</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损坏草坪、树木</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tcBorders>
              <w:bottom w:val="single" w:color="auto" w:sz="4" w:space="0"/>
            </w:tcBorders>
            <w:shd w:val="clear" w:color="auto" w:fill="auto"/>
            <w:vAlign w:val="center"/>
          </w:tcPr>
          <w:p>
            <w:pPr>
              <w:spacing w:line="200"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擅自改变公园的功能</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十一</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第一款；处罚条款：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1.改变</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市主要公园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功能</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系数5-9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；2.其它公园的，系数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它额度</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处罚的，报</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案审</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会</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讨论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决定。</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侵占公园用地</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十一</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第一款；处罚条款：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罚款数额＝侵占面积×300元。</w:t>
            </w:r>
          </w:p>
        </w:tc>
        <w:tc>
          <w:tcPr>
            <w:tcW w:w="2385"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公园未经验收交付使用</w:t>
            </w:r>
          </w:p>
        </w:tc>
        <w:tc>
          <w:tcPr>
            <w:tcW w:w="2789"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十八</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第二款；处罚条款：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二</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1.公园建设工程已经完工，具备开园条件，但未经验收交付使用的，系数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-4；2.公园建设工程尚未完全完工，且未经验收交付使用的，系数5-9。</w:t>
            </w:r>
          </w:p>
        </w:tc>
        <w:tc>
          <w:tcPr>
            <w:tcW w:w="1785"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在历史名园保护区内建设影响原有风貌和格局的建筑物、构建物</w:t>
            </w:r>
          </w:p>
        </w:tc>
        <w:tc>
          <w:tcPr>
            <w:tcW w:w="2789"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二十九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第一款；处罚条款：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三</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1.面积500平方米以下（不含</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本数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.违法建筑物、构筑物的面积500平方米以上不足1000平方米（不含</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本数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）的，系数4</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.违法建筑物、构筑物的面积1000平方米以上的，系数7-9。</w:t>
            </w:r>
          </w:p>
        </w:tc>
        <w:tc>
          <w:tcPr>
            <w:tcW w:w="1785"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罚款数额＝300×（1＋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＋变量系数）×面积。</w:t>
            </w:r>
          </w:p>
        </w:tc>
        <w:tc>
          <w:tcPr>
            <w:tcW w:w="2385" w:type="dxa"/>
            <w:shd w:val="clear" w:color="auto" w:fill="auto"/>
            <w:vAlign w:val="center"/>
          </w:tcPr>
          <w:p>
            <w:pPr>
              <w:spacing w:line="224"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对原有文物建筑及其附属物损毁、改建、拆除的，按照文物保护的法律、法规规定予以处罚和赔偿。</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擅自改变无法以人力再造和无法再生的自然景观</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三十</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第二款；处罚条款：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四</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它额度</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处罚的，报</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案审</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会</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讨论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决定。</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造成损失的，依法承担赔偿责任；构成犯罪的，依法追究刑事责任。</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擅自改变具有特殊历史文化价值的人文景观原有风貌和格局</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三十</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第二款；处罚条款：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四</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公园管理机构未按照标准做好清扫保洁</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三十六</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第一款第</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五</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六</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项；处罚条款：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五</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北京市主要公园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系数5-9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；2.其它公园的，系数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需要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作出其它额度处罚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由</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执法人员</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情况</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并</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在公园内搭建棚舍、擅自摆摊设点</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三十七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五</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二</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北京市主要公园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系数5-9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；2.其它公园的，系数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需要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作出其它额度处罚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由</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执法人员</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情况</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并</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在公园内随意堆放物料、拉绳挂物</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三十七</w:t>
            </w:r>
            <w:r>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；处罚条款：</w:t>
            </w:r>
            <w:r>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五</w:t>
            </w:r>
            <w:r>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t>条第（</w:t>
            </w: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三</w:t>
            </w:r>
            <w:r>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北京市主要公园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系数5-9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；2.其它公园的，系数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需要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作出其它额度处罚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由</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执法人员</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情况</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并</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17</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公园内牌示污损、丢失不及时更换或者补设</w:t>
            </w:r>
          </w:p>
        </w:tc>
        <w:tc>
          <w:tcPr>
            <w:tcW w:w="2789" w:type="dxa"/>
            <w:shd w:val="clear" w:color="auto" w:fill="auto"/>
            <w:vAlign w:val="center"/>
          </w:tcPr>
          <w:p>
            <w:pPr>
              <w:spacing w:line="20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三十八</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第一款；处罚条款：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五</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条第（</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四</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北京市主要公园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系数5-9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；2.其它公园的，系数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18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需要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作出其它额度处罚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由</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执法人员</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情况</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并</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在公园内追逐游客强行兜售物品</w:t>
            </w:r>
          </w:p>
        </w:tc>
        <w:tc>
          <w:tcPr>
            <w:tcW w:w="2789" w:type="dxa"/>
            <w:shd w:val="clear" w:color="auto" w:fill="auto"/>
            <w:vAlign w:val="center"/>
          </w:tcPr>
          <w:p>
            <w:pPr>
              <w:spacing w:line="27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第四十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七条；处罚条款：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第五十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条</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北京市主要公园</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系数5-9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；2.其它公园的，系数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4</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需要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作出其它额度处罚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由</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执法人员</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情况</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并</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pPr>
              <w:pStyle w:val="2"/>
              <w:bidi w:val="0"/>
              <w:rPr>
                <w:rFonts w:ascii="黑体" w:hAnsi="黑体" w:eastAsia="黑体" w:cs="宋体"/>
                <w:color w:val="000000" w:themeColor="text1"/>
                <w:kern w:val="0"/>
                <w:highlight w:val="none"/>
                <w14:textFill>
                  <w14:solidFill>
                    <w14:schemeClr w14:val="tx1"/>
                  </w14:solidFill>
                </w14:textFill>
              </w:rPr>
            </w:pPr>
            <w:bookmarkStart w:id="114" w:name="_Toc277585206"/>
            <w:r>
              <w:rPr>
                <w:rFonts w:hint="eastAsia" w:ascii="黑体" w:hAnsi="黑体" w:eastAsia="黑体" w:cs="黑体"/>
                <w:b w:val="0"/>
                <w:bCs w:val="0"/>
                <w:color w:val="000000" w:themeColor="text1"/>
                <w:highlight w:val="none"/>
                <w14:textFill>
                  <w14:solidFill>
                    <w14:schemeClr w14:val="tx1"/>
                  </w14:solidFill>
                </w14:textFill>
              </w:rPr>
              <w:t>环境保护管理方面</w:t>
            </w:r>
            <w:bookmark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000000" w:themeColor="text1"/>
                <w:kern w:val="0"/>
                <w:szCs w:val="15"/>
                <w:highlight w:val="none"/>
                <w14:textFill>
                  <w14:solidFill>
                    <w14:schemeClr w14:val="tx1"/>
                  </w14:solidFill>
                </w14:textFill>
              </w:rPr>
            </w:pPr>
            <w:bookmarkStart w:id="115" w:name="_Toc335980618"/>
            <w:r>
              <w:rPr>
                <w:rFonts w:hint="eastAsia"/>
                <w:color w:val="000000" w:themeColor="text1"/>
                <w:sz w:val="21"/>
                <w:szCs w:val="21"/>
                <w:highlight w:val="none"/>
                <w14:textFill>
                  <w14:solidFill>
                    <w14:schemeClr w14:val="tx1"/>
                  </w14:solidFill>
                </w14:textFill>
              </w:rPr>
              <w:t>《中华人民共和国大气污染防治法》案由18项</w:t>
            </w:r>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施工单位未设置硬质围挡</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1.未按标准设置围挡长度16-30米的，系数1；31-45米的，系数2，以此类推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136米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；2.期间发生危害公共安全行为的，系数9。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施工单位未采取有效防尘降尘措施</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施工单位未及时清运建筑土方（工程渣土、建筑垃圾）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1.垃圾占地面积10㎡以下的，系数0；11－15㎡的，系数1；16－20㎡系数2，以此类推</w:t>
            </w:r>
            <w:r>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。2.逾期不清的，每逾期2天，系数为１，以此累加</w:t>
            </w:r>
            <w:r>
              <w:rPr>
                <w:rFonts w:hint="eastAsia" w:cs="宋体" w:asciiTheme="minorEastAsia" w:hAnsiTheme="minorEastAsia" w:eastAsiaTheme="minorEastAsia"/>
                <w:color w:val="000000" w:themeColor="text1"/>
                <w:sz w:val="15"/>
                <w:szCs w:val="15"/>
                <w:highlight w:val="none"/>
                <w:lang w:eastAsia="zh-CN"/>
                <w14:textFill>
                  <w14:solidFill>
                    <w14:schemeClr w14:val="tx1"/>
                  </w14:solidFill>
                </w14:textFill>
              </w:rPr>
              <w:t>，逾期</w:t>
            </w:r>
            <w:r>
              <w:rPr>
                <w:rFonts w:hint="eastAsia" w:cs="宋体" w:asciiTheme="minorEastAsia" w:hAnsiTheme="minorEastAsia" w:eastAsiaTheme="minorEastAsia"/>
                <w:color w:val="000000" w:themeColor="text1"/>
                <w:sz w:val="15"/>
                <w:szCs w:val="15"/>
                <w:highlight w:val="none"/>
                <w:lang w:val="en-US" w:eastAsia="zh-CN"/>
                <w14:textFill>
                  <w14:solidFill>
                    <w14:schemeClr w14:val="tx1"/>
                  </w14:solidFill>
                </w14:textFill>
              </w:rPr>
              <w:t>18天及以上的，</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3.造成尘土飞扬，严重污染环境的，系数为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施工单位未采用密闭式防尘网遮盖建筑土方（工程渣土、建筑垃圾）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。2.造成尘土飞扬，严重污染环境的，系数为9。</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建设单位未对暂不开工的建设用地裸露地面进行覆盖</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1.面积1000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以内，变量系数为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asciiTheme="minorEastAsia" w:hAnsiTheme="minorEastAsia" w:eastAsiaTheme="minorEastAsia"/>
                <w:color w:val="000000" w:themeColor="text1"/>
                <w:sz w:val="15"/>
                <w:szCs w:val="15"/>
                <w:highlight w:val="none"/>
                <w14:textFill>
                  <w14:solidFill>
                    <w14:schemeClr w14:val="tx1"/>
                  </w14:solidFill>
                </w14:textFill>
              </w:rPr>
              <w:t>1000</w:t>
            </w:r>
            <w:r>
              <w:rPr>
                <w:rFonts w:hint="eastAsia" w:asciiTheme="minorEastAsia" w:hAnsiTheme="minorEastAsia" w:eastAsiaTheme="minorEastAsia"/>
                <w:color w:val="000000" w:themeColor="text1"/>
                <w:sz w:val="15"/>
                <w:szCs w:val="15"/>
                <w:highlight w:val="none"/>
                <w14:textFill>
                  <w14:solidFill>
                    <w14:schemeClr w14:val="tx1"/>
                  </w14:solidFill>
                </w14:textFill>
              </w:rPr>
              <w:t>－15</w:t>
            </w:r>
            <w:r>
              <w:rPr>
                <w:rFonts w:asciiTheme="minorEastAsia" w:hAnsiTheme="minorEastAsia" w:eastAsiaTheme="minorEastAsia"/>
                <w:color w:val="000000" w:themeColor="text1"/>
                <w:sz w:val="15"/>
                <w:szCs w:val="15"/>
                <w:highlight w:val="none"/>
                <w14:textFill>
                  <w14:solidFill>
                    <w14:schemeClr w14:val="tx1"/>
                  </w14:solidFill>
                </w14:textFill>
              </w:rPr>
              <w:t>00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1；1</w:t>
            </w:r>
            <w:r>
              <w:rPr>
                <w:rFonts w:asciiTheme="minorEastAsia" w:hAnsiTheme="minorEastAsia" w:eastAsiaTheme="minorEastAsia"/>
                <w:color w:val="000000" w:themeColor="text1"/>
                <w:sz w:val="15"/>
                <w:szCs w:val="15"/>
                <w:highlight w:val="none"/>
                <w14:textFill>
                  <w14:solidFill>
                    <w14:schemeClr w14:val="tx1"/>
                  </w14:solidFill>
                </w14:textFill>
              </w:rPr>
              <w:t>500</w:t>
            </w: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5000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建设单位未对超过三个月不能开工的建设用地裸露地面进行绿化、铺装或者遮盖</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1.面积1000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以内，变量系数为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asciiTheme="minorEastAsia" w:hAnsiTheme="minorEastAsia" w:eastAsiaTheme="minorEastAsia"/>
                <w:color w:val="000000" w:themeColor="text1"/>
                <w:sz w:val="15"/>
                <w:szCs w:val="15"/>
                <w:highlight w:val="none"/>
                <w14:textFill>
                  <w14:solidFill>
                    <w14:schemeClr w14:val="tx1"/>
                  </w14:solidFill>
                </w14:textFill>
              </w:rPr>
              <w:t>1000</w:t>
            </w:r>
            <w:r>
              <w:rPr>
                <w:rFonts w:hint="eastAsia" w:asciiTheme="minorEastAsia" w:hAnsiTheme="minorEastAsia" w:eastAsiaTheme="minorEastAsia"/>
                <w:color w:val="000000" w:themeColor="text1"/>
                <w:sz w:val="15"/>
                <w:szCs w:val="15"/>
                <w:highlight w:val="none"/>
                <w14:textFill>
                  <w14:solidFill>
                    <w14:schemeClr w14:val="tx1"/>
                  </w14:solidFill>
                </w14:textFill>
              </w:rPr>
              <w:t>－15</w:t>
            </w:r>
            <w:r>
              <w:rPr>
                <w:rFonts w:asciiTheme="minorEastAsia" w:hAnsiTheme="minorEastAsia" w:eastAsiaTheme="minorEastAsia"/>
                <w:color w:val="000000" w:themeColor="text1"/>
                <w:sz w:val="15"/>
                <w:szCs w:val="15"/>
                <w:highlight w:val="none"/>
                <w14:textFill>
                  <w14:solidFill>
                    <w14:schemeClr w14:val="tx1"/>
                  </w14:solidFill>
                </w14:textFill>
              </w:rPr>
              <w:t>00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1；1</w:t>
            </w:r>
            <w:r>
              <w:rPr>
                <w:rFonts w:asciiTheme="minorEastAsia" w:hAnsiTheme="minorEastAsia" w:eastAsiaTheme="minorEastAsia"/>
                <w:color w:val="000000" w:themeColor="text1"/>
                <w:sz w:val="15"/>
                <w:szCs w:val="15"/>
                <w:highlight w:val="none"/>
                <w14:textFill>
                  <w14:solidFill>
                    <w14:schemeClr w14:val="tx1"/>
                  </w14:solidFill>
                </w14:textFill>
              </w:rPr>
              <w:t>500</w:t>
            </w: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5000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；2.尘土飞扬，对环境造成严重影响的，系数9</w:t>
            </w:r>
          </w:p>
          <w:p>
            <w:pPr>
              <w:spacing w:line="232"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运输散装、流体物料车辆未采取密闭或者</w:t>
            </w: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其</w:t>
            </w:r>
            <w:r>
              <w:rPr>
                <w:rFonts w:hint="eastAsia" w:asciiTheme="minorEastAsia" w:hAnsiTheme="minorEastAsia" w:eastAsiaTheme="minorEastAsia"/>
                <w:color w:val="000000" w:themeColor="text1"/>
                <w:sz w:val="15"/>
                <w:szCs w:val="15"/>
                <w:highlight w:val="none"/>
                <w:shd w:val="clear"/>
                <w:lang w:eastAsia="zh-CN"/>
                <w14:textFill>
                  <w14:solidFill>
                    <w14:schemeClr w14:val="tx1"/>
                  </w14:solidFill>
                </w14:textFill>
              </w:rPr>
              <w:t>他</w:t>
            </w: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措施防</w:t>
            </w:r>
            <w:r>
              <w:rPr>
                <w:rFonts w:hint="eastAsia" w:asciiTheme="minorEastAsia" w:hAnsiTheme="minorEastAsia" w:eastAsiaTheme="minorEastAsia"/>
                <w:color w:val="000000" w:themeColor="text1"/>
                <w:sz w:val="15"/>
                <w:szCs w:val="15"/>
                <w:highlight w:val="none"/>
                <w14:textFill>
                  <w14:solidFill>
                    <w14:schemeClr w14:val="tx1"/>
                  </w14:solidFill>
                </w14:textFill>
              </w:rPr>
              <w:t>止物料遗撒</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泄漏</w:t>
            </w:r>
            <w:r>
              <w:rPr>
                <w:rFonts w:hint="eastAsia" w:asciiTheme="minorEastAsia" w:hAnsiTheme="minorEastAsia" w:eastAsiaTheme="minorEastAsia"/>
                <w:color w:val="000000" w:themeColor="text1"/>
                <w:sz w:val="15"/>
                <w:szCs w:val="15"/>
                <w:highlight w:val="none"/>
                <w14:textFill>
                  <w14:solidFill>
                    <w14:schemeClr w14:val="tx1"/>
                  </w14:solidFill>
                </w14:textFill>
              </w:rPr>
              <w:t>遗撒的，系数4-9。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2000×（1+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易产生扬尘的物料未密闭贮存</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以下的，系数0；11－25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的，系数1；26－40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易产生扬尘的物料不能密闭贮存的，未按规定设置围挡或者未采取有效覆盖措施</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，面积</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装卸物料未采取密闭或者喷淋等方式控制扬尘</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尘土飞扬，对环境造成严重影响的，系数5-9。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填埋场（消纳场）未采取有效措施防治扬尘污染</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产生较大环境污染或者社会影响的，系数为5-8；造成社会恶劣影响或者其它严重后果的，系数为9。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露天焚烧秸秆（落叶）等产生烟尘污染的物质</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1.对大气环境或者生产生活造成较大影响的，系数2-3；2.导致其它事故发生的，系数3。</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焚烧沥青（油毡、橡胶、塑料、皮革、垃圾）等产生有毒有害烟尘和恶臭气体的物质</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违反规定露天烧烤食品</w:t>
            </w:r>
          </w:p>
        </w:tc>
        <w:tc>
          <w:tcPr>
            <w:tcW w:w="2789" w:type="dxa"/>
            <w:shd w:val="clear" w:color="auto" w:fill="auto"/>
            <w:vAlign w:val="center"/>
          </w:tcPr>
          <w:p>
            <w:pPr>
              <w:spacing w:line="20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00"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需要做出其它处罚决定的，报请案审会决定。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违反规定为露天烧烤食品提供场地</w:t>
            </w:r>
          </w:p>
        </w:tc>
        <w:tc>
          <w:tcPr>
            <w:tcW w:w="2789"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2000</w:t>
            </w:r>
          </w:p>
          <w:p>
            <w:pPr>
              <w:spacing w:line="190" w:lineRule="exact"/>
              <w:jc w:val="both"/>
              <w:rPr>
                <w:rFonts w:hint="default" w:cs="宋体" w:asciiTheme="minorEastAsia" w:hAnsiTheme="minorEastAsia" w:eastAsiaTheme="minorEastAsia"/>
                <w:strike/>
                <w:dstrike w:val="0"/>
                <w:color w:val="000000" w:themeColor="text1"/>
                <w:kern w:val="0"/>
                <w:sz w:val="15"/>
                <w:szCs w:val="15"/>
                <w:highlight w:val="none"/>
                <w:lang w:val="en-US" w:eastAsia="zh-CN"/>
                <w14:textFill>
                  <w14:solidFill>
                    <w14:schemeClr w14:val="tx1"/>
                  </w14:solidFill>
                </w14:textFill>
              </w:rPr>
            </w:pP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0"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需酌情给予2000以下罚款的，说明理由，报案审会决定。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拒不执行停止工地土石方作业（建筑物拆除施工）等重污染天气应急措施</w:t>
            </w:r>
          </w:p>
        </w:tc>
        <w:tc>
          <w:tcPr>
            <w:tcW w:w="2789"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17</w:t>
            </w:r>
          </w:p>
        </w:tc>
        <w:tc>
          <w:tcPr>
            <w:tcW w:w="1500"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拒不接受大气环境保护监督检查</w:t>
            </w:r>
          </w:p>
        </w:tc>
        <w:tc>
          <w:tcPr>
            <w:tcW w:w="2789"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18</w:t>
            </w:r>
          </w:p>
        </w:tc>
        <w:tc>
          <w:tcPr>
            <w:tcW w:w="1500" w:type="dxa"/>
            <w:tcBorders>
              <w:bottom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接受大气环境保护监督检查时弄虚作假</w:t>
            </w:r>
          </w:p>
        </w:tc>
        <w:tc>
          <w:tcPr>
            <w:tcW w:w="2789" w:type="dxa"/>
            <w:tcBorders>
              <w:bottom w:val="single" w:color="auto"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000000" w:themeColor="text1"/>
                <w:szCs w:val="15"/>
                <w:highlight w:val="none"/>
                <w14:textFill>
                  <w14:solidFill>
                    <w14:schemeClr w14:val="tx1"/>
                  </w14:solidFill>
                </w14:textFill>
              </w:rPr>
            </w:pPr>
            <w:bookmarkStart w:id="116" w:name="_Toc1112923929"/>
            <w:r>
              <w:rPr>
                <w:rFonts w:hint="eastAsia"/>
                <w:color w:val="000000" w:themeColor="text1"/>
                <w:sz w:val="21"/>
                <w:szCs w:val="21"/>
                <w:highlight w:val="none"/>
                <w14:textFill>
                  <w14:solidFill>
                    <w14:schemeClr w14:val="tx1"/>
                  </w14:solidFill>
                </w14:textFill>
              </w:rPr>
              <w:t>《北京市大气污染防治条例》案由8项</w:t>
            </w:r>
            <w:bookmark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拒不执行空气重污染应急措施</w:t>
            </w:r>
          </w:p>
        </w:tc>
        <w:tc>
          <w:tcPr>
            <w:tcW w:w="2789"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产生较大环境污染或者社会影响的，系数为5-8；造成事故或者其它社会恶劣影响的，系数为9。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strike/>
                <w:dstrike w:val="0"/>
                <w:color w:val="000000" w:themeColor="text1"/>
                <w:kern w:val="0"/>
                <w:sz w:val="15"/>
                <w:szCs w:val="15"/>
                <w:highlight w:val="none"/>
                <w:lang w:eastAsia="zh-CN"/>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露天焚烧秸秆（树叶、枯草）</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strike/>
                <w:dstrike w:val="0"/>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露天焚烧垃圾（电子废物、油毡、橡胶、塑料、皮革、沥青）</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+变量系数+区域系数）</w:t>
            </w:r>
          </w:p>
        </w:tc>
        <w:tc>
          <w:tcPr>
            <w:tcW w:w="238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strike/>
                <w:dstrike w:val="0"/>
                <w:color w:val="000000" w:themeColor="text1"/>
                <w:sz w:val="15"/>
                <w:szCs w:val="15"/>
                <w:highlight w:val="none"/>
                <w14:textFill>
                  <w14:solidFill>
                    <w14:schemeClr w14:val="tx1"/>
                  </w14:solidFill>
                </w14:textFill>
              </w:rPr>
            </w:pPr>
          </w:p>
        </w:tc>
        <w:tc>
          <w:tcPr>
            <w:tcW w:w="824" w:type="dxa"/>
            <w:vMerge w:val="restart"/>
            <w:shd w:val="clear" w:color="auto" w:fill="auto"/>
            <w:vAlign w:val="center"/>
          </w:tcPr>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1.对大气环境或者生产生活造成较大影响的，系数2-3；2.导致事故发生或者其它恶劣影响的，系数为3。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+变量系数+区域系数）</w:t>
            </w:r>
          </w:p>
        </w:tc>
        <w:tc>
          <w:tcPr>
            <w:tcW w:w="238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vMerge w:val="continue"/>
            <w:shd w:val="clear" w:color="auto" w:fill="auto"/>
            <w:vAlign w:val="center"/>
          </w:tcPr>
          <w:p>
            <w:pPr>
              <w:spacing w:line="20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5"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在政府划定的禁止范围内露天烧烤食品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kern w:val="32"/>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违反条款：第六十一条第二款；处罚条款：第一百一十条第二款：</w:t>
            </w:r>
            <w:r>
              <w:rPr>
                <w:rFonts w:asciiTheme="minorEastAsia" w:hAnsiTheme="minorEastAsia" w:eastAsiaTheme="minorEastAsia"/>
                <w:color w:val="000000" w:themeColor="text1"/>
                <w:kern w:val="32"/>
                <w:sz w:val="15"/>
                <w:szCs w:val="15"/>
                <w:highlight w:val="none"/>
                <w14:textFill>
                  <w14:solidFill>
                    <w14:schemeClr w14:val="tx1"/>
                  </w14:solidFill>
                </w14:textFill>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z w:val="15"/>
                <w:szCs w:val="15"/>
                <w:highlight w:val="none"/>
                <w14:textFill>
                  <w14:solidFill>
                    <w14:schemeClr w14:val="tx1"/>
                  </w14:solidFill>
                </w14:textFill>
              </w:rPr>
              <w:t>根据案件情形，需要作出公式之外其它罚款额度处罚的，报案审会决定。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7"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为露天烧烤食品提供场地</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000000" w:themeColor="text1"/>
                <w:kern w:val="32"/>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违反条款：第六十一条第二款； 处罚条款：第一百一十条第二款：</w:t>
            </w:r>
            <w:r>
              <w:rPr>
                <w:rFonts w:asciiTheme="minorEastAsia" w:hAnsiTheme="minorEastAsia" w:eastAsiaTheme="minorEastAsia"/>
                <w:color w:val="000000" w:themeColor="text1"/>
                <w:kern w:val="32"/>
                <w:sz w:val="15"/>
                <w:szCs w:val="15"/>
                <w:highlight w:val="none"/>
                <w14:textFill>
                  <w14:solidFill>
                    <w14:schemeClr w14:val="tx1"/>
                  </w14:solidFill>
                </w14:textFill>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需酌情给予2000以下罚款的，说明理由，报案审会决定。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7"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7</w:t>
            </w:r>
          </w:p>
        </w:tc>
        <w:tc>
          <w:tcPr>
            <w:tcW w:w="1500"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运输散装、流体物料车辆不符合条件（未安装卫星定位系统、未密闭运输）</w:t>
            </w:r>
          </w:p>
        </w:tc>
        <w:tc>
          <w:tcPr>
            <w:tcW w:w="2789"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违反条款：第八十三条；处罚条款：第一百二十一条：责令改正，处二千元以上二万以下罚款；拒不改正的，车辆不得上道路行驶。</w:t>
            </w:r>
          </w:p>
        </w:tc>
        <w:tc>
          <w:tcPr>
            <w:tcW w:w="851"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车辆同时存在不符合条件、未安装卫星定位系统、未密闭等2种以上（含2种）行为的，系数4；造成</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泄漏</w:t>
            </w:r>
            <w:r>
              <w:rPr>
                <w:rFonts w:hint="eastAsia" w:asciiTheme="minorEastAsia" w:hAnsiTheme="minorEastAsia" w:eastAsiaTheme="minorEastAsia"/>
                <w:color w:val="000000" w:themeColor="text1"/>
                <w:sz w:val="15"/>
                <w:szCs w:val="15"/>
                <w:highlight w:val="none"/>
                <w14:textFill>
                  <w14:solidFill>
                    <w14:schemeClr w14:val="tx1"/>
                  </w14:solidFill>
                </w14:textFill>
              </w:rPr>
              <w:t>遗撒的，系数4-9。</w:t>
            </w:r>
          </w:p>
        </w:tc>
        <w:tc>
          <w:tcPr>
            <w:tcW w:w="17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2000×（1+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8</w:t>
            </w:r>
          </w:p>
        </w:tc>
        <w:tc>
          <w:tcPr>
            <w:tcW w:w="1500"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建筑垃圾资源化处置场（渣土消纳场、燃煤电厂贮灰场、垃圾填埋场）未实施分区作业或者未采取措施防治扬尘污染</w:t>
            </w:r>
          </w:p>
        </w:tc>
        <w:tc>
          <w:tcPr>
            <w:tcW w:w="2789"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04" w:type="dxa"/>
            <w:shd w:val="clear" w:color="auto" w:fill="auto"/>
            <w:vAlign w:val="center"/>
          </w:tcPr>
          <w:p>
            <w:pPr>
              <w:spacing w:line="240"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产生较大环境污染或者社会影响的，系数为5-8；造成社会恶劣影响或者其它严重后果的，系数为9。</w:t>
            </w:r>
          </w:p>
        </w:tc>
        <w:tc>
          <w:tcPr>
            <w:tcW w:w="17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85" w:type="dxa"/>
            <w:shd w:val="clear" w:color="auto" w:fill="auto"/>
            <w:vAlign w:val="center"/>
          </w:tcPr>
          <w:p>
            <w:pPr>
              <w:spacing w:line="24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需要做出其它处罚决定的，报请案审会决定。</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17" w:name="_Toc110851471"/>
            <w:bookmarkStart w:id="118" w:name="_Toc1745180410"/>
            <w:bookmarkStart w:id="119" w:name="_Toc2026065898"/>
            <w:r>
              <w:rPr>
                <w:rFonts w:hint="eastAsia" w:asciiTheme="minorEastAsia" w:hAnsiTheme="minorEastAsia" w:eastAsiaTheme="minorEastAsia"/>
                <w:color w:val="000000" w:themeColor="text1"/>
                <w:sz w:val="21"/>
                <w:szCs w:val="21"/>
                <w:highlight w:val="none"/>
                <w14:textFill>
                  <w14:solidFill>
                    <w14:schemeClr w14:val="tx1"/>
                  </w14:solidFill>
                </w14:textFill>
              </w:rPr>
              <w:t>《北京市环境噪声污染防治办法》案由</w:t>
            </w:r>
            <w:r>
              <w:rPr>
                <w:rFonts w:hint="eastAsia" w:asciiTheme="minorEastAsia" w:hAnsiTheme="minorEastAsia" w:eastAsiaTheme="minorEastAsia"/>
                <w:color w:val="000000" w:themeColor="text1"/>
                <w:sz w:val="21"/>
                <w:szCs w:val="21"/>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21"/>
                <w:szCs w:val="21"/>
                <w:highlight w:val="none"/>
                <w14:textFill>
                  <w14:solidFill>
                    <w14:schemeClr w14:val="tx1"/>
                  </w14:solidFill>
                </w14:textFill>
              </w:rPr>
              <w:t>项</w:t>
            </w:r>
            <w:bookmarkEnd w:id="117"/>
            <w:bookmarkEnd w:id="118"/>
            <w:bookmarkEnd w:id="1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2" w:hRule="atLeast"/>
          <w:jc w:val="center"/>
        </w:trPr>
        <w:tc>
          <w:tcPr>
            <w:tcW w:w="940" w:type="dxa"/>
            <w:shd w:val="clear" w:color="auto" w:fill="auto"/>
            <w:vAlign w:val="center"/>
          </w:tcPr>
          <w:p>
            <w:pPr>
              <w:spacing w:line="240"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特殊时段在噪声敏感建筑物集中区域内从事产生噪声的施工作业</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违反条款：第十七条；</w:t>
            </w:r>
          </w:p>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tabs>
                <w:tab w:val="left" w:pos="312"/>
              </w:tabs>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000000" w:themeColor="text1"/>
                <w:kern w:val="0"/>
                <w:sz w:val="21"/>
                <w:szCs w:val="21"/>
                <w:highlight w:val="none"/>
                <w14:textFill>
                  <w14:solidFill>
                    <w14:schemeClr w14:val="tx1"/>
                  </w14:solidFill>
                </w14:textFill>
              </w:rPr>
            </w:pPr>
            <w:bookmarkStart w:id="120" w:name="_Toc110851472"/>
            <w:bookmarkStart w:id="121" w:name="_Toc193344115"/>
            <w:bookmarkStart w:id="122" w:name="_Toc1713601146"/>
            <w:r>
              <w:rPr>
                <w:rStyle w:val="32"/>
                <w:rFonts w:hint="eastAsia" w:asciiTheme="minorEastAsia" w:hAnsiTheme="minorEastAsia" w:eastAsiaTheme="minorEastAsia"/>
                <w:color w:val="000000" w:themeColor="text1"/>
                <w:sz w:val="21"/>
                <w:szCs w:val="21"/>
                <w:highlight w:val="none"/>
                <w14:textFill>
                  <w14:solidFill>
                    <w14:schemeClr w14:val="tx1"/>
                  </w14:solidFill>
                </w14:textFill>
              </w:rPr>
              <w:t>《中华人民共和国噪声污染防治法》案由</w:t>
            </w:r>
            <w:r>
              <w:rPr>
                <w:rStyle w:val="32"/>
                <w:rFonts w:hint="eastAsia" w:asciiTheme="minorEastAsia" w:hAnsiTheme="minorEastAsia" w:eastAsiaTheme="minorEastAsia"/>
                <w:color w:val="000000" w:themeColor="text1"/>
                <w:sz w:val="21"/>
                <w:szCs w:val="21"/>
                <w:highlight w:val="none"/>
                <w:lang w:val="en-US" w:eastAsia="zh-CN"/>
                <w14:textFill>
                  <w14:solidFill>
                    <w14:schemeClr w14:val="tx1"/>
                  </w14:solidFill>
                </w14:textFill>
              </w:rPr>
              <w:t>6</w:t>
            </w:r>
            <w:r>
              <w:rPr>
                <w:rStyle w:val="32"/>
                <w:rFonts w:hint="eastAsia" w:asciiTheme="minorEastAsia" w:hAnsiTheme="minorEastAsia" w:eastAsiaTheme="minorEastAsia"/>
                <w:color w:val="000000" w:themeColor="text1"/>
                <w:sz w:val="21"/>
                <w:szCs w:val="21"/>
                <w:highlight w:val="none"/>
                <w14:textFill>
                  <w14:solidFill>
                    <w14:schemeClr w14:val="tx1"/>
                  </w14:solidFill>
                </w14:textFill>
              </w:rPr>
              <w:t>项</w:t>
            </w:r>
            <w:bookmarkEnd w:id="120"/>
            <w:bookmarkEnd w:id="121"/>
            <w:bookmarkEnd w:id="12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未取得证明夜间施工</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违反条款：第四十三条第二款；</w:t>
            </w:r>
          </w:p>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20" w:lineRule="exact"/>
              <w:rPr>
                <w:color w:val="000000" w:themeColor="text1"/>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未按照规定制定噪声污染防治实施方案</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违反条款：第四十条第二款 ；</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1.大型建设工程，开工时间较长，工地位置处于人口集中区域等情形的</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系数1-4</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2.造成投诉举报较多，或者其他社会恶劣影响的</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系数5-9</w:t>
            </w:r>
            <w:r>
              <w:rPr>
                <w:rFonts w:hint="eastAsia" w:asciiTheme="minorEastAsia" w:hAnsiTheme="minorEastAsia" w:eastAsiaTheme="minorEastAsia"/>
                <w:color w:val="000000" w:themeColor="text1"/>
                <w:sz w:val="15"/>
                <w:szCs w:val="15"/>
                <w:highlight w:val="none"/>
                <w:lang w:val="en"/>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1.大型建设工程</w:t>
            </w:r>
            <w:r>
              <w:rPr>
                <w:rFonts w:hint="eastAsia" w:asciiTheme="minorEastAsia" w:hAnsiTheme="minorEastAsia" w:eastAsiaTheme="minorEastAsia"/>
                <w:color w:val="000000" w:themeColor="text1"/>
                <w:sz w:val="15"/>
                <w:szCs w:val="15"/>
                <w:highlight w:val="none"/>
                <w:lang w:val="en"/>
                <w14:textFill>
                  <w14:solidFill>
                    <w14:schemeClr w14:val="tx1"/>
                  </w14:solidFill>
                </w14:textFill>
              </w:rPr>
              <w:t>是指</w:t>
            </w:r>
            <w:r>
              <w:rPr>
                <w:rFonts w:hint="eastAsia" w:asciiTheme="minorEastAsia" w:hAnsiTheme="minorEastAsia" w:eastAsiaTheme="minorEastAsia"/>
                <w:color w:val="000000" w:themeColor="text1"/>
                <w:sz w:val="15"/>
                <w:szCs w:val="15"/>
                <w:highlight w:val="none"/>
                <w14:textFill>
                  <w14:solidFill>
                    <w14:schemeClr w14:val="tx1"/>
                  </w14:solidFill>
                </w14:textFill>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1.大型建设工程，开工时间较长，工地位置处于人口集中区域等情形的</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系数1</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2.造成投诉举报较多，或者其他社会恶劣影响的</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系数2-3</w:t>
            </w:r>
            <w:r>
              <w:rPr>
                <w:rFonts w:hint="eastAsia" w:asciiTheme="minorEastAsia" w:hAnsiTheme="minorEastAsia" w:eastAsiaTheme="minorEastAsia"/>
                <w:color w:val="000000" w:themeColor="text1"/>
                <w:sz w:val="15"/>
                <w:szCs w:val="15"/>
                <w:highlight w:val="none"/>
                <w:lang w:val="en"/>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建设单位夜间施工未按照规定公告</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违反条款：第四十三条第二款；</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1.未公告</w:t>
            </w:r>
            <w:r>
              <w:rPr>
                <w:rFonts w:hint="eastAsia" w:asciiTheme="minorEastAsia" w:hAnsiTheme="minorEastAsia" w:eastAsiaTheme="minorEastAsia"/>
                <w:color w:val="000000" w:themeColor="text1"/>
                <w:sz w:val="15"/>
                <w:szCs w:val="15"/>
                <w:highlight w:val="none"/>
                <w:lang w:val="en"/>
                <w14:textFill>
                  <w14:solidFill>
                    <w14:schemeClr w14:val="tx1"/>
                  </w14:solidFill>
                </w14:textFill>
              </w:rPr>
              <w:t>持续</w:t>
            </w:r>
            <w:r>
              <w:rPr>
                <w:rFonts w:hint="eastAsia" w:asciiTheme="minorEastAsia" w:hAnsiTheme="minorEastAsia" w:eastAsiaTheme="minorEastAsia"/>
                <w:color w:val="000000" w:themeColor="text1"/>
                <w:sz w:val="15"/>
                <w:szCs w:val="15"/>
                <w:highlight w:val="none"/>
                <w14:textFill>
                  <w14:solidFill>
                    <w14:schemeClr w14:val="tx1"/>
                  </w14:solidFill>
                </w14:textFill>
              </w:rPr>
              <w:t>时间较长，或者公告内容不全的</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系数1-4</w:t>
            </w:r>
            <w:r>
              <w:rPr>
                <w:rFonts w:asciiTheme="minorEastAsia" w:hAnsiTheme="minorEastAsia" w:eastAsiaTheme="minorEastAsia"/>
                <w:color w:val="000000" w:themeColor="text1"/>
                <w:sz w:val="15"/>
                <w:szCs w:val="15"/>
                <w:highlight w:val="none"/>
                <w:lang w:val="en"/>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造成投诉举报较多，或者其他社会恶劣影响的</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系数5-9。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《北京市环境噪声污染防治办法》的“进行夜间施工作业未公告相关内容”停止执行。</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1.未公告</w:t>
            </w:r>
            <w:r>
              <w:rPr>
                <w:rFonts w:hint="eastAsia" w:asciiTheme="minorEastAsia" w:hAnsiTheme="minorEastAsia" w:eastAsiaTheme="minorEastAsia"/>
                <w:color w:val="000000" w:themeColor="text1"/>
                <w:sz w:val="15"/>
                <w:szCs w:val="15"/>
                <w:highlight w:val="none"/>
                <w:lang w:val="en"/>
                <w14:textFill>
                  <w14:solidFill>
                    <w14:schemeClr w14:val="tx1"/>
                  </w14:solidFill>
                </w14:textFill>
              </w:rPr>
              <w:t>持续</w:t>
            </w:r>
            <w:r>
              <w:rPr>
                <w:rFonts w:hint="eastAsia" w:asciiTheme="minorEastAsia" w:hAnsiTheme="minorEastAsia" w:eastAsiaTheme="minorEastAsia"/>
                <w:color w:val="000000" w:themeColor="text1"/>
                <w:sz w:val="15"/>
                <w:szCs w:val="15"/>
                <w:highlight w:val="none"/>
                <w14:textFill>
                  <w14:solidFill>
                    <w14:schemeClr w14:val="tx1"/>
                  </w14:solidFill>
                </w14:textFill>
              </w:rPr>
              <w:t>时间较长，或者公告内容不全</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系数1</w:t>
            </w:r>
            <w:r>
              <w:rPr>
                <w:rFonts w:asciiTheme="minorEastAsia" w:hAnsiTheme="minorEastAsia" w:eastAsiaTheme="minorEastAsia"/>
                <w:color w:val="000000" w:themeColor="text1"/>
                <w:sz w:val="15"/>
                <w:szCs w:val="15"/>
                <w:highlight w:val="none"/>
                <w:lang w:val="en"/>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造成投诉举报较多，或者其他社会恶劣影响的</w:t>
            </w:r>
            <w:r>
              <w:rPr>
                <w:rFonts w:asciiTheme="minorEastAsia" w:hAnsiTheme="minorEastAsia" w:eastAsiaTheme="minorEastAsia"/>
                <w:color w:val="000000" w:themeColor="text1"/>
                <w:sz w:val="15"/>
                <w:szCs w:val="15"/>
                <w:highlight w:val="none"/>
                <w:lang w:val="en"/>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系数2-3</w:t>
            </w:r>
            <w:r>
              <w:rPr>
                <w:rFonts w:hint="eastAsia" w:asciiTheme="minorEastAsia" w:hAnsiTheme="minorEastAsia" w:eastAsiaTheme="minorEastAsia"/>
                <w:color w:val="000000" w:themeColor="text1"/>
                <w:sz w:val="15"/>
                <w:szCs w:val="15"/>
                <w:highlight w:val="none"/>
                <w:lang w:val="en"/>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bookmarkStart w:id="123" w:name="_Toc110851473"/>
            <w:bookmarkStart w:id="124" w:name="_Toc760985315"/>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4</w:t>
            </w:r>
          </w:p>
        </w:tc>
        <w:tc>
          <w:tcPr>
            <w:tcW w:w="1500" w:type="dxa"/>
            <w:shd w:val="clear" w:color="auto" w:fill="auto"/>
            <w:vAlign w:val="center"/>
          </w:tcPr>
          <w:p>
            <w:pPr>
              <w:spacing w:line="232" w:lineRule="exact"/>
              <w:rPr>
                <w:rFonts w:ascii="宋体" w:hAnsi="宋体" w:eastAsia="宋体" w:cs="宋体"/>
                <w:color w:val="000000" w:themeColor="text1"/>
                <w:kern w:val="0"/>
                <w:sz w:val="15"/>
                <w:szCs w:val="15"/>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在噪声敏感建筑物禁止建设区域新建与航空无关的噪声敏感建筑物</w:t>
            </w:r>
          </w:p>
        </w:tc>
        <w:tc>
          <w:tcPr>
            <w:tcW w:w="2789" w:type="dxa"/>
            <w:shd w:val="clear" w:color="auto" w:fill="auto"/>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lang w:eastAsia="zh-CN"/>
                <w14:textFill>
                  <w14:solidFill>
                    <w14:schemeClr w14:val="tx1"/>
                  </w14:solidFill>
                </w14:textFill>
              </w:rPr>
              <w:t>违反条款：</w:t>
            </w:r>
            <w:r>
              <w:rPr>
                <w:rFonts w:hint="eastAsia" w:ascii="宋体" w:hAnsi="宋体" w:eastAsia="宋体" w:cs="宋体"/>
                <w:color w:val="000000" w:themeColor="text1"/>
                <w:kern w:val="0"/>
                <w:sz w:val="15"/>
                <w:szCs w:val="15"/>
                <w:highlight w:val="none"/>
                <w14:textFill>
                  <w14:solidFill>
                    <w14:schemeClr w14:val="tx1"/>
                  </w14:solidFill>
                </w14:textFill>
              </w:rPr>
              <w:t>第五十二条第二款</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p>
            <w:pPr>
              <w:spacing w:line="232" w:lineRule="exact"/>
              <w:rPr>
                <w:rFonts w:ascii="宋体" w:hAnsi="宋体" w:eastAsia="宋体" w:cs="宋体"/>
                <w:color w:val="000000" w:themeColor="text1"/>
                <w:kern w:val="0"/>
                <w:sz w:val="15"/>
                <w:szCs w:val="15"/>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处罚条款：第七十三条第二款</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r>
              <w:rPr>
                <w:rFonts w:hint="eastAsia" w:ascii="宋体" w:hAnsi="宋体" w:eastAsia="宋体" w:cs="宋体"/>
                <w:color w:val="000000" w:themeColor="text1"/>
                <w:kern w:val="0"/>
                <w:sz w:val="15"/>
                <w:szCs w:val="15"/>
                <w:highlight w:val="none"/>
                <w14:textFill>
                  <w14:solidFill>
                    <w14:schemeClr w14:val="tx1"/>
                  </w14:solidFill>
                </w14:textFill>
              </w:rPr>
              <w:t>责令停止违法行为，处建设工程合同价款百分之二以上百分之十以下的罚款，并报经有批准权的人民政府批准，责令拆除。</w:t>
            </w:r>
          </w:p>
        </w:tc>
        <w:tc>
          <w:tcPr>
            <w:tcW w:w="851" w:type="dxa"/>
            <w:shd w:val="clear" w:color="auto" w:fill="auto"/>
            <w:vAlign w:val="center"/>
          </w:tcPr>
          <w:p>
            <w:pPr>
              <w:spacing w:line="232" w:lineRule="exact"/>
              <w:jc w:val="center"/>
              <w:rPr>
                <w:rFonts w:hint="eastAsia" w:ascii="宋体" w:hAnsi="宋体"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宋体" w:hAnsi="宋体"/>
                <w:color w:val="000000" w:themeColor="text1"/>
                <w:sz w:val="15"/>
                <w:szCs w:val="15"/>
                <w:highlight w:val="none"/>
                <w:lang w:eastAsia="zh-CN"/>
                <w14:textFill>
                  <w14:solidFill>
                    <w14:schemeClr w14:val="tx1"/>
                  </w14:solidFill>
                </w14:textFill>
              </w:rPr>
              <w:t>建设工程合同价款</w:t>
            </w:r>
          </w:p>
        </w:tc>
        <w:tc>
          <w:tcPr>
            <w:tcW w:w="840" w:type="dxa"/>
            <w:shd w:val="clear" w:color="auto" w:fill="auto"/>
            <w:vAlign w:val="center"/>
          </w:tcPr>
          <w:p>
            <w:pPr>
              <w:spacing w:line="232" w:lineRule="exact"/>
              <w:jc w:val="center"/>
              <w:rPr>
                <w:rFonts w:hint="eastAsia" w:ascii="宋体" w:hAnsi="宋体"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宋体" w:hAnsi="宋体"/>
                <w:color w:val="000000" w:themeColor="text1"/>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hint="eastAsia" w:ascii="宋体" w:hAnsi="宋体"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宋体" w:hAnsi="宋体" w:eastAsia="宋体"/>
                <w:color w:val="000000" w:themeColor="text1"/>
                <w:sz w:val="15"/>
                <w:szCs w:val="15"/>
                <w:highlight w:val="none"/>
                <w:lang w:val="en-US" w:eastAsia="zh-CN"/>
                <w14:textFill>
                  <w14:solidFill>
                    <w14:schemeClr w14:val="tx1"/>
                  </w14:solidFill>
                </w14:textFill>
              </w:rPr>
              <w:t>1.拒不改正</w:t>
            </w:r>
            <w:r>
              <w:rPr>
                <w:rFonts w:hint="eastAsia" w:ascii="宋体" w:hAnsi="宋体"/>
                <w:color w:val="000000" w:themeColor="text1"/>
                <w:sz w:val="15"/>
                <w:szCs w:val="15"/>
                <w:highlight w:val="none"/>
                <w:lang w:val="en-US" w:eastAsia="zh-CN"/>
                <w14:textFill>
                  <w14:solidFill>
                    <w14:schemeClr w14:val="tx1"/>
                  </w14:solidFill>
                </w14:textFill>
              </w:rPr>
              <w:t>，</w:t>
            </w:r>
            <w:r>
              <w:rPr>
                <w:rFonts w:hint="eastAsia" w:ascii="宋体" w:hAnsi="宋体" w:eastAsia="宋体"/>
                <w:color w:val="000000" w:themeColor="text1"/>
                <w:sz w:val="15"/>
                <w:szCs w:val="15"/>
                <w:highlight w:val="none"/>
                <w:lang w:val="en-US" w:eastAsia="zh-CN"/>
                <w14:textFill>
                  <w14:solidFill>
                    <w14:schemeClr w14:val="tx1"/>
                  </w14:solidFill>
                </w14:textFill>
              </w:rPr>
              <w:t>或者投诉举报较多的，系数1-2;2.存在较大安全隐患或者造成社会恶劣影响的，系数3-4。</w:t>
            </w:r>
          </w:p>
        </w:tc>
        <w:tc>
          <w:tcPr>
            <w:tcW w:w="1785" w:type="dxa"/>
            <w:shd w:val="clear" w:color="auto" w:fill="auto"/>
            <w:vAlign w:val="center"/>
          </w:tcPr>
          <w:p>
            <w:pPr>
              <w:spacing w:line="232" w:lineRule="exact"/>
              <w:rPr>
                <w:rFonts w:hint="eastAsia" w:ascii="宋体" w:hAnsi="宋体" w:eastAsia="宋体" w:cs="宋体"/>
                <w:color w:val="000000" w:themeColor="text1"/>
                <w:kern w:val="0"/>
                <w:sz w:val="15"/>
                <w:szCs w:val="15"/>
                <w:highlight w:val="none"/>
                <w:lang w:val="en-US" w:eastAsia="zh-CN" w:bidi="ar-SA"/>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罚款数额＝</w:t>
            </w:r>
            <w:r>
              <w:rPr>
                <w:rFonts w:hint="eastAsia" w:ascii="宋体" w:hAnsi="宋体"/>
                <w:color w:val="000000" w:themeColor="text1"/>
                <w:sz w:val="15"/>
                <w:szCs w:val="15"/>
                <w:highlight w:val="none"/>
                <w:lang w:eastAsia="zh-CN"/>
                <w14:textFill>
                  <w14:solidFill>
                    <w14:schemeClr w14:val="tx1"/>
                  </w14:solidFill>
                </w14:textFill>
              </w:rPr>
              <w:t>建设工程合同价款</w:t>
            </w:r>
            <w:r>
              <w:rPr>
                <w:rFonts w:hint="eastAsia" w:ascii="宋体" w:hAnsi="宋体" w:eastAsia="宋体"/>
                <w:color w:val="000000" w:themeColor="text1"/>
                <w:sz w:val="15"/>
                <w:szCs w:val="15"/>
                <w:highlight w:val="none"/>
                <w14:textFill>
                  <w14:solidFill>
                    <w14:schemeClr w14:val="tx1"/>
                  </w14:solidFill>
                </w14:textFill>
              </w:rPr>
              <w:t>×</w:t>
            </w:r>
            <w:r>
              <w:rPr>
                <w:rFonts w:hint="eastAsia" w:ascii="宋体" w:hAnsi="宋体" w:eastAsia="宋体"/>
                <w:color w:val="000000" w:themeColor="text1"/>
                <w:sz w:val="15"/>
                <w:szCs w:val="15"/>
                <w:highlight w:val="none"/>
                <w:lang w:val="en-US" w:eastAsia="zh-CN"/>
                <w14:textFill>
                  <w14:solidFill>
                    <w14:schemeClr w14:val="tx1"/>
                  </w14:solidFill>
                </w14:textFill>
              </w:rPr>
              <w:t>2%</w:t>
            </w:r>
            <w:r>
              <w:rPr>
                <w:rFonts w:hint="eastAsia" w:ascii="宋体" w:hAnsi="宋体" w:eastAsia="宋体"/>
                <w:color w:val="000000" w:themeColor="text1"/>
                <w:sz w:val="15"/>
                <w:szCs w:val="15"/>
                <w:highlight w:val="none"/>
                <w14:textFill>
                  <w14:solidFill>
                    <w14:schemeClr w14:val="tx1"/>
                  </w14:solidFill>
                </w14:textFill>
              </w:rPr>
              <w:t>×（1＋变量系数）</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restart"/>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未按照规定将噪声污染防治费用列入工程造价</w:t>
            </w:r>
          </w:p>
        </w:tc>
        <w:tc>
          <w:tcPr>
            <w:tcW w:w="2789" w:type="dxa"/>
            <w:vMerge w:val="restart"/>
            <w:shd w:val="clear" w:color="auto" w:fill="auto"/>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违反条款：第四十条第一款</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处罚条款：第七十八条第（一）项</w:t>
            </w:r>
            <w:r>
              <w:rPr>
                <w:rFonts w:hint="eastAsia" w:ascii="宋体" w:hAnsi="宋体" w:eastAsia="宋体" w:cs="宋体"/>
                <w:color w:val="000000" w:themeColor="text1"/>
                <w:kern w:val="0"/>
                <w:sz w:val="15"/>
                <w:szCs w:val="15"/>
                <w:highlight w:val="none"/>
                <w:lang w:eastAsia="zh-CN"/>
                <w14:textFill>
                  <w14:solidFill>
                    <w14:schemeClr w14:val="tx1"/>
                  </w14:solidFill>
                </w14:textFill>
              </w:rPr>
              <w:t>，</w:t>
            </w:r>
            <w:r>
              <w:rPr>
                <w:rFonts w:hint="eastAsia" w:ascii="宋体" w:hAnsi="宋体" w:eastAsia="宋体" w:cs="宋体"/>
                <w:color w:val="000000" w:themeColor="text1"/>
                <w:kern w:val="0"/>
                <w:sz w:val="15"/>
                <w:szCs w:val="15"/>
                <w:highlight w:val="none"/>
                <w14:textFill>
                  <w14:solidFill>
                    <w14:schemeClr w14:val="tx1"/>
                  </w14:solidFill>
                </w14:textFill>
              </w:rPr>
              <w:t>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lang w:val="en-US" w:eastAsia="zh-CN"/>
                <w14:textFill>
                  <w14:solidFill>
                    <w14:schemeClr w14:val="tx1"/>
                  </w14:solidFill>
                </w14:textFill>
              </w:rPr>
              <w:t>5000</w:t>
            </w:r>
          </w:p>
        </w:tc>
        <w:tc>
          <w:tcPr>
            <w:tcW w:w="840"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1.开工时间较长，工地位置处于人口集中区域等情形的</w:t>
            </w:r>
            <w:r>
              <w:rPr>
                <w:rFonts w:hint="eastAsia" w:ascii="宋体" w:hAnsi="宋体" w:eastAsia="宋体"/>
                <w:color w:val="000000" w:themeColor="text1"/>
                <w:sz w:val="15"/>
                <w:szCs w:val="15"/>
                <w:highlight w:val="none"/>
                <w:lang w:val="e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系数1-4</w:t>
            </w:r>
            <w:r>
              <w:rPr>
                <w:rFonts w:hint="eastAsia" w:ascii="宋体" w:hAnsi="宋体" w:eastAsia="宋体"/>
                <w:color w:val="000000" w:themeColor="text1"/>
                <w:sz w:val="15"/>
                <w:szCs w:val="15"/>
                <w:highlight w:val="none"/>
                <w:lang w:val="e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2.投诉举报较多，或者</w:t>
            </w:r>
            <w:r>
              <w:rPr>
                <w:rFonts w:hint="eastAsia" w:ascii="宋体" w:hAnsi="宋体"/>
                <w:color w:val="000000" w:themeColor="text1"/>
                <w:sz w:val="15"/>
                <w:szCs w:val="15"/>
                <w:highlight w:val="none"/>
                <w:lang w:eastAsia="zh-CN"/>
                <w14:textFill>
                  <w14:solidFill>
                    <w14:schemeClr w14:val="tx1"/>
                  </w14:solidFill>
                </w14:textFill>
              </w:rPr>
              <w:t>造成</w:t>
            </w:r>
            <w:r>
              <w:rPr>
                <w:rFonts w:hint="eastAsia" w:ascii="宋体" w:hAnsi="宋体" w:eastAsia="宋体"/>
                <w:color w:val="000000" w:themeColor="text1"/>
                <w:sz w:val="15"/>
                <w:szCs w:val="15"/>
                <w:highlight w:val="none"/>
                <w14:textFill>
                  <w14:solidFill>
                    <w14:schemeClr w14:val="tx1"/>
                  </w14:solidFill>
                </w14:textFill>
              </w:rPr>
              <w:t>其他社会恶劣影响的</w:t>
            </w:r>
            <w:r>
              <w:rPr>
                <w:rFonts w:hint="eastAsia" w:ascii="宋体" w:hAnsi="宋体" w:eastAsia="宋体"/>
                <w:color w:val="000000" w:themeColor="text1"/>
                <w:sz w:val="15"/>
                <w:szCs w:val="15"/>
                <w:highlight w:val="none"/>
                <w:lang w:val="en" w:eastAsia="zh-C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系数5-9</w:t>
            </w:r>
            <w:r>
              <w:rPr>
                <w:rFonts w:hint="eastAsia" w:ascii="宋体" w:hAnsi="宋体" w:eastAsia="宋体"/>
                <w:color w:val="000000" w:themeColor="text1"/>
                <w:sz w:val="15"/>
                <w:szCs w:val="15"/>
                <w:highlight w:val="none"/>
                <w:lang w:val="en"/>
                <w14:textFill>
                  <w14:solidFill>
                    <w14:schemeClr w14:val="tx1"/>
                  </w14:solidFill>
                </w14:textFill>
              </w:rPr>
              <w:t>。</w:t>
            </w:r>
          </w:p>
        </w:tc>
        <w:tc>
          <w:tcPr>
            <w:tcW w:w="17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罚款数额＝5000×（1＋</w:t>
            </w:r>
            <w:r>
              <w:rPr>
                <w:rFonts w:hint="eastAsia" w:ascii="宋体" w:hAnsi="宋体" w:eastAsia="宋体"/>
                <w:color w:val="000000" w:themeColor="text1"/>
                <w:sz w:val="15"/>
                <w:szCs w:val="15"/>
                <w:highlight w:val="none"/>
                <w:lang w:eastAsia="zh-CN"/>
                <w14:textFill>
                  <w14:solidFill>
                    <w14:schemeClr w14:val="tx1"/>
                  </w14:solidFill>
                </w14:textFill>
              </w:rPr>
              <w:t>常量系数</w:t>
            </w:r>
            <w:r>
              <w:rPr>
                <w:rFonts w:hint="eastAsia" w:ascii="宋体" w:hAnsi="宋体" w:eastAsia="宋体"/>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lang w:val="en-US" w:eastAsia="zh-CN"/>
                <w14:textFill>
                  <w14:solidFill>
                    <w14:schemeClr w14:val="tx1"/>
                  </w14:solidFill>
                </w14:textFill>
              </w:rPr>
              <w:t>50000（拒不改正）</w:t>
            </w:r>
          </w:p>
        </w:tc>
        <w:tc>
          <w:tcPr>
            <w:tcW w:w="840"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1.开工时间较长，工地位置处于人口集中区域等情形的</w:t>
            </w:r>
            <w:r>
              <w:rPr>
                <w:rFonts w:ascii="宋体" w:hAnsi="宋体" w:eastAsia="宋体"/>
                <w:color w:val="000000" w:themeColor="text1"/>
                <w:sz w:val="15"/>
                <w:szCs w:val="15"/>
                <w:highlight w:val="none"/>
                <w:lang w:val="e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系数1</w:t>
            </w:r>
            <w:r>
              <w:rPr>
                <w:rFonts w:ascii="宋体" w:hAnsi="宋体" w:eastAsia="宋体"/>
                <w:color w:val="000000" w:themeColor="text1"/>
                <w:sz w:val="15"/>
                <w:szCs w:val="15"/>
                <w:highlight w:val="none"/>
                <w:lang w:val="e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2.投诉举报较多，或者</w:t>
            </w:r>
            <w:r>
              <w:rPr>
                <w:rFonts w:hint="eastAsia" w:ascii="宋体" w:hAnsi="宋体"/>
                <w:color w:val="000000" w:themeColor="text1"/>
                <w:sz w:val="15"/>
                <w:szCs w:val="15"/>
                <w:highlight w:val="none"/>
                <w:lang w:eastAsia="zh-CN"/>
                <w14:textFill>
                  <w14:solidFill>
                    <w14:schemeClr w14:val="tx1"/>
                  </w14:solidFill>
                </w14:textFill>
              </w:rPr>
              <w:t>造成</w:t>
            </w:r>
            <w:r>
              <w:rPr>
                <w:rFonts w:hint="eastAsia" w:ascii="宋体" w:hAnsi="宋体" w:eastAsia="宋体"/>
                <w:color w:val="000000" w:themeColor="text1"/>
                <w:sz w:val="15"/>
                <w:szCs w:val="15"/>
                <w:highlight w:val="none"/>
                <w14:textFill>
                  <w14:solidFill>
                    <w14:schemeClr w14:val="tx1"/>
                  </w14:solidFill>
                </w14:textFill>
              </w:rPr>
              <w:t>其他社会恶劣影响的</w:t>
            </w:r>
            <w:r>
              <w:rPr>
                <w:rFonts w:hint="eastAsia" w:ascii="宋体" w:hAnsi="宋体" w:eastAsia="宋体"/>
                <w:color w:val="000000" w:themeColor="text1"/>
                <w:sz w:val="15"/>
                <w:szCs w:val="15"/>
                <w:highlight w:val="none"/>
                <w:lang w:val="en" w:eastAsia="zh-C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系数2-3</w:t>
            </w:r>
            <w:r>
              <w:rPr>
                <w:rFonts w:hint="eastAsia" w:ascii="宋体" w:hAnsi="宋体" w:eastAsia="宋体"/>
                <w:color w:val="000000" w:themeColor="text1"/>
                <w:sz w:val="15"/>
                <w:szCs w:val="15"/>
                <w:highlight w:val="none"/>
                <w:lang w:val="en"/>
                <w14:textFill>
                  <w14:solidFill>
                    <w14:schemeClr w14:val="tx1"/>
                  </w14:solidFill>
                </w14:textFill>
              </w:rPr>
              <w:t>。</w:t>
            </w:r>
          </w:p>
        </w:tc>
        <w:tc>
          <w:tcPr>
            <w:tcW w:w="17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罚款数额＝50000×（1＋</w:t>
            </w:r>
            <w:r>
              <w:rPr>
                <w:rFonts w:hint="eastAsia" w:ascii="宋体" w:hAnsi="宋体" w:eastAsia="宋体"/>
                <w:color w:val="000000" w:themeColor="text1"/>
                <w:sz w:val="15"/>
                <w:szCs w:val="15"/>
                <w:highlight w:val="none"/>
                <w:lang w:eastAsia="zh-CN"/>
                <w14:textFill>
                  <w14:solidFill>
                    <w14:schemeClr w14:val="tx1"/>
                  </w14:solidFill>
                </w14:textFill>
              </w:rPr>
              <w:t>常量系数</w:t>
            </w:r>
            <w:r>
              <w:rPr>
                <w:rFonts w:hint="eastAsia" w:ascii="宋体" w:hAnsi="宋体" w:eastAsia="宋体"/>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restart"/>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6</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未采取有效措施减少振动、降低噪声</w:t>
            </w:r>
          </w:p>
        </w:tc>
        <w:tc>
          <w:tcPr>
            <w:tcW w:w="2789" w:type="dxa"/>
            <w:vMerge w:val="restart"/>
            <w:shd w:val="clear" w:color="auto" w:fill="auto"/>
            <w:vAlign w:val="center"/>
          </w:tcPr>
          <w:p>
            <w:pPr>
              <w:spacing w:line="232" w:lineRule="exact"/>
              <w:rPr>
                <w:rFonts w:hint="eastAsia" w:ascii="宋体" w:hAnsi="宋体" w:eastAsia="宋体" w:cs="宋体"/>
                <w:color w:val="000000" w:themeColor="text1"/>
                <w:kern w:val="0"/>
                <w:sz w:val="15"/>
                <w:szCs w:val="15"/>
                <w:highlight w:val="none"/>
                <w:lang w:eastAsia="zh-CN"/>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违反条款：第四十条第二款</w:t>
            </w:r>
            <w:r>
              <w:rPr>
                <w:rFonts w:hint="eastAsia" w:ascii="宋体" w:hAnsi="宋体" w:cs="宋体"/>
                <w:color w:val="000000" w:themeColor="text1"/>
                <w:kern w:val="0"/>
                <w:sz w:val="15"/>
                <w:szCs w:val="15"/>
                <w:highlight w:val="none"/>
                <w:lang w:eastAsia="zh-CN"/>
                <w14:textFill>
                  <w14:solidFill>
                    <w14:schemeClr w14:val="tx1"/>
                  </w14:solidFill>
                </w14:textFill>
              </w:rPr>
              <w:t>；</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宋体" w:hAnsi="宋体" w:eastAsia="宋体" w:cs="宋体"/>
                <w:color w:val="000000" w:themeColor="text1"/>
                <w:kern w:val="0"/>
                <w:sz w:val="15"/>
                <w:szCs w:val="15"/>
                <w:highlight w:val="none"/>
                <w14:textFill>
                  <w14:solidFill>
                    <w14:schemeClr w14:val="tx1"/>
                  </w14:solidFill>
                </w14:textFill>
              </w:rPr>
              <w:t>处罚条款：第七十八条第（二）项</w:t>
            </w:r>
            <w:r>
              <w:rPr>
                <w:rFonts w:hint="eastAsia" w:ascii="宋体" w:hAnsi="宋体" w:cs="宋体"/>
                <w:color w:val="000000" w:themeColor="text1"/>
                <w:kern w:val="0"/>
                <w:sz w:val="15"/>
                <w:szCs w:val="15"/>
                <w:highlight w:val="none"/>
                <w:lang w:eastAsia="zh-CN"/>
                <w14:textFill>
                  <w14:solidFill>
                    <w14:schemeClr w14:val="tx1"/>
                  </w14:solidFill>
                </w14:textFill>
              </w:rPr>
              <w:t>，</w:t>
            </w:r>
            <w:r>
              <w:rPr>
                <w:rFonts w:hint="eastAsia" w:ascii="宋体" w:hAnsi="宋体" w:eastAsia="宋体" w:cs="宋体"/>
                <w:color w:val="000000" w:themeColor="text1"/>
                <w:kern w:val="0"/>
                <w:sz w:val="15"/>
                <w:szCs w:val="15"/>
                <w:highlight w:val="none"/>
                <w14:textFill>
                  <w14:solidFill>
                    <w14:schemeClr w14:val="tx1"/>
                  </w14:solidFill>
                </w14:textFill>
              </w:rPr>
              <w:t>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hint="eastAsia" w:ascii="宋体" w:hAnsi="宋体" w:eastAsia="宋体"/>
                <w:color w:val="000000" w:themeColor="text1"/>
                <w:sz w:val="15"/>
                <w:szCs w:val="15"/>
                <w:highlight w:val="none"/>
                <w:lang w:val="en-US" w:eastAsia="zh-CN"/>
                <w14:textFill>
                  <w14:solidFill>
                    <w14:schemeClr w14:val="tx1"/>
                  </w14:solidFill>
                </w14:textFill>
              </w:rPr>
            </w:pPr>
            <w:r>
              <w:rPr>
                <w:rFonts w:hint="eastAsia" w:ascii="宋体" w:hAnsi="宋体"/>
                <w:color w:val="000000" w:themeColor="text1"/>
                <w:sz w:val="15"/>
                <w:szCs w:val="15"/>
                <w:highlight w:val="none"/>
                <w:lang w:val="en-US" w:eastAsia="zh-CN"/>
                <w14:textFill>
                  <w14:solidFill>
                    <w14:schemeClr w14:val="tx1"/>
                  </w14:solidFill>
                </w14:textFill>
              </w:rPr>
              <w:t>5000</w:t>
            </w:r>
          </w:p>
        </w:tc>
        <w:tc>
          <w:tcPr>
            <w:tcW w:w="840" w:type="dxa"/>
            <w:shd w:val="clear" w:color="auto" w:fill="auto"/>
            <w:vAlign w:val="center"/>
          </w:tcPr>
          <w:p>
            <w:pPr>
              <w:spacing w:line="232" w:lineRule="exact"/>
              <w:jc w:val="center"/>
              <w:rPr>
                <w:rFonts w:hint="eastAsia" w:ascii="宋体" w:hAnsi="宋体" w:eastAsia="宋体"/>
                <w:color w:val="000000" w:themeColor="text1"/>
                <w:sz w:val="15"/>
                <w:szCs w:val="15"/>
                <w:highlight w:val="none"/>
                <w:lang w:val="en-US" w:eastAsia="zh-CN"/>
                <w14:textFill>
                  <w14:solidFill>
                    <w14:schemeClr w14:val="tx1"/>
                  </w14:solidFill>
                </w14:textFill>
              </w:rPr>
            </w:pPr>
            <w:r>
              <w:rPr>
                <w:rFonts w:hint="eastAsia" w:ascii="宋体" w:hAnsi="宋体"/>
                <w:color w:val="000000" w:themeColor="text1"/>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1.大型建设工程，开工时间较长，工地位置处于人口集中区域等情形的</w:t>
            </w:r>
            <w:r>
              <w:rPr>
                <w:rFonts w:ascii="宋体" w:hAnsi="宋体" w:eastAsia="宋体"/>
                <w:color w:val="000000" w:themeColor="text1"/>
                <w:sz w:val="15"/>
                <w:szCs w:val="15"/>
                <w:highlight w:val="none"/>
                <w:lang w:val="e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系数1-4</w:t>
            </w:r>
            <w:r>
              <w:rPr>
                <w:rFonts w:ascii="宋体" w:hAnsi="宋体" w:eastAsia="宋体"/>
                <w:color w:val="000000" w:themeColor="text1"/>
                <w:sz w:val="15"/>
                <w:szCs w:val="15"/>
                <w:highlight w:val="none"/>
                <w:lang w:val="e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2.投诉举报较多，或者</w:t>
            </w:r>
            <w:r>
              <w:rPr>
                <w:rFonts w:hint="eastAsia" w:ascii="宋体" w:hAnsi="宋体"/>
                <w:color w:val="000000" w:themeColor="text1"/>
                <w:sz w:val="15"/>
                <w:szCs w:val="15"/>
                <w:highlight w:val="none"/>
                <w:lang w:eastAsia="zh-CN"/>
                <w14:textFill>
                  <w14:solidFill>
                    <w14:schemeClr w14:val="tx1"/>
                  </w14:solidFill>
                </w14:textFill>
              </w:rPr>
              <w:t>造成</w:t>
            </w:r>
            <w:r>
              <w:rPr>
                <w:rFonts w:hint="eastAsia" w:ascii="宋体" w:hAnsi="宋体" w:eastAsia="宋体"/>
                <w:color w:val="000000" w:themeColor="text1"/>
                <w:sz w:val="15"/>
                <w:szCs w:val="15"/>
                <w:highlight w:val="none"/>
                <w14:textFill>
                  <w14:solidFill>
                    <w14:schemeClr w14:val="tx1"/>
                  </w14:solidFill>
                </w14:textFill>
              </w:rPr>
              <w:t>其他社会恶劣影响的</w:t>
            </w:r>
            <w:r>
              <w:rPr>
                <w:rFonts w:hint="eastAsia" w:ascii="宋体" w:hAnsi="宋体" w:eastAsia="宋体"/>
                <w:color w:val="000000" w:themeColor="text1"/>
                <w:sz w:val="15"/>
                <w:szCs w:val="15"/>
                <w:highlight w:val="none"/>
                <w:lang w:val="en" w:eastAsia="zh-C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系数5-9</w:t>
            </w:r>
            <w:r>
              <w:rPr>
                <w:rFonts w:hint="eastAsia" w:ascii="宋体" w:hAnsi="宋体" w:eastAsia="宋体"/>
                <w:color w:val="000000" w:themeColor="text1"/>
                <w:sz w:val="15"/>
                <w:szCs w:val="15"/>
                <w:highlight w:val="none"/>
                <w:lang w:val="en"/>
                <w14:textFill>
                  <w14:solidFill>
                    <w14:schemeClr w14:val="tx1"/>
                  </w14:solidFill>
                </w14:textFill>
              </w:rPr>
              <w:t>。</w:t>
            </w:r>
          </w:p>
        </w:tc>
        <w:tc>
          <w:tcPr>
            <w:tcW w:w="1785" w:type="dxa"/>
            <w:shd w:val="clear" w:color="auto" w:fill="auto"/>
            <w:vAlign w:val="center"/>
          </w:tcPr>
          <w:p>
            <w:pPr>
              <w:spacing w:line="232" w:lineRule="exact"/>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罚款数额＝5000×（1＋</w:t>
            </w:r>
            <w:r>
              <w:rPr>
                <w:rFonts w:hint="eastAsia" w:ascii="宋体" w:hAnsi="宋体" w:eastAsia="宋体"/>
                <w:color w:val="000000" w:themeColor="text1"/>
                <w:sz w:val="15"/>
                <w:szCs w:val="15"/>
                <w:highlight w:val="none"/>
                <w:lang w:eastAsia="zh-CN"/>
                <w14:textFill>
                  <w14:solidFill>
                    <w14:schemeClr w14:val="tx1"/>
                  </w14:solidFill>
                </w14:textFill>
              </w:rPr>
              <w:t>常量系数</w:t>
            </w:r>
            <w:r>
              <w:rPr>
                <w:rFonts w:hint="eastAsia" w:ascii="宋体" w:hAnsi="宋体" w:eastAsia="宋体"/>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lang w:val="en-US" w:eastAsia="zh-CN"/>
                <w14:textFill>
                  <w14:solidFill>
                    <w14:schemeClr w14:val="tx1"/>
                  </w14:solidFill>
                </w14:textFill>
              </w:rPr>
              <w:t>1</w:t>
            </w:r>
            <w:r>
              <w:rPr>
                <w:rFonts w:hint="eastAsia" w:ascii="宋体" w:hAnsi="宋体" w:eastAsia="宋体"/>
                <w:color w:val="000000" w:themeColor="text1"/>
                <w:sz w:val="15"/>
                <w:szCs w:val="15"/>
                <w:highlight w:val="none"/>
                <w14:textFill>
                  <w14:solidFill>
                    <w14:schemeClr w14:val="tx1"/>
                  </w14:solidFill>
                </w14:textFill>
              </w:rPr>
              <w:t>.</w:t>
            </w:r>
            <w:r>
              <w:rPr>
                <w:rFonts w:hint="eastAsia" w:ascii="宋体" w:hAnsi="宋体"/>
                <w:color w:val="000000" w:themeColor="text1"/>
                <w:sz w:val="15"/>
                <w:szCs w:val="15"/>
                <w:highlight w:val="none"/>
                <w:lang w:eastAsia="zh-CN"/>
                <w14:textFill>
                  <w14:solidFill>
                    <w14:schemeClr w14:val="tx1"/>
                  </w14:solidFill>
                </w14:textFill>
              </w:rPr>
              <w:t>原</w:t>
            </w:r>
            <w:r>
              <w:rPr>
                <w:rFonts w:hint="eastAsia" w:ascii="宋体" w:hAnsi="宋体" w:eastAsia="宋体"/>
                <w:color w:val="000000" w:themeColor="text1"/>
                <w:sz w:val="15"/>
                <w:szCs w:val="15"/>
                <w:highlight w:val="none"/>
                <w14:textFill>
                  <w14:solidFill>
                    <w14:schemeClr w14:val="tx1"/>
                  </w14:solidFill>
                </w14:textFill>
              </w:rPr>
              <w:t>《北京市环境噪声污染防治办法》中“未把产生噪声的设备、设施布置在远离居住区一侧”案由停止执行，存在</w:t>
            </w:r>
            <w:r>
              <w:rPr>
                <w:rFonts w:hint="eastAsia" w:ascii="宋体" w:hAnsi="宋体"/>
                <w:color w:val="000000" w:themeColor="text1"/>
                <w:sz w:val="15"/>
                <w:szCs w:val="15"/>
                <w:highlight w:val="none"/>
                <w:lang w:eastAsia="zh-CN"/>
                <w14:textFill>
                  <w14:solidFill>
                    <w14:schemeClr w14:val="tx1"/>
                  </w14:solidFill>
                </w14:textFill>
              </w:rPr>
              <w:t>上述</w:t>
            </w:r>
            <w:r>
              <w:rPr>
                <w:rFonts w:hint="eastAsia" w:ascii="宋体" w:hAnsi="宋体" w:eastAsia="宋体"/>
                <w:color w:val="000000" w:themeColor="text1"/>
                <w:sz w:val="15"/>
                <w:szCs w:val="15"/>
                <w:highlight w:val="none"/>
                <w14:textFill>
                  <w14:solidFill>
                    <w14:schemeClr w14:val="tx1"/>
                  </w14:solidFill>
                </w14:textFill>
              </w:rPr>
              <w:t>情形的，按照“施工单位未采取有效措施减少振动、降低噪声”</w:t>
            </w:r>
            <w:r>
              <w:rPr>
                <w:rFonts w:hint="eastAsia" w:ascii="宋体" w:hAnsi="宋体" w:eastAsia="宋体"/>
                <w:color w:val="000000" w:themeColor="text1"/>
                <w:sz w:val="15"/>
                <w:szCs w:val="15"/>
                <w:highlight w:val="none"/>
                <w:lang w:eastAsia="zh-CN"/>
                <w14:textFill>
                  <w14:solidFill>
                    <w14:schemeClr w14:val="tx1"/>
                  </w14:solidFill>
                </w14:textFill>
              </w:rPr>
              <w:t>执行</w:t>
            </w:r>
            <w:r>
              <w:rPr>
                <w:rFonts w:hint="eastAsia" w:ascii="宋体" w:hAnsi="宋体" w:eastAsia="宋体"/>
                <w:color w:val="000000" w:themeColor="text1"/>
                <w:sz w:val="15"/>
                <w:szCs w:val="15"/>
                <w:highlight w:val="none"/>
                <w14:textFill>
                  <w14:solidFill>
                    <w14:schemeClr w14:val="tx1"/>
                  </w14:solidFill>
                </w14:textFill>
              </w:rPr>
              <w:t>。</w:t>
            </w:r>
          </w:p>
          <w:p>
            <w:pPr>
              <w:spacing w:line="232" w:lineRule="exact"/>
              <w:rPr>
                <w:rFonts w:hint="eastAsia" w:ascii="宋体" w:hAnsi="宋体" w:eastAsia="宋体"/>
                <w:color w:val="000000" w:themeColor="text1"/>
                <w:sz w:val="15"/>
                <w:szCs w:val="15"/>
                <w:highlight w:val="none"/>
                <w14:textFill>
                  <w14:solidFill>
                    <w14:schemeClr w14:val="tx1"/>
                  </w14:solidFill>
                </w14:textFill>
              </w:rPr>
            </w:pPr>
            <w:r>
              <w:rPr>
                <w:rFonts w:hint="eastAsia" w:ascii="宋体" w:hAnsi="宋体" w:eastAsia="宋体"/>
                <w:color w:val="000000" w:themeColor="text1"/>
                <w:sz w:val="15"/>
                <w:szCs w:val="15"/>
                <w:highlight w:val="none"/>
                <w:lang w:val="en-US" w:eastAsia="zh-CN"/>
                <w14:textFill>
                  <w14:solidFill>
                    <w14:schemeClr w14:val="tx1"/>
                  </w14:solidFill>
                </w14:textFill>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p>
        </w:tc>
        <w:tc>
          <w:tcPr>
            <w:tcW w:w="1500" w:type="dxa"/>
            <w:vMerge w:val="continue"/>
            <w:shd w:val="clear" w:color="auto" w:fill="auto"/>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hint="eastAsia" w:ascii="宋体" w:hAnsi="宋体" w:eastAsia="宋体" w:cs="宋体"/>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hint="eastAsia" w:ascii="宋体" w:hAnsi="宋体"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宋体" w:hAnsi="宋体" w:eastAsia="宋体"/>
                <w:color w:val="000000" w:themeColor="text1"/>
                <w:sz w:val="15"/>
                <w:szCs w:val="15"/>
                <w:highlight w:val="none"/>
                <w:lang w:val="en-US" w:eastAsia="zh-CN"/>
                <w14:textFill>
                  <w14:solidFill>
                    <w14:schemeClr w14:val="tx1"/>
                  </w14:solidFill>
                </w14:textFill>
              </w:rPr>
              <w:t>50000（拒不改正）</w:t>
            </w:r>
          </w:p>
        </w:tc>
        <w:tc>
          <w:tcPr>
            <w:tcW w:w="840" w:type="dxa"/>
            <w:shd w:val="clear" w:color="auto" w:fill="auto"/>
            <w:vAlign w:val="center"/>
          </w:tcPr>
          <w:p>
            <w:pPr>
              <w:spacing w:line="232" w:lineRule="exact"/>
              <w:jc w:val="center"/>
              <w:rPr>
                <w:rFonts w:hint="eastAsia" w:ascii="宋体" w:hAnsi="宋体"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宋体" w:hAnsi="宋体"/>
                <w:color w:val="000000" w:themeColor="text1"/>
                <w:sz w:val="15"/>
                <w:szCs w:val="15"/>
                <w:highlight w:val="none"/>
                <w:lang w:val="en-US" w:eastAsia="zh-CN"/>
                <w14:textFill>
                  <w14:solidFill>
                    <w14:schemeClr w14:val="tx1"/>
                  </w14:solidFill>
                </w14:textFill>
              </w:rPr>
              <w:t>1</w:t>
            </w:r>
          </w:p>
        </w:tc>
        <w:tc>
          <w:tcPr>
            <w:tcW w:w="2304" w:type="dxa"/>
            <w:shd w:val="clear" w:color="auto" w:fill="auto"/>
            <w:vAlign w:val="center"/>
          </w:tcPr>
          <w:p>
            <w:pPr>
              <w:spacing w:line="232" w:lineRule="exact"/>
              <w:rPr>
                <w:rFonts w:hint="eastAsia" w:ascii="宋体" w:hAnsi="宋体"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1.大型建设工程，开工时间较长，工地位置处于人口集中区域等情形的</w:t>
            </w:r>
            <w:r>
              <w:rPr>
                <w:rFonts w:ascii="宋体" w:hAnsi="宋体" w:eastAsia="宋体"/>
                <w:color w:val="000000" w:themeColor="text1"/>
                <w:sz w:val="15"/>
                <w:szCs w:val="15"/>
                <w:highlight w:val="none"/>
                <w:lang w:val="e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系数1</w:t>
            </w:r>
            <w:r>
              <w:rPr>
                <w:rFonts w:ascii="宋体" w:hAnsi="宋体" w:eastAsia="宋体"/>
                <w:color w:val="000000" w:themeColor="text1"/>
                <w:sz w:val="15"/>
                <w:szCs w:val="15"/>
                <w:highlight w:val="none"/>
                <w:lang w:val="e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2.投诉举报较多，或者</w:t>
            </w:r>
            <w:r>
              <w:rPr>
                <w:rFonts w:hint="eastAsia" w:ascii="宋体" w:hAnsi="宋体"/>
                <w:color w:val="000000" w:themeColor="text1"/>
                <w:sz w:val="15"/>
                <w:szCs w:val="15"/>
                <w:highlight w:val="none"/>
                <w:lang w:eastAsia="zh-CN"/>
                <w14:textFill>
                  <w14:solidFill>
                    <w14:schemeClr w14:val="tx1"/>
                  </w14:solidFill>
                </w14:textFill>
              </w:rPr>
              <w:t>造成</w:t>
            </w:r>
            <w:r>
              <w:rPr>
                <w:rFonts w:hint="eastAsia" w:ascii="宋体" w:hAnsi="宋体" w:eastAsia="宋体"/>
                <w:color w:val="000000" w:themeColor="text1"/>
                <w:sz w:val="15"/>
                <w:szCs w:val="15"/>
                <w:highlight w:val="none"/>
                <w14:textFill>
                  <w14:solidFill>
                    <w14:schemeClr w14:val="tx1"/>
                  </w14:solidFill>
                </w14:textFill>
              </w:rPr>
              <w:t>其他社会恶劣影响的</w:t>
            </w:r>
            <w:r>
              <w:rPr>
                <w:rFonts w:ascii="宋体" w:hAnsi="宋体" w:eastAsia="宋体"/>
                <w:color w:val="000000" w:themeColor="text1"/>
                <w:sz w:val="15"/>
                <w:szCs w:val="15"/>
                <w:highlight w:val="none"/>
                <w:lang w:val="en"/>
                <w14:textFill>
                  <w14:solidFill>
                    <w14:schemeClr w14:val="tx1"/>
                  </w14:solidFill>
                </w14:textFill>
              </w:rPr>
              <w:t>,</w:t>
            </w:r>
            <w:r>
              <w:rPr>
                <w:rFonts w:hint="eastAsia" w:ascii="宋体" w:hAnsi="宋体" w:eastAsia="宋体"/>
                <w:color w:val="000000" w:themeColor="text1"/>
                <w:sz w:val="15"/>
                <w:szCs w:val="15"/>
                <w:highlight w:val="none"/>
                <w14:textFill>
                  <w14:solidFill>
                    <w14:schemeClr w14:val="tx1"/>
                  </w14:solidFill>
                </w14:textFill>
              </w:rPr>
              <w:t>系数2-3</w:t>
            </w:r>
            <w:r>
              <w:rPr>
                <w:rFonts w:hint="eastAsia" w:ascii="宋体" w:hAnsi="宋体" w:eastAsia="宋体"/>
                <w:color w:val="000000" w:themeColor="text1"/>
                <w:sz w:val="15"/>
                <w:szCs w:val="15"/>
                <w:highlight w:val="none"/>
                <w:lang w:val="en"/>
                <w14:textFill>
                  <w14:solidFill>
                    <w14:schemeClr w14:val="tx1"/>
                  </w14:solidFill>
                </w14:textFill>
              </w:rPr>
              <w:t>。</w:t>
            </w:r>
          </w:p>
        </w:tc>
        <w:tc>
          <w:tcPr>
            <w:tcW w:w="1785" w:type="dxa"/>
            <w:shd w:val="clear" w:color="auto" w:fill="auto"/>
            <w:vAlign w:val="center"/>
          </w:tcPr>
          <w:p>
            <w:pPr>
              <w:spacing w:line="232" w:lineRule="exact"/>
              <w:rPr>
                <w:rFonts w:hint="eastAsia" w:ascii="宋体" w:hAnsi="宋体"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宋体" w:hAnsi="宋体" w:eastAsia="宋体"/>
                <w:color w:val="000000" w:themeColor="text1"/>
                <w:sz w:val="15"/>
                <w:szCs w:val="15"/>
                <w:highlight w:val="none"/>
                <w14:textFill>
                  <w14:solidFill>
                    <w14:schemeClr w14:val="tx1"/>
                  </w14:solidFill>
                </w14:textFill>
              </w:rPr>
              <w:t>罚款数额＝50000×（1＋</w:t>
            </w:r>
            <w:r>
              <w:rPr>
                <w:rFonts w:hint="eastAsia" w:ascii="宋体" w:hAnsi="宋体" w:eastAsia="宋体"/>
                <w:color w:val="000000" w:themeColor="text1"/>
                <w:sz w:val="15"/>
                <w:szCs w:val="15"/>
                <w:highlight w:val="none"/>
                <w:lang w:eastAsia="zh-CN"/>
                <w14:textFill>
                  <w14:solidFill>
                    <w14:schemeClr w14:val="tx1"/>
                  </w14:solidFill>
                </w14:textFill>
              </w:rPr>
              <w:t>常量系数</w:t>
            </w:r>
            <w:r>
              <w:rPr>
                <w:rFonts w:hint="eastAsia" w:ascii="宋体" w:hAnsi="宋体" w:eastAsia="宋体"/>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宋体" w:hAnsi="宋体" w:eastAsia="宋体" w:cs="宋体"/>
                <w:color w:val="000000" w:themeColor="text1"/>
                <w:kern w:val="0"/>
                <w:sz w:val="15"/>
                <w:szCs w:val="15"/>
                <w:highlight w:val="none"/>
                <w:lang w:val="en-US" w:eastAsia="zh-CN" w:bidi="ar-SA"/>
                <w14:textFill>
                  <w14:solidFill>
                    <w14:schemeClr w14:val="tx1"/>
                  </w14:solidFill>
                </w14:textFill>
              </w:rPr>
            </w:pPr>
          </w:p>
        </w:tc>
        <w:tc>
          <w:tcPr>
            <w:tcW w:w="824" w:type="dxa"/>
            <w:vMerge w:val="continue"/>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24"/>
                <w:szCs w:val="24"/>
                <w:highlight w:val="none"/>
                <w14:textFill>
                  <w14:solidFill>
                    <w14:schemeClr w14:val="tx1"/>
                  </w14:solidFill>
                </w14:textFill>
              </w:rPr>
            </w:pPr>
            <w:bookmarkStart w:id="125" w:name="_Toc1152737938"/>
            <w:r>
              <w:rPr>
                <w:rFonts w:hint="eastAsia" w:ascii="黑体" w:hAnsi="黑体" w:eastAsia="黑体"/>
                <w:b w:val="0"/>
                <w:color w:val="000000" w:themeColor="text1"/>
                <w:sz w:val="36"/>
                <w:szCs w:val="36"/>
                <w:highlight w:val="none"/>
                <w14:textFill>
                  <w14:solidFill>
                    <w14:schemeClr w14:val="tx1"/>
                  </w14:solidFill>
                </w14:textFill>
              </w:rPr>
              <w:t>施工现场管理方面</w:t>
            </w:r>
            <w:bookmarkEnd w:id="123"/>
            <w:bookmarkEnd w:id="124"/>
            <w:bookmarkEnd w:id="1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26" w:name="_Toc110851474"/>
            <w:bookmarkStart w:id="127" w:name="_Toc1669927446"/>
            <w:bookmarkStart w:id="128" w:name="_Toc1377348640"/>
            <w:r>
              <w:rPr>
                <w:rFonts w:hint="eastAsia" w:asciiTheme="minorEastAsia" w:hAnsiTheme="minorEastAsia" w:eastAsiaTheme="minorEastAsia"/>
                <w:color w:val="000000" w:themeColor="text1"/>
                <w:sz w:val="21"/>
                <w:szCs w:val="21"/>
                <w:highlight w:val="none"/>
                <w14:textFill>
                  <w14:solidFill>
                    <w14:schemeClr w14:val="tx1"/>
                  </w14:solidFill>
                </w14:textFill>
              </w:rPr>
              <w:t>《北京市大气污染防治条例》施工现场执法案由16项</w:t>
            </w:r>
            <w:bookmarkEnd w:id="126"/>
            <w:bookmarkEnd w:id="127"/>
            <w:bookmarkEnd w:id="12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违反条款：第八十一条第一款第（一）项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1.未按标准设置围挡长度16-30米的，系数1；31-45米的，系数2，以此类推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136米及以上的，系数9</w:t>
            </w:r>
            <w:r>
              <w:rPr>
                <w:rFonts w:hint="eastAsia"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未按规定设置围挡</w:t>
            </w:r>
            <w:r>
              <w:rPr>
                <w:rFonts w:hint="eastAsia" w:asciiTheme="minorEastAsia" w:hAnsiTheme="minorEastAsia" w:eastAsiaTheme="minorEastAsia"/>
                <w:color w:val="000000" w:themeColor="text1"/>
                <w:sz w:val="15"/>
                <w:szCs w:val="15"/>
                <w:highlight w:val="none"/>
                <w14:textFill>
                  <w14:solidFill>
                    <w14:schemeClr w14:val="tx1"/>
                  </w14:solidFill>
                </w14:textFill>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违反条款：第八十一条第一款第（一）项</w:t>
            </w:r>
          </w:p>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1.未按规定管护围挡长度16-30米的，系数1；31-45米的，系数2，以此类推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，长度</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136米及以上的，系数9</w:t>
            </w:r>
            <w:r>
              <w:rPr>
                <w:rFonts w:hint="eastAsia"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未按规定管护围挡</w:t>
            </w:r>
            <w:r>
              <w:rPr>
                <w:rFonts w:hint="eastAsia" w:asciiTheme="minorEastAsia" w:hAnsiTheme="minorEastAsia" w:eastAsiaTheme="minorEastAsia"/>
                <w:color w:val="000000" w:themeColor="text1"/>
                <w:sz w:val="15"/>
                <w:szCs w:val="15"/>
                <w:highlight w:val="none"/>
                <w14:textFill>
                  <w14:solidFill>
                    <w14:schemeClr w14:val="tx1"/>
                  </w14:solidFill>
                </w14:textFill>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施工单位未在施工现场出入口公示相关信息</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违反条款：第八十一条第一款第（二）项；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lef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按照《基准》规定</w:t>
            </w:r>
            <w:r>
              <w:rPr>
                <w:rFonts w:asciiTheme="minorEastAsia" w:hAnsiTheme="minorEastAsia" w:eastAsiaTheme="minorEastAsia"/>
                <w:color w:val="000000" w:themeColor="text1"/>
                <w:sz w:val="15"/>
                <w:szCs w:val="15"/>
                <w:highlight w:val="none"/>
                <w14:textFill>
                  <w14:solidFill>
                    <w14:schemeClr w14:val="tx1"/>
                  </w14:solidFill>
                </w14:textFill>
              </w:rPr>
              <w:t>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需要做出其它处罚决定的，报请案审会决定。</w:t>
            </w:r>
          </w:p>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未对施工现场内主要道路和物料堆放场地进行硬化</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违反条款：第八十一条第一款第（三）项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未硬化、覆盖或者绿化面积10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未对施工现场内除主要道路和物料堆放场地外其它场地进行覆盖或者临时绿化</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违反条款：第八十一条第一款第（三）项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施工现场</w:t>
            </w:r>
            <w:r>
              <w:rPr>
                <w:rFonts w:asciiTheme="minorEastAsia" w:hAnsiTheme="minorEastAsia" w:eastAsiaTheme="minorEastAsia"/>
                <w:color w:val="000000" w:themeColor="text1"/>
                <w:sz w:val="15"/>
                <w:szCs w:val="15"/>
                <w:highlight w:val="none"/>
                <w14:textFill>
                  <w14:solidFill>
                    <w14:schemeClr w14:val="tx1"/>
                  </w14:solidFill>
                </w14:textFill>
              </w:rPr>
              <w:t>土方</w:t>
            </w:r>
            <w:r>
              <w:rPr>
                <w:rFonts w:hint="eastAsia" w:asciiTheme="minorEastAsia" w:hAnsiTheme="minorEastAsia" w:eastAsiaTheme="minorEastAsia"/>
                <w:color w:val="000000" w:themeColor="text1"/>
                <w:sz w:val="15"/>
                <w:szCs w:val="15"/>
                <w:highlight w:val="none"/>
                <w14:textFill>
                  <w14:solidFill>
                    <w14:schemeClr w14:val="tx1"/>
                  </w14:solidFill>
                </w14:textFill>
              </w:rPr>
              <w:t>未</w:t>
            </w:r>
            <w:r>
              <w:rPr>
                <w:rFonts w:asciiTheme="minorEastAsia" w:hAnsiTheme="minorEastAsia" w:eastAsiaTheme="minorEastAsia"/>
                <w:color w:val="000000" w:themeColor="text1"/>
                <w:sz w:val="15"/>
                <w:szCs w:val="15"/>
                <w:highlight w:val="none"/>
                <w14:textFill>
                  <w14:solidFill>
                    <w14:schemeClr w14:val="tx1"/>
                  </w14:solidFill>
                </w14:textFill>
              </w:rPr>
              <w:t>集中堆放</w:t>
            </w:r>
            <w:r>
              <w:rPr>
                <w:rFonts w:hint="eastAsia" w:asciiTheme="minorEastAsia" w:hAnsiTheme="minorEastAsia" w:eastAsiaTheme="minorEastAsia"/>
                <w:color w:val="000000" w:themeColor="text1"/>
                <w:sz w:val="15"/>
                <w:szCs w:val="15"/>
                <w:highlight w:val="none"/>
                <w14:textFill>
                  <w14:solidFill>
                    <w14:schemeClr w14:val="tx1"/>
                  </w14:solidFill>
                </w14:textFill>
              </w:rPr>
              <w:t>或者未</w:t>
            </w:r>
            <w:r>
              <w:rPr>
                <w:rFonts w:asciiTheme="minorEastAsia" w:hAnsiTheme="minorEastAsia" w:eastAsiaTheme="minorEastAsia"/>
                <w:color w:val="000000" w:themeColor="text1"/>
                <w:sz w:val="15"/>
                <w:szCs w:val="15"/>
                <w:highlight w:val="none"/>
                <w14:textFill>
                  <w14:solidFill>
                    <w14:schemeClr w14:val="tx1"/>
                  </w14:solidFill>
                </w14:textFill>
              </w:rPr>
              <w:t>采取覆盖</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固化措施</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违反条款：第八十一条第一款第（三）项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大风天气未停止可能产生扬尘污染的施工作业</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违反条款：第八十一条第一款第（四）项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1.6</w:t>
            </w:r>
            <w:r>
              <w:rPr>
                <w:rFonts w:hint="eastAsia" w:asciiTheme="minorEastAsia" w:hAnsiTheme="minorEastAsia" w:eastAsiaTheme="minorEastAsia"/>
                <w:color w:val="000000" w:themeColor="text1"/>
                <w:sz w:val="15"/>
                <w:szCs w:val="15"/>
                <w:highlight w:val="none"/>
                <w14:textFill>
                  <w14:solidFill>
                    <w14:schemeClr w14:val="tx1"/>
                  </w14:solidFill>
                </w14:textFill>
              </w:rPr>
              <w:t>级及</w:t>
            </w:r>
            <w:r>
              <w:rPr>
                <w:rFonts w:asciiTheme="minorEastAsia" w:hAnsiTheme="minorEastAsia" w:eastAsiaTheme="minorEastAsia"/>
                <w:color w:val="000000" w:themeColor="text1"/>
                <w:sz w:val="15"/>
                <w:szCs w:val="15"/>
                <w:highlight w:val="none"/>
                <w14:textFill>
                  <w14:solidFill>
                    <w14:schemeClr w14:val="tx1"/>
                  </w14:solidFill>
                </w14:textFill>
              </w:rPr>
              <w:t>6</w:t>
            </w:r>
            <w:r>
              <w:rPr>
                <w:rFonts w:hint="eastAsia" w:asciiTheme="minorEastAsia" w:hAnsiTheme="minorEastAsia" w:eastAsiaTheme="minorEastAsia"/>
                <w:color w:val="000000" w:themeColor="text1"/>
                <w:sz w:val="15"/>
                <w:szCs w:val="15"/>
                <w:highlight w:val="none"/>
                <w14:textFill>
                  <w14:solidFill>
                    <w14:schemeClr w14:val="tx1"/>
                  </w14:solidFill>
                </w14:textFill>
              </w:rPr>
              <w:t>级以上大风未停止可能产生扬尘污染的施工作业的，系数</w:t>
            </w:r>
            <w:r>
              <w:rPr>
                <w:rFonts w:asciiTheme="minorEastAsia" w:hAnsiTheme="minorEastAsia" w:eastAsiaTheme="minorEastAsia"/>
                <w:color w:val="000000" w:themeColor="text1"/>
                <w:sz w:val="15"/>
                <w:szCs w:val="15"/>
                <w:highlight w:val="none"/>
                <w14:textFill>
                  <w14:solidFill>
                    <w14:schemeClr w14:val="tx1"/>
                  </w14:solidFill>
                </w14:textFill>
              </w:rPr>
              <w:t>5-8</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施工现场出口处未设置冲洗车辆设施</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违反条款：第八十一条第一款第（五）项</w:t>
            </w:r>
          </w:p>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按照《基准》规定</w:t>
            </w:r>
            <w:r>
              <w:rPr>
                <w:rFonts w:asciiTheme="minorEastAsia" w:hAnsiTheme="minorEastAsia" w:eastAsiaTheme="minorEastAsia"/>
                <w:color w:val="000000" w:themeColor="text1"/>
                <w:sz w:val="15"/>
                <w:szCs w:val="15"/>
                <w:highlight w:val="none"/>
                <w14:textFill>
                  <w14:solidFill>
                    <w14:schemeClr w14:val="tx1"/>
                  </w14:solidFill>
                </w14:textFill>
              </w:rPr>
              <w:t>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需要做出其它处罚决定的，报请案审会决定。</w:t>
            </w:r>
          </w:p>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施工现场未按规定安装视频监控系统</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违反条款：第八十一条第一款第（五）项</w:t>
            </w:r>
          </w:p>
          <w:p>
            <w:pPr>
              <w:spacing w:line="22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按照《基准》规定</w:t>
            </w:r>
            <w:r>
              <w:rPr>
                <w:rFonts w:asciiTheme="minorEastAsia" w:hAnsiTheme="minorEastAsia" w:eastAsiaTheme="minorEastAsia"/>
                <w:color w:val="000000" w:themeColor="text1"/>
                <w:sz w:val="15"/>
                <w:szCs w:val="15"/>
                <w:highlight w:val="none"/>
                <w14:textFill>
                  <w14:solidFill>
                    <w14:schemeClr w14:val="tx1"/>
                  </w14:solidFill>
                </w14:textFill>
              </w:rPr>
              <w:t>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需要做出其它处罚决定的，报请案审会决定。</w:t>
            </w:r>
          </w:p>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施工车辆未经除泥、冲洗驶出工地</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违反条款：第八十一条第一款第（五）项</w:t>
            </w:r>
          </w:p>
          <w:p>
            <w:pPr>
              <w:spacing w:line="22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污染道路长21－30米的，系数1；31－40米的，系数2；以此类推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strike/>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strike/>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32" w:lineRule="exact"/>
              <w:rPr>
                <w:rFonts w:hint="default" w:cs="宋体" w:asciiTheme="minorEastAsia" w:hAnsiTheme="minorEastAsia" w:eastAsiaTheme="minorEastAsia"/>
                <w:color w:val="000000" w:themeColor="text1"/>
                <w:sz w:val="15"/>
                <w:szCs w:val="15"/>
                <w:highlight w:val="none"/>
                <w:lang w:val="e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车辆清洗处未配套设置排水、泥浆沉淀设施</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违反条款：第八十一条第一款第（五）项</w:t>
            </w:r>
          </w:p>
          <w:p>
            <w:pPr>
              <w:spacing w:line="22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按照《基准》规定</w:t>
            </w:r>
            <w:r>
              <w:rPr>
                <w:rFonts w:asciiTheme="minorEastAsia" w:hAnsiTheme="minorEastAsia" w:eastAsiaTheme="minorEastAsia"/>
                <w:color w:val="000000" w:themeColor="text1"/>
                <w:sz w:val="15"/>
                <w:szCs w:val="15"/>
                <w:highlight w:val="none"/>
                <w14:textFill>
                  <w14:solidFill>
                    <w14:schemeClr w14:val="tx1"/>
                  </w14:solidFill>
                </w14:textFill>
              </w:rPr>
              <w:t>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需要做出其它处罚决定的，报请案审会决定。</w:t>
            </w:r>
          </w:p>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施工现场道路及进出口周边一百米以内的道路有泥土和建筑垃圾</w:t>
            </w:r>
          </w:p>
        </w:tc>
        <w:tc>
          <w:tcPr>
            <w:tcW w:w="2789"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违反条款：第八十一条第一款第（六）项；</w:t>
            </w:r>
          </w:p>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污染道路长21－30米的，系数1；31－40米的，系数2；以此类推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+变量系数+区域系数）</w:t>
            </w:r>
          </w:p>
        </w:tc>
        <w:tc>
          <w:tcPr>
            <w:tcW w:w="23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道路挖掘施工过程中未及时覆盖破损路面并采取措施</w:t>
            </w:r>
          </w:p>
        </w:tc>
        <w:tc>
          <w:tcPr>
            <w:tcW w:w="2789"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违反条款：第八十一条第一款第（七）项；</w:t>
            </w:r>
          </w:p>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路面长21－30米的，系数1；31－40米的，系数2；以此类推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道路挖掘施工完成后未及时修复路面</w:t>
            </w:r>
          </w:p>
        </w:tc>
        <w:tc>
          <w:tcPr>
            <w:tcW w:w="2789"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违反条款：第八十一条第一款第（七）项；</w:t>
            </w:r>
          </w:p>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未修复的道路长21－30米的，系数1；31－40米的，系数2；以此类推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101米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产生扬尘的物料未按规定贮存或者未</w:t>
            </w:r>
            <w:r>
              <w:rPr>
                <w:rFonts w:hint="eastAsia" w:asciiTheme="minorEastAsia" w:hAnsiTheme="minorEastAsia" w:eastAsiaTheme="minorEastAsia"/>
                <w:bCs/>
                <w:color w:val="000000" w:themeColor="text1"/>
                <w:sz w:val="15"/>
                <w:szCs w:val="15"/>
                <w:highlight w:val="none"/>
                <w14:textFill>
                  <w14:solidFill>
                    <w14:schemeClr w14:val="tx1"/>
                  </w14:solidFill>
                </w14:textFill>
              </w:rPr>
              <w:t>采取有效防尘措施</w:t>
            </w:r>
          </w:p>
        </w:tc>
        <w:tc>
          <w:tcPr>
            <w:tcW w:w="2789"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违反条款：第八十二条第一款；</w:t>
            </w:r>
          </w:p>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1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。2.造成尘土飞扬，严重污染环境的，系数为9。</w:t>
            </w:r>
          </w:p>
        </w:tc>
        <w:tc>
          <w:tcPr>
            <w:tcW w:w="17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12" w:lineRule="exact"/>
              <w:rPr>
                <w:rFonts w:asciiTheme="minorEastAsia" w:hAnsiTheme="minorEastAsia" w:eastAsiaTheme="minorEastAsia"/>
                <w:strike/>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strike/>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未按规定处置或覆盖建筑土方、工程渣土、建筑垃圾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违反条款：第八十二条第二款；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占地面积10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以下的，系数0；11－15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的，系数1；16－20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29" w:name="_Toc854219027"/>
            <w:bookmarkStart w:id="130" w:name="_Toc110851475"/>
            <w:bookmarkStart w:id="131" w:name="_Toc1405674276"/>
            <w:r>
              <w:rPr>
                <w:rFonts w:hint="eastAsia" w:asciiTheme="minorEastAsia" w:hAnsiTheme="minorEastAsia" w:eastAsiaTheme="minorEastAsia"/>
                <w:color w:val="000000" w:themeColor="text1"/>
                <w:sz w:val="21"/>
                <w:szCs w:val="21"/>
                <w:highlight w:val="none"/>
                <w14:textFill>
                  <w14:solidFill>
                    <w14:schemeClr w14:val="tx1"/>
                  </w14:solidFill>
                </w14:textFill>
              </w:rPr>
              <w:t>《北京市建设工程施工现场管理办法》案由13项</w:t>
            </w:r>
            <w:bookmarkEnd w:id="129"/>
            <w:bookmarkEnd w:id="130"/>
            <w:bookmarkEnd w:id="1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违反条款：第二十三条第（一）项；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1.未按标准设置围挡长度1</w:t>
            </w:r>
            <w:r>
              <w:rPr>
                <w:rFonts w:asciiTheme="minorEastAsia" w:hAnsiTheme="minorEastAsia" w:eastAsiaTheme="minorEastAsia"/>
                <w:color w:val="000000" w:themeColor="text1"/>
                <w:sz w:val="15"/>
                <w:szCs w:val="15"/>
                <w:highlight w:val="none"/>
                <w14:textFill>
                  <w14:solidFill>
                    <w14:schemeClr w14:val="tx1"/>
                  </w14:solidFill>
                </w14:textFill>
              </w:rPr>
              <w:t>6</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30</w:t>
            </w:r>
            <w:r>
              <w:rPr>
                <w:rFonts w:hint="eastAsia" w:asciiTheme="minorEastAsia" w:hAnsiTheme="minorEastAsia" w:eastAsiaTheme="minorEastAsia"/>
                <w:color w:val="000000" w:themeColor="text1"/>
                <w:sz w:val="15"/>
                <w:szCs w:val="15"/>
                <w:highlight w:val="none"/>
                <w14:textFill>
                  <w14:solidFill>
                    <w14:schemeClr w14:val="tx1"/>
                  </w14:solidFill>
                </w14:textFill>
              </w:rPr>
              <w:t>米的，系数1；</w:t>
            </w:r>
            <w:r>
              <w:rPr>
                <w:rFonts w:asciiTheme="minorEastAsia" w:hAnsiTheme="minorEastAsia" w:eastAsiaTheme="minorEastAsia"/>
                <w:color w:val="000000" w:themeColor="text1"/>
                <w:sz w:val="15"/>
                <w:szCs w:val="15"/>
                <w:highlight w:val="none"/>
                <w14:textFill>
                  <w14:solidFill>
                    <w14:schemeClr w14:val="tx1"/>
                  </w14:solidFill>
                </w14:textFill>
              </w:rPr>
              <w:t>31</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45</w:t>
            </w:r>
            <w:r>
              <w:rPr>
                <w:rFonts w:hint="eastAsia" w:asciiTheme="minorEastAsia" w:hAnsiTheme="minorEastAsia" w:eastAsiaTheme="minorEastAsia"/>
                <w:color w:val="000000" w:themeColor="text1"/>
                <w:sz w:val="15"/>
                <w:szCs w:val="15"/>
                <w:highlight w:val="none"/>
                <w14:textFill>
                  <w14:solidFill>
                    <w14:schemeClr w14:val="tx1"/>
                  </w14:solidFill>
                </w14:textFill>
              </w:rPr>
              <w:t>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136米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违反条款：第二十三条第（一）项；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1.未按规定管护围挡长度</w:t>
            </w:r>
            <w:r>
              <w:rPr>
                <w:rFonts w:asciiTheme="minorEastAsia" w:hAnsiTheme="minorEastAsia" w:eastAsiaTheme="minorEastAsia"/>
                <w:color w:val="000000" w:themeColor="text1"/>
                <w:sz w:val="15"/>
                <w:szCs w:val="15"/>
                <w:highlight w:val="none"/>
                <w14:textFill>
                  <w14:solidFill>
                    <w14:schemeClr w14:val="tx1"/>
                  </w14:solidFill>
                </w14:textFill>
              </w:rPr>
              <w:t>16</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30</w:t>
            </w:r>
            <w:r>
              <w:rPr>
                <w:rFonts w:hint="eastAsia" w:asciiTheme="minorEastAsia" w:hAnsiTheme="minorEastAsia" w:eastAsiaTheme="minorEastAsia"/>
                <w:color w:val="000000" w:themeColor="text1"/>
                <w:sz w:val="15"/>
                <w:szCs w:val="15"/>
                <w:highlight w:val="none"/>
                <w14:textFill>
                  <w14:solidFill>
                    <w14:schemeClr w14:val="tx1"/>
                  </w14:solidFill>
                </w14:textFill>
              </w:rPr>
              <w:t>米的，系数1；</w:t>
            </w:r>
            <w:r>
              <w:rPr>
                <w:rFonts w:asciiTheme="minorEastAsia" w:hAnsiTheme="minorEastAsia" w:eastAsiaTheme="minorEastAsia"/>
                <w:color w:val="000000" w:themeColor="text1"/>
                <w:sz w:val="15"/>
                <w:szCs w:val="15"/>
                <w:highlight w:val="none"/>
                <w14:textFill>
                  <w14:solidFill>
                    <w14:schemeClr w14:val="tx1"/>
                  </w14:solidFill>
                </w14:textFill>
              </w:rPr>
              <w:t>31</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45</w:t>
            </w:r>
            <w:r>
              <w:rPr>
                <w:rFonts w:hint="eastAsia" w:asciiTheme="minorEastAsia" w:hAnsiTheme="minorEastAsia" w:eastAsiaTheme="minorEastAsia"/>
                <w:color w:val="000000" w:themeColor="text1"/>
                <w:sz w:val="15"/>
                <w:szCs w:val="15"/>
                <w:highlight w:val="none"/>
                <w14:textFill>
                  <w14:solidFill>
                    <w14:schemeClr w14:val="tx1"/>
                  </w14:solidFill>
                </w14:textFill>
              </w:rPr>
              <w:t>米的，系数2，以此类推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136米</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；2.期间发生危害公共安全行为的，系数</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10000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市政基础设施工程因特殊情况不能进行围挡的未设置警示标志（或未在工程危险部位采取防护措施）</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违反条款：第二十三条第（一）项；</w:t>
            </w:r>
          </w:p>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1.违法行为持续时间较长，或者未设置警示标志或者防护措施的长度、面积较大的，发生在人口密集地区的，系数</w:t>
            </w:r>
            <w:r>
              <w:rPr>
                <w:rFonts w:asciiTheme="minorEastAsia" w:hAnsiTheme="minorEastAsia" w:eastAsiaTheme="minorEastAsia"/>
                <w:color w:val="000000" w:themeColor="text1"/>
                <w:sz w:val="15"/>
                <w:szCs w:val="15"/>
                <w:highlight w:val="none"/>
                <w14:textFill>
                  <w14:solidFill>
                    <w14:schemeClr w14:val="tx1"/>
                  </w14:solidFill>
                </w14:textFill>
              </w:rPr>
              <w:t>5-9</w:t>
            </w:r>
            <w:r>
              <w:rPr>
                <w:rFonts w:hint="eastAsia" w:asciiTheme="minorEastAsia" w:hAnsiTheme="minorEastAsia" w:eastAsiaTheme="minorEastAsia"/>
                <w:color w:val="000000" w:themeColor="text1"/>
                <w:sz w:val="15"/>
                <w:szCs w:val="15"/>
                <w:highlight w:val="none"/>
                <w14:textFill>
                  <w14:solidFill>
                    <w14:schemeClr w14:val="tx1"/>
                  </w14:solidFill>
                </w14:textFill>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未按规定对施工现场道路、场地进行硬化、覆盖或者绿化</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违反条款：第二十三条第（二）项；</w:t>
            </w:r>
          </w:p>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未硬化、覆盖或者绿化面积</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以下的，系数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25</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40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p>
        </w:tc>
        <w:tc>
          <w:tcPr>
            <w:tcW w:w="2385" w:type="dxa"/>
            <w:shd w:val="clear" w:color="auto" w:fill="auto"/>
            <w:vAlign w:val="center"/>
          </w:tcPr>
          <w:p>
            <w:pPr>
              <w:spacing w:line="23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施工现场</w:t>
            </w:r>
            <w:r>
              <w:rPr>
                <w:rFonts w:asciiTheme="minorEastAsia" w:hAnsiTheme="minorEastAsia" w:eastAsiaTheme="minorEastAsia"/>
                <w:color w:val="000000" w:themeColor="text1"/>
                <w:sz w:val="15"/>
                <w:szCs w:val="15"/>
                <w:highlight w:val="none"/>
                <w14:textFill>
                  <w14:solidFill>
                    <w14:schemeClr w14:val="tx1"/>
                  </w14:solidFill>
                </w14:textFill>
              </w:rPr>
              <w:t>土方</w:t>
            </w:r>
            <w:r>
              <w:rPr>
                <w:rFonts w:hint="eastAsia" w:asciiTheme="minorEastAsia" w:hAnsiTheme="minorEastAsia" w:eastAsiaTheme="minorEastAsia"/>
                <w:color w:val="000000" w:themeColor="text1"/>
                <w:sz w:val="15"/>
                <w:szCs w:val="15"/>
                <w:highlight w:val="none"/>
                <w14:textFill>
                  <w14:solidFill>
                    <w14:schemeClr w14:val="tx1"/>
                  </w14:solidFill>
                </w14:textFill>
              </w:rPr>
              <w:t>未</w:t>
            </w:r>
            <w:r>
              <w:rPr>
                <w:rFonts w:asciiTheme="minorEastAsia" w:hAnsiTheme="minorEastAsia" w:eastAsiaTheme="minorEastAsia"/>
                <w:color w:val="000000" w:themeColor="text1"/>
                <w:sz w:val="15"/>
                <w:szCs w:val="15"/>
                <w:highlight w:val="none"/>
                <w14:textFill>
                  <w14:solidFill>
                    <w14:schemeClr w14:val="tx1"/>
                  </w14:solidFill>
                </w14:textFill>
              </w:rPr>
              <w:t>集中堆放</w:t>
            </w:r>
            <w:r>
              <w:rPr>
                <w:rFonts w:hint="eastAsia" w:asciiTheme="minorEastAsia" w:hAnsiTheme="minorEastAsia" w:eastAsiaTheme="minorEastAsia"/>
                <w:color w:val="000000" w:themeColor="text1"/>
                <w:sz w:val="15"/>
                <w:szCs w:val="15"/>
                <w:highlight w:val="none"/>
                <w14:textFill>
                  <w14:solidFill>
                    <w14:schemeClr w14:val="tx1"/>
                  </w14:solidFill>
                </w14:textFill>
              </w:rPr>
              <w:t>或者未</w:t>
            </w:r>
            <w:r>
              <w:rPr>
                <w:rFonts w:asciiTheme="minorEastAsia" w:hAnsiTheme="minorEastAsia" w:eastAsiaTheme="minorEastAsia"/>
                <w:color w:val="000000" w:themeColor="text1"/>
                <w:sz w:val="15"/>
                <w:szCs w:val="15"/>
                <w:highlight w:val="none"/>
                <w14:textFill>
                  <w14:solidFill>
                    <w14:schemeClr w14:val="tx1"/>
                  </w14:solidFill>
                </w14:textFill>
              </w:rPr>
              <w:t>采取覆盖</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固化等措施</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违反条款：第二十三条第（二）项；</w:t>
            </w:r>
          </w:p>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w:t>
            </w: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asciiTheme="minorEastAsia" w:hAnsiTheme="minorEastAsia" w:eastAsiaTheme="minorEastAsia"/>
                <w:color w:val="000000" w:themeColor="text1"/>
                <w:sz w:val="15"/>
                <w:szCs w:val="15"/>
                <w:highlight w:val="none"/>
                <w14:textFill>
                  <w14:solidFill>
                    <w14:schemeClr w14:val="tx1"/>
                  </w14:solidFill>
                </w14:textFill>
              </w:rPr>
              <w:t>26</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asciiTheme="minorEastAsia" w:hAnsiTheme="minorEastAsia" w:eastAsiaTheme="minorEastAsia"/>
                <w:color w:val="000000" w:themeColor="text1"/>
                <w:sz w:val="15"/>
                <w:szCs w:val="15"/>
                <w:highlight w:val="none"/>
                <w14:textFill>
                  <w14:solidFill>
                    <w14:schemeClr w14:val="tx1"/>
                  </w14:solidFill>
                </w14:textFill>
              </w:rPr>
              <w:t>4</w:t>
            </w:r>
            <w:r>
              <w:rPr>
                <w:rFonts w:hint="eastAsia" w:asciiTheme="minorEastAsia" w:hAnsiTheme="minorEastAsia" w:eastAsiaTheme="minorEastAsia"/>
                <w:color w:val="000000" w:themeColor="text1"/>
                <w:sz w:val="15"/>
                <w:szCs w:val="15"/>
                <w:highlight w:val="none"/>
                <w14:textFill>
                  <w14:solidFill>
                    <w14:schemeClr w14:val="tx1"/>
                  </w14:solidFill>
                </w14:textFill>
              </w:rPr>
              <w:t>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建设单位</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未对暂时不开发的空地进行绿化</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违反条款：第二十三条第（二）项；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1.面积1000</w:t>
            </w:r>
            <w:r>
              <w:rPr>
                <w:rFonts w:hint="eastAsia" w:cs="Batang"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kern w:val="0"/>
                <w:sz w:val="15"/>
                <w:szCs w:val="15"/>
                <w:highlight w:val="none"/>
                <w14:textFill>
                  <w14:solidFill>
                    <w14:schemeClr w14:val="tx1"/>
                  </w14:solidFill>
                </w14:textFill>
              </w:rPr>
              <w:t>以内，变量系数为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w:t>
            </w:r>
            <w:r>
              <w:rPr>
                <w:rFonts w:asciiTheme="minorEastAsia" w:hAnsiTheme="minorEastAsia" w:eastAsiaTheme="minorEastAsia"/>
                <w:color w:val="000000" w:themeColor="text1"/>
                <w:sz w:val="15"/>
                <w:szCs w:val="15"/>
                <w:highlight w:val="none"/>
                <w14:textFill>
                  <w14:solidFill>
                    <w14:schemeClr w14:val="tx1"/>
                  </w14:solidFill>
                </w14:textFill>
              </w:rPr>
              <w:t>1000</w:t>
            </w:r>
            <w:r>
              <w:rPr>
                <w:rFonts w:hint="eastAsia" w:asciiTheme="minorEastAsia" w:hAnsiTheme="minorEastAsia" w:eastAsiaTheme="minorEastAsia"/>
                <w:color w:val="000000" w:themeColor="text1"/>
                <w:sz w:val="15"/>
                <w:szCs w:val="15"/>
                <w:highlight w:val="none"/>
                <w14:textFill>
                  <w14:solidFill>
                    <w14:schemeClr w14:val="tx1"/>
                  </w14:solidFill>
                </w14:textFill>
              </w:rPr>
              <w:t>－15</w:t>
            </w:r>
            <w:r>
              <w:rPr>
                <w:rFonts w:asciiTheme="minorEastAsia" w:hAnsiTheme="minorEastAsia" w:eastAsiaTheme="minorEastAsia"/>
                <w:color w:val="000000" w:themeColor="text1"/>
                <w:sz w:val="15"/>
                <w:szCs w:val="15"/>
                <w:highlight w:val="none"/>
                <w14:textFill>
                  <w14:solidFill>
                    <w14:schemeClr w14:val="tx1"/>
                  </w14:solidFill>
                </w14:textFill>
              </w:rPr>
              <w:t>00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1；1</w:t>
            </w:r>
            <w:r>
              <w:rPr>
                <w:rFonts w:asciiTheme="minorEastAsia" w:hAnsiTheme="minorEastAsia" w:eastAsiaTheme="minorEastAsia"/>
                <w:color w:val="000000" w:themeColor="text1"/>
                <w:sz w:val="15"/>
                <w:szCs w:val="15"/>
                <w:highlight w:val="none"/>
                <w14:textFill>
                  <w14:solidFill>
                    <w14:schemeClr w14:val="tx1"/>
                  </w14:solidFill>
                </w14:textFill>
              </w:rPr>
              <w:t>500</w:t>
            </w: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5000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auto"/>
            <w:vAlign w:val="center"/>
          </w:tcPr>
          <w:p>
            <w:pPr>
              <w:spacing w:line="232" w:lineRule="exact"/>
              <w:rPr>
                <w:rFonts w:cs="宋体" w:asciiTheme="minorEastAsia" w:hAnsiTheme="minorEastAsia" w:eastAsiaTheme="minorEastAsia"/>
                <w:dstrike/>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施工现场未采取洒水措施防止扬尘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违反条款：第二十三条第（三）项；</w:t>
            </w:r>
          </w:p>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拆除作业时未采取洒水措施防止扬尘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违反条款：第二十三条第（三）项；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w:t>
            </w:r>
            <w:r>
              <w:rPr>
                <w:rFonts w:asciiTheme="minorEastAsia" w:hAnsiTheme="minorEastAsia" w:eastAsiaTheme="minorEastAsia"/>
                <w:color w:val="000000" w:themeColor="text1"/>
                <w:sz w:val="15"/>
                <w:szCs w:val="15"/>
                <w:highlight w:val="none"/>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10000</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可能产生扬尘污染的建筑材料未在库房存放或者未严密遮盖</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违反条款：第二十三条第（四）项；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面积</w:t>
            </w:r>
            <w:r>
              <w:rPr>
                <w:rFonts w:asciiTheme="minorEastAsia" w:hAnsiTheme="minorEastAsia" w:eastAsiaTheme="minorEastAsia"/>
                <w:color w:val="000000" w:themeColor="text1"/>
                <w:sz w:val="15"/>
                <w:szCs w:val="15"/>
                <w:highlight w:val="none"/>
                <w14:textFill>
                  <w14:solidFill>
                    <w14:schemeClr w14:val="tx1"/>
                  </w14:solidFill>
                </w14:textFill>
              </w:rPr>
              <w:t>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w:t>
            </w:r>
            <w:r>
              <w:rPr>
                <w:rFonts w:asciiTheme="minorEastAsia" w:hAnsiTheme="minorEastAsia" w:eastAsiaTheme="minorEastAsia"/>
                <w:color w:val="000000" w:themeColor="text1"/>
                <w:sz w:val="15"/>
                <w:szCs w:val="15"/>
                <w:highlight w:val="none"/>
                <w14:textFill>
                  <w14:solidFill>
                    <w14:schemeClr w14:val="tx1"/>
                  </w14:solidFill>
                </w14:textFill>
              </w:rPr>
              <w:t>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w:t>
            </w: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6－</w:t>
            </w:r>
            <w:r>
              <w:rPr>
                <w:rFonts w:asciiTheme="minorEastAsia" w:hAnsiTheme="minorEastAsia" w:eastAsiaTheme="minorEastAsia"/>
                <w:color w:val="000000" w:themeColor="text1"/>
                <w:sz w:val="15"/>
                <w:szCs w:val="15"/>
                <w:highlight w:val="none"/>
                <w14:textFill>
                  <w14:solidFill>
                    <w14:schemeClr w14:val="tx1"/>
                  </w14:solidFill>
                </w14:textFill>
              </w:rPr>
              <w:t>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jc w:val="lef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适用于施工现场相关违法行为的查处。</w:t>
            </w:r>
          </w:p>
          <w:p>
            <w:pPr>
              <w:spacing w:line="232" w:lineRule="exact"/>
              <w:jc w:val="lef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施工现场存放油料未采取防止泄漏和污染措施</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违反条款：第二十三条第（四）项；</w:t>
            </w:r>
          </w:p>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面积10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以下的，系数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0；11－25</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的，系数</w:t>
            </w:r>
            <w:r>
              <w:rPr>
                <w:rFonts w:hint="eastAsia" w:asciiTheme="minorEastAsia" w:hAnsiTheme="minorEastAsia" w:eastAsiaTheme="minorEastAsia"/>
                <w:color w:val="000000" w:themeColor="text1"/>
                <w:sz w:val="15"/>
                <w:szCs w:val="15"/>
                <w:highlight w:val="none"/>
                <w14:textFill>
                  <w14:solidFill>
                    <w14:schemeClr w14:val="tx1"/>
                  </w14:solidFill>
                </w14:textFill>
              </w:rPr>
              <w:t>1；26－40</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2，以此类推</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131</w:t>
            </w:r>
            <w:r>
              <w:rPr>
                <w:rFonts w:hint="eastAsia" w:cs="Batang" w:asciiTheme="minorEastAsia" w:hAnsiTheme="minorEastAsia" w:eastAsiaTheme="minorEastAsia"/>
                <w:color w:val="000000" w:themeColor="text1"/>
                <w:sz w:val="15"/>
                <w:szCs w:val="15"/>
                <w:highlight w:val="none"/>
                <w14:textFill>
                  <w14:solidFill>
                    <w14:schemeClr w14:val="tx1"/>
                  </w14:solidFill>
                </w14:textFill>
              </w:rPr>
              <w:t>㎡</w:t>
            </w:r>
            <w:r>
              <w:rPr>
                <w:rFonts w:hint="eastAsia" w:cs="Batang" w:asciiTheme="minorEastAsia" w:hAnsiTheme="minorEastAsia" w:eastAsiaTheme="minorEastAsia"/>
                <w:color w:val="000000" w:themeColor="text1"/>
                <w:sz w:val="15"/>
                <w:szCs w:val="15"/>
                <w:highlight w:val="none"/>
                <w:lang w:eastAsia="zh-CN"/>
                <w14:textFill>
                  <w14:solidFill>
                    <w14:schemeClr w14:val="tx1"/>
                  </w14:solidFill>
                </w14:textFill>
              </w:rPr>
              <w:t>及以上的，系数</w:t>
            </w:r>
            <w:r>
              <w:rPr>
                <w:rFonts w:hint="eastAsia" w:cs="Batang" w:asciiTheme="minorEastAsia" w:hAnsiTheme="minorEastAsia" w:eastAsiaTheme="minorEastAsia"/>
                <w:color w:val="000000" w:themeColor="text1"/>
                <w:sz w:val="15"/>
                <w:szCs w:val="15"/>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15"/>
                <w:szCs w:val="15"/>
                <w:highlight w:val="none"/>
                <w14:textFill>
                  <w14:solidFill>
                    <w14:schemeClr w14:val="tx1"/>
                  </w14:solidFill>
                </w14:textFill>
              </w:rPr>
              <w:t>。2.其他严重污染环境情形的，系数为9。</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10</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施工现场出口处未设置冲洗车辆设施</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违反条款：第二十四条；</w:t>
            </w:r>
          </w:p>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w:t>
            </w:r>
            <w:r>
              <w:rPr>
                <w:rFonts w:asciiTheme="minorEastAsia" w:hAnsiTheme="minorEastAsia" w:eastAsiaTheme="minorEastAsia"/>
                <w:color w:val="000000" w:themeColor="text1"/>
                <w:sz w:val="15"/>
                <w:szCs w:val="15"/>
                <w:highlight w:val="none"/>
                <w14:textFill>
                  <w14:solidFill>
                    <w14:schemeClr w14:val="tx1"/>
                  </w14:solidFill>
                </w14:textFill>
              </w:rPr>
              <w:t>三十七条，</w:t>
            </w:r>
            <w:r>
              <w:rPr>
                <w:rFonts w:hint="eastAsia" w:asciiTheme="minorEastAsia" w:hAnsiTheme="minorEastAsia" w:eastAsiaTheme="minorEastAsia"/>
                <w:color w:val="000000" w:themeColor="text1"/>
                <w:sz w:val="15"/>
                <w:szCs w:val="15"/>
                <w:highlight w:val="none"/>
                <w14:textFill>
                  <w14:solidFill>
                    <w14:schemeClr w14:val="tx1"/>
                  </w14:solidFill>
                </w14:textFill>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asciiTheme="minorEastAsia" w:hAnsiTheme="minorEastAsia" w:eastAsiaTheme="minorEastAsia"/>
                <w:color w:val="000000" w:themeColor="text1"/>
                <w:sz w:val="15"/>
                <w:szCs w:val="15"/>
                <w:highlight w:val="none"/>
                <w14:textFill>
                  <w14:solidFill>
                    <w14:schemeClr w14:val="tx1"/>
                  </w14:solidFill>
                </w14:textFill>
              </w:rPr>
              <w:t>0</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其它</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罚款额度的，说明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理由，报</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案</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审会决定</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p>
            <w:pPr>
              <w:spacing w:line="232"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逾期未</w:t>
            </w:r>
            <w:r>
              <w:rPr>
                <w:rFonts w:hint="eastAsia" w:asciiTheme="minorEastAsia" w:hAnsiTheme="minorEastAsia" w:eastAsiaTheme="minorEastAsia"/>
                <w:color w:val="000000" w:themeColor="text1"/>
                <w:sz w:val="15"/>
                <w:szCs w:val="15"/>
                <w:highlight w:val="none"/>
                <w14:textFill>
                  <w14:solidFill>
                    <w14:schemeClr w14:val="tx1"/>
                  </w14:solidFill>
                </w14:textFill>
              </w:rPr>
              <w:t>改正的，责令停工整治</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未设密闭式垃圾站</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违反条款：第二十五条；</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处罚条款：第三十八条：责令改正，处1000元以上1万元以下罚款。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000000" w:themeColor="text1"/>
                <w:sz w:val="15"/>
                <w:szCs w:val="15"/>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未设置时间持续较长、垃圾堆放量较大，垃圾飘洒、恶臭等环境脏乱严重等情形，系数为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4</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其它</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罚款额度的，说明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理由，报</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案</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审会决定</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未搭设密闭式专用垃圾通道或者未采用容器吊运的</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违反条款：第二十五条；</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未搭设密闭式专用垃圾通道时间持续较长或不采用容器吊运时间较长的，系数为</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rPr>
                <w:rFonts w:cs="宋体" w:asciiTheme="minorEastAsia" w:hAnsiTheme="minorEastAsia" w:eastAsiaTheme="minorEastAsia"/>
                <w:dstrike/>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其它</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罚款额度的，说明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理由，报</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案</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审会决定</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24"/>
                <w:szCs w:val="24"/>
                <w:highlight w:val="none"/>
                <w14:textFill>
                  <w14:solidFill>
                    <w14:schemeClr w14:val="tx1"/>
                  </w14:solidFill>
                </w14:textFill>
              </w:rPr>
            </w:pPr>
            <w:bookmarkStart w:id="132" w:name="_Toc1256403622"/>
            <w:bookmarkStart w:id="133" w:name="_Toc110851476"/>
            <w:bookmarkStart w:id="134" w:name="_Toc871540661"/>
            <w:r>
              <w:rPr>
                <w:rFonts w:hint="eastAsia" w:ascii="黑体" w:hAnsi="黑体" w:eastAsia="黑体"/>
                <w:b w:val="0"/>
                <w:color w:val="000000" w:themeColor="text1"/>
                <w:sz w:val="36"/>
                <w:szCs w:val="36"/>
                <w:highlight w:val="none"/>
                <w14:textFill>
                  <w14:solidFill>
                    <w14:schemeClr w14:val="tx1"/>
                  </w14:solidFill>
                </w14:textFill>
              </w:rPr>
              <w:t>停车场管理方面</w:t>
            </w:r>
            <w:bookmarkEnd w:id="132"/>
            <w:bookmarkEnd w:id="133"/>
            <w:bookmarkEnd w:id="13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35" w:name="_Toc509001082"/>
            <w:bookmarkStart w:id="136" w:name="_Toc110851477"/>
            <w:bookmarkStart w:id="137" w:name="_Toc939413149"/>
            <w:r>
              <w:rPr>
                <w:rFonts w:hint="eastAsia" w:asciiTheme="minorEastAsia" w:hAnsiTheme="minorEastAsia" w:eastAsiaTheme="minorEastAsia"/>
                <w:color w:val="000000" w:themeColor="text1"/>
                <w:sz w:val="21"/>
                <w:szCs w:val="21"/>
                <w:highlight w:val="none"/>
                <w14:textFill>
                  <w14:solidFill>
                    <w14:schemeClr w14:val="tx1"/>
                  </w14:solidFill>
                </w14:textFill>
              </w:rPr>
              <w:t>《北京市机动车停车管理办法》案由13项</w:t>
            </w:r>
            <w:bookmarkEnd w:id="135"/>
            <w:bookmarkEnd w:id="136"/>
            <w:bookmarkEnd w:id="1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擅自停止使用机动车停车场</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非行政处罚事项</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擅自将机动车停车场改作他用</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非行政处罚事项</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擅自将机动车临时停车场停止使用</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非行政处罚事项</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190" w:lineRule="exact"/>
              <w:contextualSpacing/>
              <w:jc w:val="left"/>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无照经营（机动车停车场）</w:t>
            </w:r>
          </w:p>
        </w:tc>
        <w:tc>
          <w:tcPr>
            <w:tcW w:w="2789" w:type="dxa"/>
            <w:shd w:val="clear" w:color="auto" w:fill="auto"/>
            <w:vAlign w:val="center"/>
          </w:tcPr>
          <w:p>
            <w:pPr>
              <w:spacing w:line="190"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190" w:lineRule="exact"/>
              <w:contextualSpacing/>
              <w:jc w:val="left"/>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按照《基准》的规定执行</w:t>
            </w:r>
            <w:r>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t>。</w:t>
            </w:r>
          </w:p>
        </w:tc>
        <w:tc>
          <w:tcPr>
            <w:tcW w:w="1785" w:type="dxa"/>
            <w:shd w:val="clear" w:color="auto" w:fill="auto"/>
            <w:vAlign w:val="center"/>
          </w:tcPr>
          <w:p>
            <w:pPr>
              <w:spacing w:line="190"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罚款数额＝3000×（1＋</w:t>
            </w:r>
            <w:r>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t>常量系数＋区域系数</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190" w:lineRule="exact"/>
              <w:contextualSpacing/>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t>需要</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在3000元以下进行处罚</w:t>
            </w:r>
            <w:r>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报案审会审议</w:t>
            </w:r>
            <w:r>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t>决定。</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contextualSpacing/>
              <w:jc w:val="center"/>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19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未按规定对停车泊位备案</w:t>
            </w:r>
          </w:p>
        </w:tc>
        <w:tc>
          <w:tcPr>
            <w:tcW w:w="2789" w:type="dxa"/>
            <w:shd w:val="clear" w:color="auto" w:fill="auto"/>
            <w:vAlign w:val="center"/>
          </w:tcPr>
          <w:p>
            <w:pPr>
              <w:spacing w:line="19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违反条款：第二十条第一款；处罚条款：第三十二条第二款:处1万元罚款.</w:t>
            </w:r>
          </w:p>
        </w:tc>
        <w:tc>
          <w:tcPr>
            <w:tcW w:w="851"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19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按照规定额度处罚</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vMerge w:val="restart"/>
            <w:shd w:val="clear" w:color="auto" w:fill="auto"/>
            <w:vAlign w:val="center"/>
          </w:tcPr>
          <w:p>
            <w:pPr>
              <w:spacing w:line="19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pPr>
              <w:spacing w:line="190"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190"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按照规定额度处罚</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构成变量系数规定的情形之一，或者一年内2次以上同类违法行为受到告诫或处罚的，视为情节严重。</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vMerge w:val="restart"/>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停车场管理单位未指挥车辆按序进出和停放，维护停车秩序</w:t>
            </w:r>
          </w:p>
        </w:tc>
        <w:tc>
          <w:tcPr>
            <w:tcW w:w="2789" w:type="dxa"/>
            <w:vMerge w:val="restart"/>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1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按照规定额度处罚</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因未有效指挥和维护停车秩序，致使周边交通拥堵或者诱发其它停车事故、交通事故的，或者一年内2次以上同类违法行为受到告诫或处罚的，视为情节严重。</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vMerge w:val="restart"/>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停车场管理单位未对停车管理员进行专业培训、考核</w:t>
            </w:r>
          </w:p>
        </w:tc>
        <w:tc>
          <w:tcPr>
            <w:tcW w:w="2789" w:type="dxa"/>
            <w:vMerge w:val="restart"/>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1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按照规定额度处罚</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经核实，管理单位长达半年以上未对管理员进行培训考核，或者存在3名以上管理员同时未参与培训、考核的情形，系数1。</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构成变量系数规定的情形之一，或者一年内2次以上同类违法行为受到告诫或处罚的，视为情节严重。</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vMerge w:val="restart"/>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停车场管理单位在停车区域从事影响车辆安全停放的</w:t>
            </w: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其</w:t>
            </w:r>
            <w:r>
              <w:rPr>
                <w:rFonts w:hint="eastAsia" w:asciiTheme="minorEastAsia" w:hAnsiTheme="minorEastAsia" w:eastAsiaTheme="minorEastAsia"/>
                <w:color w:val="000000" w:themeColor="text1"/>
                <w:sz w:val="15"/>
                <w:szCs w:val="15"/>
                <w:highlight w:val="none"/>
                <w:shd w:val="clear"/>
                <w:lang w:eastAsia="zh-CN"/>
                <w14:textFill>
                  <w14:solidFill>
                    <w14:schemeClr w14:val="tx1"/>
                  </w14:solidFill>
                </w14:textFill>
              </w:rPr>
              <w:t>他</w:t>
            </w: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经</w:t>
            </w:r>
            <w:r>
              <w:rPr>
                <w:rFonts w:hint="eastAsia" w:asciiTheme="minorEastAsia" w:hAnsiTheme="minorEastAsia" w:eastAsiaTheme="minorEastAsia"/>
                <w:color w:val="000000" w:themeColor="text1"/>
                <w:sz w:val="15"/>
                <w:szCs w:val="15"/>
                <w:highlight w:val="none"/>
                <w14:textFill>
                  <w14:solidFill>
                    <w14:schemeClr w14:val="tx1"/>
                  </w14:solidFill>
                </w14:textFill>
              </w:rPr>
              <w:t>营活动</w:t>
            </w:r>
          </w:p>
        </w:tc>
        <w:tc>
          <w:tcPr>
            <w:tcW w:w="2789" w:type="dxa"/>
            <w:vMerge w:val="restart"/>
            <w:shd w:val="clear" w:color="auto" w:fill="auto"/>
            <w:vAlign w:val="center"/>
          </w:tcPr>
          <w:p>
            <w:pPr>
              <w:spacing w:line="21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1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按照规定额度处罚</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一年内群众投诉3次以上，或者致使周边交通拥堵的，或者因上述原因诱发停车事故或者交通事故的，系数1。</w:t>
            </w:r>
          </w:p>
        </w:tc>
        <w:tc>
          <w:tcPr>
            <w:tcW w:w="17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1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致使周边交通拥堵或者诱发其它停车事故、交通事故的，或者一年内2次以上同类违法行为受到告诫或处罚的，视为情节严重。</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停车场管理单位未建立投诉处理制度</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按照规定额度处罚</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群众3次以上投诉，或者诱发其它停车事故、交通事故、治安事件的，或者一年内2次以上同类违法行为受到告诫或处罚的，视为情节严重。</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停车场管理单位未遵守国家和</w:t>
            </w: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本市其</w:t>
            </w:r>
            <w:r>
              <w:rPr>
                <w:rFonts w:hint="eastAsia" w:asciiTheme="minorEastAsia" w:hAnsiTheme="minorEastAsia" w:eastAsiaTheme="minorEastAsia"/>
                <w:color w:val="000000" w:themeColor="text1"/>
                <w:sz w:val="15"/>
                <w:szCs w:val="15"/>
                <w:highlight w:val="none"/>
                <w:shd w:val="clear"/>
                <w:lang w:eastAsia="zh-CN"/>
                <w14:textFill>
                  <w14:solidFill>
                    <w14:schemeClr w14:val="tx1"/>
                  </w14:solidFill>
                </w14:textFill>
              </w:rPr>
              <w:t>他</w:t>
            </w:r>
            <w:r>
              <w:rPr>
                <w:rFonts w:hint="eastAsia" w:asciiTheme="minorEastAsia" w:hAnsiTheme="minorEastAsia" w:eastAsiaTheme="minorEastAsia"/>
                <w:color w:val="000000" w:themeColor="text1"/>
                <w:sz w:val="15"/>
                <w:szCs w:val="15"/>
                <w:highlight w:val="none"/>
                <w:shd w:val="clear"/>
                <w14:textFill>
                  <w14:solidFill>
                    <w14:schemeClr w14:val="tx1"/>
                  </w14:solidFill>
                </w14:textFill>
              </w:rPr>
              <w:t>相关停车管理服务规范和标准</w:t>
            </w:r>
          </w:p>
        </w:tc>
        <w:tc>
          <w:tcPr>
            <w:tcW w:w="2789" w:type="dxa"/>
            <w:vMerge w:val="restart"/>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按照规定额度处罚</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群众3次以上投诉，或者诱发其它停车事故、交通事故、治安事件的，或者一年内2次以上同类违法行为受到告诫或处罚的，视为情节严重。</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停车场未按规定24小时开放</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一年内群众投诉3次以上的，系数1。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 xml:space="preserve">适用于中心城范围内向社会开放并收费的停车场；按规定实行限时的临时停车场除外。 </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擅自设置地桩、地锁等障碍物</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违反条款：第二十七条第一款；处罚条款：第三十七条</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第一款</w:t>
            </w:r>
            <w:r>
              <w:rPr>
                <w:rFonts w:hint="eastAsia" w:asciiTheme="minorEastAsia" w:hAnsiTheme="minorEastAsia" w:eastAsiaTheme="minorEastAsia"/>
                <w:color w:val="000000" w:themeColor="text1"/>
                <w:sz w:val="15"/>
                <w:szCs w:val="15"/>
                <w:highlight w:val="none"/>
                <w14:textFill>
                  <w14:solidFill>
                    <w14:schemeClr w14:val="tx1"/>
                  </w14:solidFill>
                </w14:textFill>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 一年内群众投诉3次以上的，系数1；2.设置地桩、地锁等障碍物数量2个，系数1；3个，系数2，以此累加</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10个及以上的，系数9</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；3.存在其它严重影响通行和市容秩序、致使公共安全等事件的，系数9。</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常量系数＋变量系数＋区域系数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38" w:name="_Toc1557995543"/>
            <w:bookmarkStart w:id="139" w:name="_Toc110851478"/>
            <w:bookmarkStart w:id="140" w:name="_Toc865250467"/>
            <w:r>
              <w:rPr>
                <w:rFonts w:hint="eastAsia" w:asciiTheme="minorEastAsia" w:hAnsiTheme="minorEastAsia" w:eastAsiaTheme="minorEastAsia"/>
                <w:color w:val="000000" w:themeColor="text1"/>
                <w:sz w:val="21"/>
                <w:szCs w:val="21"/>
                <w:highlight w:val="none"/>
                <w14:textFill>
                  <w14:solidFill>
                    <w14:schemeClr w14:val="tx1"/>
                  </w14:solidFill>
                </w14:textFill>
              </w:rPr>
              <w:t>《北京市</w:t>
            </w:r>
            <w:r>
              <w:rPr>
                <w:rFonts w:asciiTheme="minorEastAsia" w:hAnsiTheme="minorEastAsia" w:eastAsiaTheme="minorEastAsia"/>
                <w:color w:val="000000" w:themeColor="text1"/>
                <w:sz w:val="21"/>
                <w:szCs w:val="21"/>
                <w:highlight w:val="none"/>
                <w14:textFill>
                  <w14:solidFill>
                    <w14:schemeClr w14:val="tx1"/>
                  </w14:solidFill>
                </w14:textFill>
              </w:rPr>
              <w:t>机动车停车条例</w:t>
            </w:r>
            <w:r>
              <w:rPr>
                <w:rFonts w:hint="eastAsia" w:asciiTheme="minorEastAsia" w:hAnsiTheme="minorEastAsia" w:eastAsiaTheme="minorEastAsia"/>
                <w:color w:val="000000" w:themeColor="text1"/>
                <w:sz w:val="21"/>
                <w:szCs w:val="21"/>
                <w:highlight w:val="none"/>
                <w14:textFill>
                  <w14:solidFill>
                    <w14:schemeClr w14:val="tx1"/>
                  </w14:solidFill>
                </w14:textFill>
              </w:rPr>
              <w:t>》案由6项</w:t>
            </w:r>
            <w:bookmarkEnd w:id="138"/>
            <w:bookmarkEnd w:id="139"/>
            <w:bookmarkEnd w:id="14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违反条款：第二十一条第一款。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未按照规定时限（或未如实）报送停车设施设置情况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违反条款：第二十二条第一款。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先行责令限期改正，当事人在规定期限内改正的，不予处罚；逾期未改正的，处2000元罚款。</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公共停车设施未按照标准配建停车诱导设施（进出车辆信息采集及号牌系统、与所在区域停车诱导系统实时对接）</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违反条款：第二十四条第二款。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擅自设置固定或者可移动障碍物</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违反条款：第二十六条第一款。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1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该条规定的障碍物包括地桩、地锁等固定式障碍物和废旧桌椅、自行车等可移动障碍物，和《办法》规定的“地桩、地锁等障碍物”有所区别。</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停车场未按规定24小时开放</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违反条款：第三十二条第二款。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1.仅限于中心城区范围内经营性停车设施；2.《条例》未涉及的停车设施经营单位应遵守的其它规定，依据《办法》第二十一条规定执行。</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违反规划将停车设施改作他用</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违反条款：第三十三条第一款。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按照规定执行，处每个泊位1万元罚款。</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41" w:name="_Toc110851479"/>
            <w:bookmarkStart w:id="142" w:name="_Toc67594986"/>
            <w:bookmarkStart w:id="143" w:name="_Toc1046708354"/>
            <w:r>
              <w:rPr>
                <w:rFonts w:hint="eastAsia" w:asciiTheme="minorEastAsia" w:hAnsiTheme="minorEastAsia" w:eastAsiaTheme="minorEastAsia"/>
                <w:color w:val="000000" w:themeColor="text1"/>
                <w:sz w:val="21"/>
                <w:szCs w:val="21"/>
                <w:highlight w:val="none"/>
                <w14:textFill>
                  <w14:solidFill>
                    <w14:schemeClr w14:val="tx1"/>
                  </w14:solidFill>
                </w14:textFill>
              </w:rPr>
              <w:t>《北京市非机动车停车管理办法》《北京市</w:t>
            </w:r>
            <w:r>
              <w:rPr>
                <w:rFonts w:asciiTheme="minorEastAsia" w:hAnsiTheme="minorEastAsia" w:eastAsiaTheme="minorEastAsia"/>
                <w:color w:val="000000" w:themeColor="text1"/>
                <w:sz w:val="21"/>
                <w:szCs w:val="21"/>
                <w:highlight w:val="none"/>
                <w14:textFill>
                  <w14:solidFill>
                    <w14:schemeClr w14:val="tx1"/>
                  </w14:solidFill>
                </w14:textFill>
              </w:rPr>
              <w:t>非机动车</w:t>
            </w:r>
            <w:r>
              <w:rPr>
                <w:rFonts w:hint="eastAsia" w:asciiTheme="minorEastAsia" w:hAnsiTheme="minorEastAsia" w:eastAsiaTheme="minorEastAsia"/>
                <w:color w:val="000000" w:themeColor="text1"/>
                <w:sz w:val="21"/>
                <w:szCs w:val="21"/>
                <w:highlight w:val="none"/>
                <w14:textFill>
                  <w14:solidFill>
                    <w14:schemeClr w14:val="tx1"/>
                  </w14:solidFill>
                </w14:textFill>
              </w:rPr>
              <w:t>管理</w:t>
            </w:r>
            <w:r>
              <w:rPr>
                <w:rFonts w:asciiTheme="minorEastAsia" w:hAnsiTheme="minorEastAsia" w:eastAsiaTheme="minorEastAsia"/>
                <w:color w:val="000000" w:themeColor="text1"/>
                <w:sz w:val="21"/>
                <w:szCs w:val="21"/>
                <w:highlight w:val="none"/>
                <w14:textFill>
                  <w14:solidFill>
                    <w14:schemeClr w14:val="tx1"/>
                  </w14:solidFill>
                </w14:textFill>
              </w:rPr>
              <w:t>条例</w:t>
            </w:r>
            <w:r>
              <w:rPr>
                <w:rFonts w:hint="eastAsia" w:asciiTheme="minorEastAsia" w:hAnsiTheme="minorEastAsia" w:eastAsiaTheme="minorEastAsia"/>
                <w:color w:val="000000" w:themeColor="text1"/>
                <w:sz w:val="21"/>
                <w:szCs w:val="21"/>
                <w:highlight w:val="none"/>
                <w14:textFill>
                  <w14:solidFill>
                    <w14:schemeClr w14:val="tx1"/>
                  </w14:solidFill>
                </w14:textFill>
              </w:rPr>
              <w:t>》案由</w:t>
            </w:r>
            <w:r>
              <w:rPr>
                <w:rFonts w:asciiTheme="minorEastAsia" w:hAnsiTheme="minorEastAsia" w:eastAsiaTheme="minorEastAsia"/>
                <w:color w:val="000000" w:themeColor="text1"/>
                <w:sz w:val="21"/>
                <w:szCs w:val="21"/>
                <w:highlight w:val="none"/>
                <w14:textFill>
                  <w14:solidFill>
                    <w14:schemeClr w14:val="tx1"/>
                  </w14:solidFill>
                </w14:textFill>
              </w:rPr>
              <w:t>6</w:t>
            </w:r>
            <w:r>
              <w:rPr>
                <w:rFonts w:hint="eastAsia" w:asciiTheme="minorEastAsia" w:hAnsiTheme="minorEastAsia" w:eastAsiaTheme="minorEastAsia"/>
                <w:color w:val="000000" w:themeColor="text1"/>
                <w:sz w:val="21"/>
                <w:szCs w:val="21"/>
                <w:highlight w:val="none"/>
                <w14:textFill>
                  <w14:solidFill>
                    <w14:schemeClr w14:val="tx1"/>
                  </w14:solidFill>
                </w14:textFill>
              </w:rPr>
              <w:t>项</w:t>
            </w:r>
            <w:bookmarkEnd w:id="141"/>
            <w:bookmarkEnd w:id="142"/>
            <w:bookmarkEnd w:id="1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违反条款：《北京市非机动车停车管理办法》第九条第一款；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违反条款：《北京市非机动车停车管理办法》第九条第一款；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cs="Arial"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非机动车公共停车场未按规范设置</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违反条款：《北京市非机动车管理条例》第二十二条第一款；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000000" w:themeColor="text1"/>
                <w:kern w:val="0"/>
                <w:sz w:val="15"/>
                <w:szCs w:val="15"/>
                <w:highlight w:val="none"/>
                <w14:textFill>
                  <w14:solidFill>
                    <w14:schemeClr w14:val="tx1"/>
                  </w14:solidFill>
                </w14:textFill>
              </w:rPr>
            </w:pPr>
          </w:p>
        </w:tc>
        <w:tc>
          <w:tcPr>
            <w:tcW w:w="150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违反条款：《北京市非机动车管理条例》第二十二条第一款；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适用于经营性停车场。</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000000" w:themeColor="text1"/>
                <w:kern w:val="0"/>
                <w:sz w:val="15"/>
                <w:szCs w:val="15"/>
                <w:highlight w:val="none"/>
                <w14:textFill>
                  <w14:solidFill>
                    <w14:schemeClr w14:val="tx1"/>
                  </w14:solidFill>
                </w14:textFill>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违反条款：《北京市非机动车管理条例》第二十二条第二款；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cs="Arial"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适用于经营性停车场。</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非机动车公共停车场未建立并落实各项管理和服务制度</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违反条款：《北京市非机动车停车管理办法》第十一条第一款第（二）项；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+区域系数）</w:t>
            </w:r>
          </w:p>
        </w:tc>
        <w:tc>
          <w:tcPr>
            <w:tcW w:w="2385"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按照《北京市非机动车管理条例》进行查处。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ind w:firstLine="75" w:firstLineChars="50"/>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非机动车公共停车场的经营、管理单位拒绝接受指导和监督检查</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违反条款：《北京市非机动车停车管理办法》第十一条第一款第（三）项；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+区域系数）</w:t>
            </w:r>
          </w:p>
        </w:tc>
        <w:tc>
          <w:tcPr>
            <w:tcW w:w="2385"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vMerge w:val="restart"/>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未保证非机动车公共停车场内的停车秩序（环境卫生、停车安全）</w:t>
            </w:r>
          </w:p>
        </w:tc>
        <w:tc>
          <w:tcPr>
            <w:tcW w:w="2789"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违反条款：《北京市非机动车停车管理办法》第十一条第一款第（五）项；</w:t>
            </w:r>
          </w:p>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190"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+区域系数）</w:t>
            </w:r>
          </w:p>
        </w:tc>
        <w:tc>
          <w:tcPr>
            <w:tcW w:w="2385"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适用于查处“未保证良好的环境卫生”行为。</w:t>
            </w:r>
          </w:p>
        </w:tc>
        <w:tc>
          <w:tcPr>
            <w:tcW w:w="824" w:type="dxa"/>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违反条款：《北京市非机动车管理条例》第二十三条第（二）项。</w:t>
            </w:r>
          </w:p>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w:t>
            </w:r>
            <w:r>
              <w:rPr>
                <w:rFonts w:cs="Arial" w:asciiTheme="minorEastAsia" w:hAnsiTheme="minorEastAsia" w:eastAsiaTheme="minorEastAsia"/>
                <w:color w:val="000000" w:themeColor="text1"/>
                <w:kern w:val="0"/>
                <w:sz w:val="15"/>
                <w:szCs w:val="15"/>
                <w:highlight w:val="none"/>
                <w14:textFill>
                  <w14:solidFill>
                    <w14:schemeClr w14:val="tx1"/>
                  </w14:solidFill>
                </w14:textFill>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Arial"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190" w:lineRule="exact"/>
              <w:rPr>
                <w:rFonts w:hint="eastAsia" w:cs="Arial"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+区域系数）</w:t>
            </w:r>
          </w:p>
        </w:tc>
        <w:tc>
          <w:tcPr>
            <w:tcW w:w="2385" w:type="dxa"/>
            <w:shd w:val="clear" w:color="auto" w:fill="auto"/>
            <w:vAlign w:val="center"/>
          </w:tcPr>
          <w:p>
            <w:pPr>
              <w:spacing w:line="19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适用于查处“未保障停车场内的停车秩序和停车安全”行为。</w:t>
            </w:r>
          </w:p>
        </w:tc>
        <w:tc>
          <w:tcPr>
            <w:tcW w:w="824" w:type="dxa"/>
            <w:shd w:val="clear" w:color="auto" w:fill="auto"/>
            <w:vAlign w:val="center"/>
          </w:tcPr>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24"/>
                <w:szCs w:val="24"/>
                <w:highlight w:val="none"/>
                <w14:textFill>
                  <w14:solidFill>
                    <w14:schemeClr w14:val="tx1"/>
                  </w14:solidFill>
                </w14:textFill>
              </w:rPr>
            </w:pPr>
            <w:bookmarkStart w:id="144" w:name="_Toc110851480"/>
            <w:bookmarkStart w:id="145" w:name="_Toc2072679585"/>
            <w:bookmarkStart w:id="146" w:name="_Toc516849734"/>
            <w:r>
              <w:rPr>
                <w:rFonts w:hint="eastAsia" w:ascii="黑体" w:hAnsi="黑体" w:eastAsia="黑体"/>
                <w:b w:val="0"/>
                <w:color w:val="000000" w:themeColor="text1"/>
                <w:sz w:val="36"/>
                <w:szCs w:val="36"/>
                <w:highlight w:val="none"/>
                <w14:textFill>
                  <w14:solidFill>
                    <w14:schemeClr w14:val="tx1"/>
                  </w14:solidFill>
                </w14:textFill>
              </w:rPr>
              <w:t>交通运输管理方面</w:t>
            </w:r>
            <w:bookmarkEnd w:id="144"/>
            <w:bookmarkEnd w:id="145"/>
            <w:bookmarkEnd w:id="14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000000" w:themeColor="text1"/>
                <w:sz w:val="15"/>
                <w:szCs w:val="15"/>
                <w:highlight w:val="none"/>
                <w14:textFill>
                  <w14:solidFill>
                    <w14:schemeClr w14:val="tx1"/>
                  </w14:solidFill>
                </w14:textFill>
              </w:rPr>
            </w:pPr>
            <w:bookmarkStart w:id="147" w:name="_Toc110851481"/>
            <w:bookmarkStart w:id="148" w:name="_Toc1833599949"/>
            <w:bookmarkStart w:id="149" w:name="_Toc1749370373"/>
            <w:r>
              <w:rPr>
                <w:rFonts w:hint="eastAsia" w:asciiTheme="minorEastAsia" w:hAnsiTheme="minorEastAsia" w:eastAsiaTheme="minorEastAsia"/>
                <w:b/>
                <w:bCs/>
                <w:strike w:val="0"/>
                <w:dstrike w:val="0"/>
                <w:color w:val="000000" w:themeColor="text1"/>
                <w:sz w:val="21"/>
                <w:szCs w:val="21"/>
                <w:highlight w:val="none"/>
                <w14:textFill>
                  <w14:solidFill>
                    <w14:schemeClr w14:val="tx1"/>
                  </w14:solidFill>
                </w14:textFill>
              </w:rPr>
              <w:t>《巡游出租汽车经营服务管理规定》案由1项</w:t>
            </w:r>
            <w:bookmarkEnd w:id="147"/>
            <w:bookmarkEnd w:id="148"/>
            <w:bookmarkEnd w:id="1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04" w:lineRule="exact"/>
              <w:rPr>
                <w:rFonts w:asciiTheme="minorEastAsia" w:hAnsiTheme="minorEastAsia" w:eastAsiaTheme="minorEastAsia"/>
                <w:strike w:val="0"/>
                <w:dstrike w:val="0"/>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无证经营出租汽车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造成秩序混乱或者较大社会影响的，系数1-3。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strike w:val="0"/>
                <w:dstrike w:val="0"/>
                <w:color w:val="000000" w:themeColor="text1"/>
                <w:sz w:val="15"/>
                <w:szCs w:val="15"/>
                <w:highlight w:val="none"/>
                <w14:textFill>
                  <w14:solidFill>
                    <w14:schemeClr w14:val="tx1"/>
                  </w14:solidFill>
                </w14:textFill>
              </w:rPr>
              <w:t>罚款数额＝5000×</w:t>
            </w:r>
            <w:r>
              <w:rPr>
                <w:rFonts w:hint="eastAsia" w:cs="宋体" w:asciiTheme="minorEastAsia" w:hAnsiTheme="minorEastAsia" w:eastAsiaTheme="minorEastAsia"/>
                <w:bCs/>
                <w:strike w:val="0"/>
                <w:dstrike w:val="0"/>
                <w:color w:val="000000" w:themeColor="text1"/>
                <w:sz w:val="15"/>
                <w:szCs w:val="15"/>
                <w:highlight w:val="none"/>
                <w14:textFill>
                  <w14:solidFill>
                    <w14:schemeClr w14:val="tx1"/>
                  </w14:solidFill>
                </w14:textFill>
              </w:rPr>
              <w:t>（1＋</w:t>
            </w:r>
            <w:r>
              <w:rPr>
                <w:rFonts w:hint="eastAsia" w:cs="宋体" w:asciiTheme="minorEastAsia" w:hAnsiTheme="minorEastAsia" w:eastAsiaTheme="minorEastAsia"/>
                <w:bCs/>
                <w:strike w:val="0"/>
                <w:dstrike w:val="0"/>
                <w:color w:val="000000" w:themeColor="text1"/>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bCs/>
                <w:strike w:val="0"/>
                <w:dstrike w:val="0"/>
                <w:color w:val="000000" w:themeColor="text1"/>
                <w:sz w:val="15"/>
                <w:szCs w:val="15"/>
                <w:highlight w:val="none"/>
                <w14:textFill>
                  <w14:solidFill>
                    <w14:schemeClr w14:val="tx1"/>
                  </w14:solidFill>
                </w14:textFill>
              </w:rPr>
              <w:t>+变量系数</w:t>
            </w:r>
            <w:r>
              <w:rPr>
                <w:rFonts w:hint="eastAsia" w:cs="宋体" w:asciiTheme="minorEastAsia" w:hAnsiTheme="minorEastAsia" w:eastAsiaTheme="minorEastAsia"/>
                <w:bCs/>
                <w:strike w:val="0"/>
                <w:dstrike w:val="0"/>
                <w:color w:val="000000" w:themeColor="text1"/>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bCs/>
                <w:strike w:val="0"/>
                <w:dstrike w:val="0"/>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重点站区适用本案由，参照交通执法相关裁量基准。</w:t>
            </w:r>
          </w:p>
        </w:tc>
        <w:tc>
          <w:tcPr>
            <w:tcW w:w="824" w:type="dxa"/>
            <w:shd w:val="clear" w:color="auto" w:fill="auto"/>
            <w:vAlign w:val="center"/>
          </w:tcPr>
          <w:p>
            <w:pPr>
              <w:spacing w:line="204" w:lineRule="exact"/>
              <w:jc w:val="center"/>
              <w:rPr>
                <w:rFonts w:asciiTheme="minorEastAsia" w:hAnsiTheme="minorEastAsia" w:eastAsiaTheme="minorEastAsia"/>
                <w:strike w:val="0"/>
                <w:dstrike w:val="0"/>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街道</w:t>
            </w:r>
          </w:p>
          <w:p>
            <w:pPr>
              <w:spacing w:line="204" w:lineRule="exact"/>
              <w:jc w:val="center"/>
              <w:rPr>
                <w:rFonts w:asciiTheme="minorEastAsia" w:hAnsiTheme="minorEastAsia" w:eastAsiaTheme="minorEastAsia"/>
                <w:strike w:val="0"/>
                <w:dstrike w:val="0"/>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50" w:name="_Toc121789162"/>
            <w:bookmarkStart w:id="151" w:name="_Toc110851482"/>
            <w:bookmarkStart w:id="152" w:name="_Toc1828970082"/>
            <w:r>
              <w:rPr>
                <w:rFonts w:hint="eastAsia" w:asciiTheme="minorEastAsia" w:hAnsiTheme="minorEastAsia" w:eastAsiaTheme="minorEastAsia"/>
                <w:color w:val="000000" w:themeColor="text1"/>
                <w:sz w:val="21"/>
                <w:szCs w:val="21"/>
                <w:highlight w:val="none"/>
                <w14:textFill>
                  <w14:solidFill>
                    <w14:schemeClr w14:val="tx1"/>
                  </w14:solidFill>
                </w14:textFill>
              </w:rPr>
              <w:t>《北京市查处非法客运若干规定》案由2项</w:t>
            </w:r>
            <w:bookmarkEnd w:id="150"/>
            <w:bookmarkEnd w:id="151"/>
            <w:bookmarkEnd w:id="1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未经许可擅自（或组织）从事巡游出租汽车客运经营</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违反条款：第四条；</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造成秩序混乱或者较大社会影响的，系数2-4；对组织行为，系数为2-4。</w:t>
            </w:r>
          </w:p>
        </w:tc>
        <w:tc>
          <w:tcPr>
            <w:tcW w:w="1785" w:type="dxa"/>
            <w:shd w:val="clear" w:color="auto" w:fill="auto"/>
            <w:vAlign w:val="center"/>
          </w:tcPr>
          <w:p>
            <w:pPr>
              <w:spacing w:line="232" w:lineRule="exact"/>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10000×（1＋</w:t>
            </w:r>
            <w:r>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bCs/>
                <w:color w:val="000000" w:themeColor="text1"/>
                <w:sz w:val="15"/>
                <w:szCs w:val="15"/>
                <w:highlight w:val="none"/>
                <w14:textFill>
                  <w14:solidFill>
                    <w14:schemeClr w14:val="tx1"/>
                  </w14:solidFill>
                </w14:textFill>
              </w:rPr>
              <w:t>+变量系数</w:t>
            </w:r>
            <w:r>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w:t>
            </w:r>
          </w:p>
        </w:tc>
        <w:tc>
          <w:tcPr>
            <w:tcW w:w="2385"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需要给予其它处罚额度的，报案审会决定。</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重点站区适用本案由，参照交通执法相关裁量基准。</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造成秩序混乱或者较大社会影响的，系数2-4；对组织行为，系数为2-4。</w:t>
            </w:r>
          </w:p>
        </w:tc>
        <w:tc>
          <w:tcPr>
            <w:tcW w:w="1785"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违法所得×2×（1＋</w:t>
            </w:r>
            <w:r>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bCs/>
                <w:color w:val="000000" w:themeColor="text1"/>
                <w:sz w:val="15"/>
                <w:szCs w:val="15"/>
                <w:highlight w:val="none"/>
                <w14:textFill>
                  <w14:solidFill>
                    <w14:schemeClr w14:val="tx1"/>
                  </w14:solidFill>
                </w14:textFill>
              </w:rPr>
              <w:t>+变量系数</w:t>
            </w:r>
            <w:r>
              <w:rPr>
                <w:rFonts w:hint="eastAsia" w:cs="宋体" w:asciiTheme="minorEastAsia" w:hAnsiTheme="minorEastAsia" w:eastAsiaTheme="minorEastAsia"/>
                <w:bCs/>
                <w:color w:val="000000" w:themeColor="text1"/>
                <w:kern w:val="0"/>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w:t>
            </w:r>
          </w:p>
        </w:tc>
        <w:tc>
          <w:tcPr>
            <w:tcW w:w="23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利用摩托车、三轮车、残疾人机动轮椅车等车辆从事客运经营</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违反条款：第八条第一款。 </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处罚条款：第八条第二款，没收车辆，没收违法所得，并可处500元以上2000元以下罚款。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造成秩序混乱或者较大社会影响的，系数1-3。</w:t>
            </w:r>
          </w:p>
        </w:tc>
        <w:tc>
          <w:tcPr>
            <w:tcW w:w="1785"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罚款数额＝500×</w:t>
            </w:r>
            <w:r>
              <w:rPr>
                <w:rFonts w:hint="eastAsia" w:cs="宋体" w:asciiTheme="minorEastAsia" w:hAnsiTheme="minorEastAsia" w:eastAsiaTheme="minorEastAsia"/>
                <w:bCs/>
                <w:color w:val="000000" w:themeColor="text1"/>
                <w:sz w:val="15"/>
                <w:szCs w:val="15"/>
                <w:highlight w:val="none"/>
                <w14:textFill>
                  <w14:solidFill>
                    <w14:schemeClr w14:val="tx1"/>
                  </w14:solidFill>
                </w14:textFill>
              </w:rPr>
              <w:t>（1</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bCs/>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bCs/>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p>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24"/>
                <w:szCs w:val="24"/>
                <w:highlight w:val="none"/>
                <w14:textFill>
                  <w14:solidFill>
                    <w14:schemeClr w14:val="tx1"/>
                  </w14:solidFill>
                </w14:textFill>
              </w:rPr>
            </w:pPr>
            <w:bookmarkStart w:id="153" w:name="_Toc110851483"/>
            <w:bookmarkStart w:id="154" w:name="_Toc360901343"/>
            <w:bookmarkStart w:id="155" w:name="_Toc850008120"/>
            <w:r>
              <w:rPr>
                <w:rFonts w:hint="eastAsia" w:ascii="黑体" w:hAnsi="黑体" w:eastAsia="黑体"/>
                <w:b w:val="0"/>
                <w:color w:val="000000" w:themeColor="text1"/>
                <w:sz w:val="36"/>
                <w:szCs w:val="36"/>
                <w:highlight w:val="none"/>
                <w14:textFill>
                  <w14:solidFill>
                    <w14:schemeClr w14:val="tx1"/>
                  </w14:solidFill>
                </w14:textFill>
              </w:rPr>
              <w:t>市场监督管理（流动无照经营）方面</w:t>
            </w:r>
            <w:bookmarkEnd w:id="153"/>
            <w:bookmarkEnd w:id="154"/>
            <w:bookmarkEnd w:id="1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21"/>
                <w:szCs w:val="21"/>
                <w:highlight w:val="none"/>
                <w14:textFill>
                  <w14:solidFill>
                    <w14:schemeClr w14:val="tx1"/>
                  </w14:solidFill>
                </w14:textFill>
              </w:rPr>
            </w:pPr>
            <w:bookmarkStart w:id="156" w:name="_Toc704954681"/>
            <w:bookmarkStart w:id="157" w:name="_Toc110851484"/>
            <w:bookmarkStart w:id="158" w:name="_Toc1085677499"/>
            <w:r>
              <w:rPr>
                <w:rFonts w:hint="eastAsia" w:asciiTheme="minorEastAsia" w:hAnsiTheme="minorEastAsia" w:eastAsiaTheme="minorEastAsia"/>
                <w:color w:val="000000" w:themeColor="text1"/>
                <w:sz w:val="21"/>
                <w:szCs w:val="21"/>
                <w:highlight w:val="none"/>
                <w14:textFill>
                  <w14:solidFill>
                    <w14:schemeClr w14:val="tx1"/>
                  </w14:solidFill>
                </w14:textFill>
              </w:rPr>
              <w:t>《无证</w:t>
            </w:r>
            <w:r>
              <w:rPr>
                <w:rFonts w:asciiTheme="minorEastAsia" w:hAnsiTheme="minorEastAsia" w:eastAsiaTheme="minorEastAsia"/>
                <w:color w:val="000000" w:themeColor="text1"/>
                <w:sz w:val="21"/>
                <w:szCs w:val="21"/>
                <w:highlight w:val="none"/>
                <w14:textFill>
                  <w14:solidFill>
                    <w14:schemeClr w14:val="tx1"/>
                  </w14:solidFill>
                </w14:textFill>
              </w:rPr>
              <w:t>无照经营查处办法</w:t>
            </w:r>
            <w:r>
              <w:rPr>
                <w:rFonts w:hint="eastAsia" w:asciiTheme="minorEastAsia" w:hAnsiTheme="minorEastAsia" w:eastAsiaTheme="minorEastAsia"/>
                <w:color w:val="000000" w:themeColor="text1"/>
                <w:sz w:val="21"/>
                <w:szCs w:val="21"/>
                <w:highlight w:val="none"/>
                <w14:textFill>
                  <w14:solidFill>
                    <w14:schemeClr w14:val="tx1"/>
                  </w14:solidFill>
                </w14:textFill>
              </w:rPr>
              <w:t>》案由3项</w:t>
            </w:r>
            <w:bookmarkEnd w:id="156"/>
            <w:bookmarkEnd w:id="157"/>
            <w:bookmarkEnd w:id="1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75"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无照经营</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违反条款：第二条；</w:t>
            </w:r>
          </w:p>
          <w:p>
            <w:pPr>
              <w:spacing w:line="232"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按照《基准》的规定执行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1785" w:type="dxa"/>
            <w:shd w:val="clear" w:color="auto" w:fill="auto"/>
            <w:vAlign w:val="center"/>
          </w:tcPr>
          <w:p>
            <w:pPr>
              <w:spacing w:line="232"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罚款数额＝100×（1＋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contextualSpacing/>
              <w:jc w:val="center"/>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2"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bCs/>
                <w:color w:val="000000" w:themeColor="text1"/>
                <w:kern w:val="0"/>
                <w:sz w:val="15"/>
                <w:szCs w:val="15"/>
                <w:highlight w:val="none"/>
                <w14:textFill>
                  <w14:solidFill>
                    <w14:schemeClr w14:val="tx1"/>
                  </w14:solidFill>
                </w14:textFill>
              </w:rPr>
              <w:t>为无照经营者提供</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场所或者条件</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违反条款：第十四条；</w:t>
            </w:r>
          </w:p>
          <w:p>
            <w:pPr>
              <w:spacing w:line="232"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处罚条款：第十四条，责令停止违法行为，没收违法所得，并处</w:t>
            </w:r>
            <w:r>
              <w:rPr>
                <w:rFonts w:cs="宋体" w:asciiTheme="minorEastAsia" w:hAnsiTheme="minorEastAsia" w:eastAsiaTheme="minorEastAsia"/>
                <w:bCs/>
                <w:color w:val="000000" w:themeColor="text1"/>
                <w:kern w:val="0"/>
                <w:sz w:val="15"/>
                <w:szCs w:val="15"/>
                <w:highlight w:val="none"/>
                <w14:textFill>
                  <w14:solidFill>
                    <w14:schemeClr w14:val="tx1"/>
                  </w14:solidFill>
                </w14:textFill>
              </w:rPr>
              <w:t>5000</w:t>
            </w: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造成</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严重</w:t>
            </w:r>
            <w:r>
              <w:rPr>
                <w:rFonts w:hint="eastAsia" w:asciiTheme="minorEastAsia" w:hAnsiTheme="minorEastAsia" w:eastAsiaTheme="minorEastAsia"/>
                <w:color w:val="000000" w:themeColor="text1"/>
                <w:sz w:val="15"/>
                <w:szCs w:val="15"/>
                <w:highlight w:val="none"/>
                <w14:textFill>
                  <w14:solidFill>
                    <w14:schemeClr w14:val="tx1"/>
                  </w14:solidFill>
                </w14:textFill>
              </w:rPr>
              <w:t>影响的，系数</w:t>
            </w:r>
            <w:r>
              <w:rPr>
                <w:rFonts w:hint="eastAsia" w:asciiTheme="minorEastAsia" w:hAnsiTheme="minorEastAsia" w:eastAsiaTheme="minorEastAsia"/>
                <w:color w:val="000000" w:themeColor="text1"/>
                <w:sz w:val="15"/>
                <w:szCs w:val="15"/>
                <w:highlight w:val="none"/>
                <w:lang w:val="en-US" w:eastAsia="zh-CN"/>
                <w14:textFill>
                  <w14:solidFill>
                    <w14:schemeClr w14:val="tx1"/>
                  </w14:solidFill>
                </w14:textFill>
              </w:rPr>
              <w:t>5-9</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1785" w:type="dxa"/>
            <w:shd w:val="clear" w:color="auto" w:fill="auto"/>
            <w:vAlign w:val="center"/>
          </w:tcPr>
          <w:p>
            <w:pPr>
              <w:spacing w:line="232" w:lineRule="exact"/>
              <w:contextualSpacing/>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w:t>
            </w:r>
            <w:r>
              <w:rPr>
                <w:rFonts w:asciiTheme="minorEastAsia" w:hAnsiTheme="minorEastAsia" w:eastAsiaTheme="minorEastAsia"/>
                <w:color w:val="000000" w:themeColor="text1"/>
                <w:sz w:val="15"/>
                <w:szCs w:val="15"/>
                <w:highlight w:val="none"/>
                <w14:textFill>
                  <w14:solidFill>
                    <w14:schemeClr w14:val="tx1"/>
                  </w14:solidFill>
                </w14:textFill>
              </w:rPr>
              <w:t>5</w:t>
            </w:r>
            <w:r>
              <w:rPr>
                <w:rFonts w:hint="eastAsia" w:asciiTheme="minorEastAsia" w:hAnsiTheme="minorEastAsia" w:eastAsiaTheme="minorEastAsia"/>
                <w:color w:val="000000" w:themeColor="text1"/>
                <w:sz w:val="15"/>
                <w:szCs w:val="15"/>
                <w:highlight w:val="none"/>
                <w14:textFill>
                  <w14:solidFill>
                    <w14:schemeClr w14:val="tx1"/>
                  </w14:solidFill>
                </w14:textFill>
              </w:rPr>
              <w:t>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bCs/>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＋区域系数</w:t>
            </w:r>
            <w:r>
              <w:rPr>
                <w:rFonts w:hint="eastAsia"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contextualSpacing/>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contextualSpacing/>
              <w:jc w:val="center"/>
              <w:rPr>
                <w:rFonts w:cs="宋体" w:asciiTheme="minorEastAsia" w:hAnsiTheme="minorEastAsia" w:eastAsiaTheme="minorEastAsia"/>
                <w:bCs/>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4"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t>3</w:t>
            </w:r>
          </w:p>
        </w:tc>
        <w:tc>
          <w:tcPr>
            <w:tcW w:w="1500" w:type="dxa"/>
            <w:shd w:val="clear" w:color="auto" w:fill="auto"/>
            <w:vAlign w:val="center"/>
          </w:tcPr>
          <w:p>
            <w:pPr>
              <w:spacing w:line="232" w:lineRule="exact"/>
              <w:contextualSpacing/>
              <w:rPr>
                <w:rFonts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t>无照经营（人力三轮车等业务）</w:t>
            </w:r>
          </w:p>
        </w:tc>
        <w:tc>
          <w:tcPr>
            <w:tcW w:w="2789" w:type="dxa"/>
            <w:shd w:val="clear" w:color="auto" w:fill="auto"/>
            <w:vAlign w:val="center"/>
          </w:tcPr>
          <w:p>
            <w:pPr>
              <w:spacing w:line="232" w:lineRule="exact"/>
              <w:contextualSpacing/>
              <w:rPr>
                <w:rFonts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t>违反条款：第二条；</w:t>
            </w:r>
          </w:p>
          <w:p>
            <w:pPr>
              <w:spacing w:line="232" w:lineRule="exact"/>
              <w:contextualSpacing/>
              <w:rPr>
                <w:rFonts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Cs/>
                <w:strike w:val="0"/>
                <w:dstrike w:val="0"/>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contextualSpacing/>
              <w:rPr>
                <w:rFonts w:asciiTheme="minorEastAsia" w:hAnsiTheme="minorEastAsia" w:eastAsiaTheme="minorEastAsia"/>
                <w:strike w:val="0"/>
                <w:dstrike w:val="0"/>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造成秩序混乱或者较大社会影响的，系数1-3。</w:t>
            </w:r>
          </w:p>
        </w:tc>
        <w:tc>
          <w:tcPr>
            <w:tcW w:w="1785" w:type="dxa"/>
            <w:shd w:val="clear" w:color="auto" w:fill="auto"/>
            <w:vAlign w:val="center"/>
          </w:tcPr>
          <w:p>
            <w:pPr>
              <w:spacing w:line="232" w:lineRule="exact"/>
              <w:contextualSpacing/>
              <w:rPr>
                <w:rFonts w:asciiTheme="minorEastAsia" w:hAnsiTheme="minorEastAsia" w:eastAsiaTheme="minorEastAsia"/>
                <w:strike w:val="0"/>
                <w:dstrike w:val="0"/>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罚款数额＝500×</w:t>
            </w:r>
            <w:r>
              <w:rPr>
                <w:rFonts w:hint="eastAsia" w:cs="宋体" w:asciiTheme="minorEastAsia" w:hAnsiTheme="minorEastAsia" w:eastAsiaTheme="minorEastAsia"/>
                <w:bCs/>
                <w:strike w:val="0"/>
                <w:dstrike w:val="0"/>
                <w:color w:val="000000" w:themeColor="text1"/>
                <w:sz w:val="15"/>
                <w:szCs w:val="15"/>
                <w:highlight w:val="none"/>
                <w14:textFill>
                  <w14:solidFill>
                    <w14:schemeClr w14:val="tx1"/>
                  </w14:solidFill>
                </w14:textFill>
              </w:rPr>
              <w:t>（1</w:t>
            </w:r>
            <w:r>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t>＋</w:t>
            </w:r>
            <w:r>
              <w:rPr>
                <w:rFonts w:hint="eastAsia" w:asciiTheme="minorEastAsia" w:hAnsiTheme="minorEastAsia" w:eastAsiaTheme="minorEastAsia"/>
                <w:strike w:val="0"/>
                <w:dstrike w:val="0"/>
                <w:color w:val="000000" w:themeColor="text1"/>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bCs/>
                <w:strike w:val="0"/>
                <w:dstrike w:val="0"/>
                <w:color w:val="000000" w:themeColor="text1"/>
                <w:sz w:val="15"/>
                <w:szCs w:val="15"/>
                <w:highlight w:val="none"/>
                <w14:textFill>
                  <w14:solidFill>
                    <w14:schemeClr w14:val="tx1"/>
                  </w14:solidFill>
                </w14:textFill>
              </w:rPr>
              <w:t>+变量系数</w:t>
            </w:r>
            <w:r>
              <w:rPr>
                <w:rFonts w:hint="eastAsia" w:asciiTheme="minorEastAsia" w:hAnsiTheme="minorEastAsia" w:eastAsiaTheme="minorEastAsia"/>
                <w:strike w:val="0"/>
                <w:dstrike w:val="0"/>
                <w:color w:val="000000" w:themeColor="text1"/>
                <w:sz w:val="15"/>
                <w:szCs w:val="15"/>
                <w:highlight w:val="none"/>
                <w:lang w:eastAsia="zh-CN"/>
                <w14:textFill>
                  <w14:solidFill>
                    <w14:schemeClr w14:val="tx1"/>
                  </w14:solidFill>
                </w14:textFill>
              </w:rPr>
              <w:t>＋区域系数</w:t>
            </w:r>
            <w:r>
              <w:rPr>
                <w:rFonts w:hint="eastAsia" w:cs="宋体" w:asciiTheme="minorEastAsia" w:hAnsiTheme="minorEastAsia" w:eastAsiaTheme="minorEastAsia"/>
                <w:bCs/>
                <w:strike w:val="0"/>
                <w:dstrike w:val="0"/>
                <w:color w:val="000000" w:themeColor="text1"/>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asciiTheme="minorEastAsia" w:hAnsiTheme="minorEastAsia" w:eastAsiaTheme="minorEastAsia"/>
                <w:strike w:val="0"/>
                <w:color w:val="000000" w:themeColor="text1"/>
                <w:sz w:val="15"/>
                <w:szCs w:val="15"/>
                <w:highlight w:val="none"/>
                <w14:textFill>
                  <w14:solidFill>
                    <w14:schemeClr w14:val="tx1"/>
                  </w14:solidFill>
                </w14:textFill>
              </w:rPr>
            </w:pPr>
            <w:r>
              <w:rPr>
                <w:rFonts w:hint="eastAsia" w:asciiTheme="minorEastAsia" w:hAnsiTheme="minorEastAsia" w:eastAsiaTheme="minorEastAsia"/>
                <w:strike w:val="0"/>
                <w:color w:val="000000" w:themeColor="text1"/>
                <w:sz w:val="15"/>
                <w:szCs w:val="15"/>
                <w:highlight w:val="none"/>
                <w14:textFill>
                  <w14:solidFill>
                    <w14:schemeClr w14:val="tx1"/>
                  </w14:solidFill>
                </w14:textFill>
              </w:rPr>
              <w:t>需要给予其它处罚额度的，报案审会决定。</w:t>
            </w:r>
          </w:p>
          <w:p>
            <w:pPr>
              <w:spacing w:line="232" w:lineRule="exact"/>
              <w:contextualSpacing/>
              <w:rPr>
                <w:rFonts w:hint="eastAsia" w:asciiTheme="minorEastAsia" w:hAnsiTheme="minorEastAsia" w:eastAsiaTheme="minorEastAsia"/>
                <w:strike w:val="0"/>
                <w:dstrike w:val="0"/>
                <w:color w:val="000000" w:themeColor="text1"/>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000000" w:themeColor="text1"/>
                <w:sz w:val="24"/>
                <w:szCs w:val="24"/>
                <w:highlight w:val="none"/>
                <w14:textFill>
                  <w14:solidFill>
                    <w14:schemeClr w14:val="tx1"/>
                  </w14:solidFill>
                </w14:textFill>
              </w:rPr>
            </w:pPr>
            <w:bookmarkStart w:id="159" w:name="_Toc1160691890"/>
            <w:bookmarkStart w:id="160" w:name="_Toc110851485"/>
            <w:bookmarkStart w:id="161" w:name="_Toc1199414215"/>
            <w:r>
              <w:rPr>
                <w:rFonts w:hint="eastAsia" w:ascii="黑体" w:hAnsi="黑体" w:eastAsia="黑体"/>
                <w:b w:val="0"/>
                <w:color w:val="000000" w:themeColor="text1"/>
                <w:sz w:val="36"/>
                <w:szCs w:val="36"/>
                <w:highlight w:val="none"/>
                <w14:textFill>
                  <w14:solidFill>
                    <w14:schemeClr w14:val="tx1"/>
                  </w14:solidFill>
                </w14:textFill>
              </w:rPr>
              <w:t>城</w:t>
            </w:r>
            <w:r>
              <w:rPr>
                <w:rFonts w:hint="eastAsia" w:ascii="黑体" w:hAnsi="黑体" w:eastAsia="黑体"/>
                <w:b w:val="0"/>
                <w:color w:val="000000" w:themeColor="text1"/>
                <w:sz w:val="36"/>
                <w:szCs w:val="36"/>
                <w:highlight w:val="none"/>
                <w:lang w:eastAsia="zh-CN"/>
                <w14:textFill>
                  <w14:solidFill>
                    <w14:schemeClr w14:val="tx1"/>
                  </w14:solidFill>
                </w14:textFill>
              </w:rPr>
              <w:t>乡</w:t>
            </w:r>
            <w:r>
              <w:rPr>
                <w:rFonts w:hint="eastAsia" w:ascii="黑体" w:hAnsi="黑体" w:eastAsia="黑体"/>
                <w:b w:val="0"/>
                <w:color w:val="000000" w:themeColor="text1"/>
                <w:sz w:val="36"/>
                <w:szCs w:val="36"/>
                <w:highlight w:val="none"/>
                <w14:textFill>
                  <w14:solidFill>
                    <w14:schemeClr w14:val="tx1"/>
                  </w14:solidFill>
                </w14:textFill>
              </w:rPr>
              <w:t>规划管理方面</w:t>
            </w:r>
            <w:bookmarkEnd w:id="159"/>
            <w:bookmarkEnd w:id="160"/>
            <w:bookmarkEnd w:id="1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62" w:name="_Toc110851486"/>
            <w:bookmarkStart w:id="163" w:name="_Toc187041735"/>
            <w:bookmarkStart w:id="164" w:name="_Toc811159149"/>
            <w:r>
              <w:rPr>
                <w:rFonts w:hint="eastAsia" w:asciiTheme="minorEastAsia" w:hAnsiTheme="minorEastAsia" w:eastAsiaTheme="minorEastAsia"/>
                <w:color w:val="000000" w:themeColor="text1"/>
                <w:sz w:val="21"/>
                <w:szCs w:val="21"/>
                <w:highlight w:val="none"/>
                <w14:textFill>
                  <w14:solidFill>
                    <w14:schemeClr w14:val="tx1"/>
                  </w14:solidFill>
                </w14:textFill>
              </w:rPr>
              <w:t>《中华人民共和国城乡规划法》《北京市城乡规划条例》</w:t>
            </w:r>
            <w:r>
              <w:rPr>
                <w:rFonts w:hint="eastAsia" w:asciiTheme="minorEastAsia" w:hAnsiTheme="minorEastAsia" w:eastAsiaTheme="minorEastAsia"/>
                <w:color w:val="000000" w:themeColor="text1"/>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1"/>
                <w:szCs w:val="21"/>
                <w:highlight w:val="none"/>
                <w14:textFill>
                  <w14:solidFill>
                    <w14:schemeClr w14:val="tx1"/>
                  </w14:solidFill>
                </w14:textFill>
              </w:rPr>
              <w:t>案由2项</w:t>
            </w:r>
            <w:bookmarkEnd w:id="162"/>
            <w:bookmarkEnd w:id="163"/>
            <w:bookmarkEnd w:id="1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vMerge w:val="restart"/>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违法建设</w:t>
            </w:r>
          </w:p>
        </w:tc>
        <w:tc>
          <w:tcPr>
            <w:tcW w:w="8569"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新生违法建设</w:t>
            </w:r>
            <w:r>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br w:type="textWrapping"/>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违反条款：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《北京市城乡规划条例》第二十九条第一款；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br w:type="textWrapping"/>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拆除条款：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br w:type="textWrapping"/>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处罚条款：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罚款裁量按照《住房和城乡建设部关于印发〈关于规范城乡规划行政处罚裁量权的指导意见〉的通知》执行。</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br w:type="textWrapping"/>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69"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已建成违法建设</w:t>
            </w:r>
            <w:r>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br w:type="textWrapping"/>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违反条款：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《北京市城乡规划条例》第二十九条第一款；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br w:type="textWrapping"/>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拆除条款：（限期拆除）</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（强制拆除）</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color w:val="000000" w:themeColor="text1"/>
                <w:kern w:val="0"/>
                <w:sz w:val="15"/>
                <w:szCs w:val="15"/>
                <w:highlight w:val="none"/>
                <w14:textFill>
                  <w14:solidFill>
                    <w14:schemeClr w14:val="tx1"/>
                  </w14:solidFill>
                </w14:textFill>
              </w:rPr>
              <w:t>（无主公告）</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日。公告期间届满后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个月内无人提起行政复议或者行政诉讼的，依法强制拆除或者没收。</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br w:type="textWrapping"/>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处罚条款：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69"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t>[</w:t>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城镇临时建设工程未取得临时建设工程规划许可证违法建设</w:t>
            </w:r>
            <w:r>
              <w:rPr>
                <w:rFonts w:cs="宋体" w:asciiTheme="minorEastAsia" w:hAnsiTheme="minorEastAsia" w:eastAsiaTheme="minorEastAsia"/>
                <w:b/>
                <w:bCs/>
                <w:color w:val="000000" w:themeColor="text1"/>
                <w:kern w:val="0"/>
                <w:sz w:val="15"/>
                <w:szCs w:val="15"/>
                <w:highlight w:val="none"/>
                <w14:textFill>
                  <w14:solidFill>
                    <w14:schemeClr w14:val="tx1"/>
                  </w14:solidFill>
                </w14:textFill>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违反条款：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拆除条款：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日。公告期间届满后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6</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000000" w:themeColor="text1"/>
                <w:kern w:val="0"/>
                <w:sz w:val="15"/>
                <w:szCs w:val="15"/>
                <w:highlight w:val="none"/>
                <w:lang w:val="en"/>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处罚条款：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《北京市城乡规划条例》第七十六条。</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罚款裁量按照《住房和城乡建设部关于印发〈关于规范城乡规划行政处罚裁量权的指导意见〉的通知》执行。</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未按照规定在施工现场对外公示建设工程规划许可证（含临时）及附件、附图</w:t>
            </w:r>
          </w:p>
        </w:tc>
        <w:tc>
          <w:tcPr>
            <w:tcW w:w="2789" w:type="dxa"/>
            <w:shd w:val="clear" w:color="auto" w:fill="auto"/>
            <w:vAlign w:val="center"/>
          </w:tcPr>
          <w:p>
            <w:pPr>
              <w:spacing w:line="232"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违反条款：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《北京市城乡规划条例》第六十四条；</w:t>
            </w:r>
            <w:r>
              <w:rPr>
                <w:rFonts w:hint="eastAsia" w:cs="宋体" w:asciiTheme="minorEastAsia" w:hAnsiTheme="minorEastAsia" w:eastAsiaTheme="minorEastAsia"/>
                <w:b/>
                <w:bCs/>
                <w:color w:val="000000" w:themeColor="text1"/>
                <w:kern w:val="0"/>
                <w:sz w:val="15"/>
                <w:szCs w:val="15"/>
                <w:highlight w:val="none"/>
                <w14:textFill>
                  <w14:solidFill>
                    <w14:schemeClr w14:val="tx1"/>
                  </w14:solidFill>
                </w14:textFill>
              </w:rPr>
              <w:t>处罚条款：</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《北京市城乡规划条例》第八十五条，责令限期改正，可以并处</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5000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元以上</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按照《基准》的有关规定执行</w:t>
            </w:r>
          </w:p>
        </w:tc>
        <w:tc>
          <w:tcPr>
            <w:tcW w:w="1785"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5000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jc w:val="cente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strike w:val="0"/>
                <w:dstrike w:val="0"/>
                <w:color w:val="000000" w:themeColor="text1"/>
                <w:kern w:val="0"/>
                <w:sz w:val="15"/>
                <w:szCs w:val="15"/>
                <w:highlight w:val="none"/>
                <w14:textFill>
                  <w14:solidFill>
                    <w14:schemeClr w14:val="tx1"/>
                  </w14:solidFill>
                </w14:textFill>
              </w:rPr>
              <w:t>该项案由执法区域范畴与查处违法建设分工区域范畴相同</w:t>
            </w:r>
            <w:r>
              <w:rPr>
                <w:rFonts w:hint="eastAsia" w:cs="宋体" w:asciiTheme="minorEastAsia" w:hAnsiTheme="minorEastAsia" w:eastAsiaTheme="minorEastAsia"/>
                <w:strike w:val="0"/>
                <w:dstrike w:val="0"/>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24"/>
                <w:szCs w:val="24"/>
                <w:highlight w:val="none"/>
                <w14:textFill>
                  <w14:solidFill>
                    <w14:schemeClr w14:val="tx1"/>
                  </w14:solidFill>
                </w14:textFill>
              </w:rPr>
            </w:pPr>
            <w:bookmarkStart w:id="165" w:name="_Toc250975437"/>
            <w:bookmarkStart w:id="166" w:name="_Toc110851487"/>
            <w:bookmarkStart w:id="167" w:name="_Toc453168720"/>
            <w:r>
              <w:rPr>
                <w:rFonts w:hint="eastAsia" w:ascii="黑体" w:hAnsi="黑体" w:eastAsia="黑体"/>
                <w:b w:val="0"/>
                <w:color w:val="000000" w:themeColor="text1"/>
                <w:sz w:val="36"/>
                <w:szCs w:val="36"/>
                <w:highlight w:val="none"/>
                <w14:textFill>
                  <w14:solidFill>
                    <w14:schemeClr w14:val="tx1"/>
                  </w14:solidFill>
                </w14:textFill>
              </w:rPr>
              <w:t>旅游管理（黑导游）方面</w:t>
            </w:r>
            <w:bookmarkEnd w:id="165"/>
            <w:bookmarkEnd w:id="166"/>
            <w:bookmarkEnd w:id="1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21"/>
                <w:szCs w:val="21"/>
                <w:highlight w:val="none"/>
                <w14:textFill>
                  <w14:solidFill>
                    <w14:schemeClr w14:val="tx1"/>
                  </w14:solidFill>
                </w14:textFill>
              </w:rPr>
            </w:pPr>
            <w:bookmarkStart w:id="168" w:name="_Toc110851488"/>
            <w:bookmarkStart w:id="169" w:name="_Toc363033362"/>
            <w:bookmarkStart w:id="170" w:name="_Toc2018693019"/>
            <w:r>
              <w:rPr>
                <w:rFonts w:hint="eastAsia" w:asciiTheme="minorEastAsia" w:hAnsiTheme="minorEastAsia" w:eastAsiaTheme="minorEastAsia"/>
                <w:color w:val="000000" w:themeColor="text1"/>
                <w:sz w:val="21"/>
                <w:szCs w:val="21"/>
                <w:highlight w:val="none"/>
                <w14:textFill>
                  <w14:solidFill>
                    <w14:schemeClr w14:val="tx1"/>
                  </w14:solidFill>
                </w14:textFill>
              </w:rPr>
              <w:t>《中华人民共和国旅游法》案由1项</w:t>
            </w:r>
            <w:bookmarkEnd w:id="168"/>
            <w:bookmarkEnd w:id="169"/>
            <w:bookmarkEnd w:id="1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无导游证进行导游活动</w:t>
            </w:r>
          </w:p>
        </w:tc>
        <w:tc>
          <w:tcPr>
            <w:tcW w:w="2789"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hint="default"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造成社会不影响的，系数为</w:t>
            </w:r>
            <w:r>
              <w:rPr>
                <w:rFonts w:hint="eastAsia" w:cs="宋体" w:asciiTheme="minorEastAsia" w:hAnsiTheme="minorEastAsia" w:eastAsiaTheme="minorEastAsia"/>
                <w:color w:val="000000" w:themeColor="text1"/>
                <w:kern w:val="0"/>
                <w:sz w:val="15"/>
                <w:szCs w:val="15"/>
                <w:highlight w:val="none"/>
                <w:lang w:val="en-US" w:eastAsia="zh-CN"/>
                <w14:textFill>
                  <w14:solidFill>
                    <w14:schemeClr w14:val="tx1"/>
                  </w14:solidFill>
                </w14:textFill>
              </w:rPr>
              <w:t>1-3。</w:t>
            </w:r>
          </w:p>
        </w:tc>
        <w:tc>
          <w:tcPr>
            <w:tcW w:w="1785" w:type="dxa"/>
            <w:shd w:val="clear" w:color="auto" w:fill="auto"/>
            <w:vAlign w:val="center"/>
          </w:tcPr>
          <w:p>
            <w:pPr>
              <w:spacing w:line="220" w:lineRule="exact"/>
              <w:jc w:val="lef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numPr>
                <w:ilvl w:val="0"/>
                <w:numId w:val="0"/>
              </w:num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36"/>
                <w:szCs w:val="36"/>
                <w:highlight w:val="none"/>
                <w14:textFill>
                  <w14:solidFill>
                    <w14:schemeClr w14:val="tx1"/>
                  </w14:solidFill>
                </w14:textFill>
              </w:rPr>
            </w:pPr>
            <w:bookmarkStart w:id="171" w:name="_Toc8089072"/>
            <w:bookmarkStart w:id="172" w:name="_Toc110851489"/>
            <w:bookmarkStart w:id="173" w:name="_Toc2122998501"/>
            <w:r>
              <w:rPr>
                <w:rFonts w:hint="eastAsia" w:ascii="黑体" w:hAnsi="黑体" w:eastAsia="黑体"/>
                <w:b w:val="0"/>
                <w:color w:val="000000" w:themeColor="text1"/>
                <w:sz w:val="36"/>
                <w:szCs w:val="36"/>
                <w:highlight w:val="none"/>
                <w14:textFill>
                  <w14:solidFill>
                    <w14:schemeClr w14:val="tx1"/>
                  </w14:solidFill>
                </w14:textFill>
              </w:rPr>
              <w:t>食品安全管理方面</w:t>
            </w:r>
            <w:bookmarkEnd w:id="171"/>
            <w:bookmarkEnd w:id="172"/>
            <w:bookmarkEnd w:id="1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000000" w:themeColor="text1"/>
                <w:sz w:val="21"/>
                <w:szCs w:val="21"/>
                <w:highlight w:val="none"/>
                <w14:textFill>
                  <w14:solidFill>
                    <w14:schemeClr w14:val="tx1"/>
                  </w14:solidFill>
                </w14:textFill>
              </w:rPr>
            </w:pPr>
            <w:bookmarkStart w:id="174" w:name="_Toc110851490"/>
            <w:bookmarkStart w:id="175" w:name="_Toc948913247"/>
            <w:bookmarkStart w:id="176" w:name="_Toc347100741"/>
            <w:r>
              <w:rPr>
                <w:rFonts w:hint="eastAsia" w:asciiTheme="minorEastAsia" w:hAnsiTheme="minorEastAsia" w:eastAsiaTheme="minorEastAsia"/>
                <w:color w:val="000000" w:themeColor="text1"/>
                <w:sz w:val="21"/>
                <w:szCs w:val="21"/>
                <w:highlight w:val="none"/>
                <w14:textFill>
                  <w14:solidFill>
                    <w14:schemeClr w14:val="tx1"/>
                  </w14:solidFill>
                </w14:textFill>
              </w:rPr>
              <w:t>《北京市小规模食品生产经营管理规定》案由23项</w:t>
            </w:r>
            <w:bookmarkEnd w:id="174"/>
            <w:bookmarkEnd w:id="175"/>
            <w:bookmarkEnd w:id="1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食品摊贩以欺骗、贿赂等不正当手段取得备案</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违反条款：第二十三条；</w:t>
            </w:r>
          </w:p>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食品摊贩超出备案载明的经营区域、经营时段从事食品生产经营活动</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违反条款：第八条第二款和《北京市市容环境卫生条例》第三十五条第一款；</w:t>
            </w:r>
          </w:p>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1.超出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备案载明的经营区域或经营时段的，系数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；2.同时</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超出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备</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案载明的经营区域</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和</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经营时段的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785" w:type="dxa"/>
            <w:shd w:val="clear" w:color="auto" w:fill="auto"/>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5</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vMerge w:val="restart"/>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违反条款：第十三条第一项；</w:t>
            </w:r>
          </w:p>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货值金额不足</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1万元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00000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案件情况按照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金额的倍数执行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vMerge w:val="restart"/>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食品摊贩经营病死、毒死或者死因不明的禽、畜、兽、水产动物肉类或者生产经营其制品</w:t>
            </w:r>
          </w:p>
        </w:tc>
        <w:tc>
          <w:tcPr>
            <w:tcW w:w="2789" w:type="dxa"/>
            <w:vMerge w:val="restart"/>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违反条款：第十三条第二项；</w:t>
            </w:r>
          </w:p>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货值金额不足</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1万元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00000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案件情况按照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金额的倍数执行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vMerge w:val="restart"/>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食品摊贩经营未按规定进行检疫或者检疫不合格的肉类（未经检验或者检验不合格的肉类制品）</w:t>
            </w:r>
          </w:p>
        </w:tc>
        <w:tc>
          <w:tcPr>
            <w:tcW w:w="2789" w:type="dxa"/>
            <w:vMerge w:val="restart"/>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违反条款：第十三条第三项；</w:t>
            </w:r>
          </w:p>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货值金额不足</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1万元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00000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案件情况按照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金额的倍数执行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vMerge w:val="restart"/>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食品摊贩生产经营国家为防病等特殊需要明令禁止生产经营的食品；</w:t>
            </w:r>
          </w:p>
        </w:tc>
        <w:tc>
          <w:tcPr>
            <w:tcW w:w="2789" w:type="dxa"/>
            <w:vMerge w:val="restart"/>
            <w:shd w:val="clear" w:color="auto" w:fill="auto"/>
            <w:vAlign w:val="center"/>
          </w:tcPr>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违反条款：第十三条第四项；</w:t>
            </w:r>
          </w:p>
          <w:p>
            <w:pPr>
              <w:spacing w:line="204"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货值金额不足</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1万元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00000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案件情况按照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金额的倍数执行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vMerge w:val="restart"/>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食品摊贩违反国家规定在食品中添加药品</w:t>
            </w:r>
          </w:p>
        </w:tc>
        <w:tc>
          <w:tcPr>
            <w:tcW w:w="2789" w:type="dxa"/>
            <w:vMerge w:val="restart"/>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违反条款：第十三条第五项；</w:t>
            </w:r>
          </w:p>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100000（</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货值金额不足</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1万元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00000</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案件情况按照</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货值</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金额的倍数执行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违反条款：第十三条第六项；</w:t>
            </w:r>
          </w:p>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食品摊贩超范围、超限量使用食品添加剂生产制作食品（用超过保质期的食品原料、食品添加剂生产制作食品）</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违反条款：第十三条第七项；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食品摊贩生产经营腐败变质、油脂酸败、霉变生虫、污秽不洁、混有异物、掺假掺杂或者感官性状异常的食品</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违反条款：第十三条第八项；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食品摊贩标注虚假生产日期、保质期（销售超过保质期的食品）</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违反条款：第十三条第九项；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食品摊贩生产制作其它不符合食品安全标准的食品</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违反条款：第十三条第十项；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违反条款：第二十条第二项；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1.经营</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冷荤</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凉菜</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hint="eastAsia" w:asciiTheme="minorEastAsia" w:hAnsiTheme="minorEastAsia" w:eastAsiaTheme="minorEastAsia"/>
                <w:color w:val="000000" w:themeColor="text1"/>
                <w:sz w:val="15"/>
                <w:szCs w:val="15"/>
                <w:highlight w:val="none"/>
                <w14:textFill>
                  <w14:solidFill>
                    <w14:schemeClr w14:val="tx1"/>
                  </w14:solidFill>
                </w14:textFill>
              </w:rPr>
              <w:t>生食水产品、裱花蛋糕、散装熟食、散装酒的</w:t>
            </w:r>
            <w:r>
              <w:rPr>
                <w:rFonts w:asciiTheme="minorEastAsia" w:hAnsiTheme="minorEastAsia" w:eastAsiaTheme="minorEastAsia"/>
                <w:color w:val="000000" w:themeColor="text1"/>
                <w:sz w:val="15"/>
                <w:szCs w:val="15"/>
                <w:highlight w:val="none"/>
                <w14:textFill>
                  <w14:solidFill>
                    <w14:schemeClr w14:val="tx1"/>
                  </w14:solidFill>
                </w14:textFill>
              </w:rPr>
              <w:t>，系数</w:t>
            </w:r>
            <w:r>
              <w:rPr>
                <w:rFonts w:hint="eastAsia" w:asciiTheme="minorEastAsia" w:hAnsiTheme="minorEastAsia" w:eastAsiaTheme="minorEastAsia"/>
                <w:color w:val="000000" w:themeColor="text1"/>
                <w:sz w:val="15"/>
                <w:szCs w:val="15"/>
                <w:highlight w:val="none"/>
                <w14:textFill>
                  <w14:solidFill>
                    <w14:schemeClr w14:val="tx1"/>
                  </w14:solidFill>
                </w14:textFill>
              </w:rPr>
              <w:t>为0.5；</w:t>
            </w:r>
            <w:r>
              <w:rPr>
                <w:rFonts w:asciiTheme="minorEastAsia" w:hAnsiTheme="minorEastAsia" w:eastAsiaTheme="minorEastAsia"/>
                <w:color w:val="000000" w:themeColor="text1"/>
                <w:sz w:val="15"/>
                <w:szCs w:val="15"/>
                <w:highlight w:val="none"/>
                <w14:textFill>
                  <w14:solidFill>
                    <w14:schemeClr w14:val="tx1"/>
                  </w14:solidFill>
                </w14:textFill>
              </w:rPr>
              <w:t>2.</w:t>
            </w:r>
            <w:r>
              <w:rPr>
                <w:rFonts w:hint="eastAsia" w:asciiTheme="minorEastAsia" w:hAnsiTheme="minorEastAsia" w:eastAsiaTheme="minorEastAsia"/>
                <w:color w:val="000000" w:themeColor="text1"/>
                <w:sz w:val="15"/>
                <w:szCs w:val="15"/>
                <w:highlight w:val="none"/>
                <w14:textFill>
                  <w14:solidFill>
                    <w14:schemeClr w14:val="tx1"/>
                  </w14:solidFill>
                </w14:textFill>
              </w:rPr>
              <w:t>经营保健食品、婴幼儿配方食品和特殊医学用途配方食品等特殊食品的</w:t>
            </w:r>
            <w:r>
              <w:rPr>
                <w:rFonts w:asciiTheme="minorEastAsia" w:hAnsiTheme="minorEastAsia" w:eastAsiaTheme="minorEastAsia"/>
                <w:color w:val="000000" w:themeColor="text1"/>
                <w:sz w:val="15"/>
                <w:szCs w:val="15"/>
                <w:highlight w:val="none"/>
                <w14:textFill>
                  <w14:solidFill>
                    <w14:schemeClr w14:val="tx1"/>
                  </w14:solidFill>
                </w14:textFill>
              </w:rPr>
              <w:t>，系数为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1；3.经营</w:t>
            </w:r>
            <w:r>
              <w:rPr>
                <w:rFonts w:asciiTheme="minorEastAsia" w:hAnsiTheme="minorEastAsia" w:eastAsiaTheme="minorEastAsia"/>
                <w:color w:val="000000" w:themeColor="text1"/>
                <w:sz w:val="15"/>
                <w:szCs w:val="15"/>
                <w:highlight w:val="none"/>
                <w14:textFill>
                  <w14:solidFill>
                    <w14:schemeClr w14:val="tx1"/>
                  </w14:solidFill>
                </w14:textFill>
              </w:rPr>
              <w:t>区人民政府确定的不得经营的类别的，系数为</w:t>
            </w:r>
            <w:r>
              <w:rPr>
                <w:rFonts w:hint="eastAsia" w:asciiTheme="minorEastAsia" w:hAnsiTheme="minorEastAsia" w:eastAsiaTheme="minorEastAsia"/>
                <w:color w:val="000000" w:themeColor="text1"/>
                <w:sz w:val="15"/>
                <w:szCs w:val="15"/>
                <w:highlight w:val="none"/>
                <w14:textFill>
                  <w14:solidFill>
                    <w14:schemeClr w14:val="tx1"/>
                  </w14:solidFill>
                </w14:textFill>
              </w:rPr>
              <w:t>0。</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＝5000×（1+变量</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w:t>
            </w:r>
          </w:p>
        </w:tc>
        <w:tc>
          <w:tcPr>
            <w:tcW w:w="2385" w:type="dxa"/>
            <w:shd w:val="clear" w:color="auto" w:fill="auto"/>
            <w:vAlign w:val="center"/>
          </w:tcPr>
          <w:p>
            <w:pPr>
              <w:spacing w:line="232" w:lineRule="exact"/>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根据</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案件情况执行</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食品摊贩生产经营被包装材料、容器、运输工具等污染的食品</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违反条款：第十三条第十二项；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的情形：</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一年内因同类违法行为，受到城管执法机关2次罚款处罚后又发生同类违法行为的；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因违法行为导致严重后果或造成重大社会影响的；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违反条款：第十三条第十三项；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的情形：</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一年内因同类违法行为，受到城管执法机关2次罚款处罚后又发生同类违法行为的；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因违法行为导致严重后果或造成重大社会影响的；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食品摊贩购进、存放、使用亚硝酸盐等易滥用的食品添加剂</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违反条款：第十六条第二款；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的情形：</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一年内因同类违法行为，受到城管执法机关2次罚款处罚后又发生同类违法行为的；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因违法行为导致严重后果或造成重大社会影响的；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17</w:t>
            </w:r>
          </w:p>
        </w:tc>
        <w:tc>
          <w:tcPr>
            <w:tcW w:w="1500" w:type="dxa"/>
            <w:shd w:val="clear" w:color="auto" w:fill="auto"/>
            <w:vAlign w:val="center"/>
          </w:tcPr>
          <w:p>
            <w:pPr>
              <w:spacing w:line="208"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食品摊贩生产经营无标签的预包装食品（标签不符合法律、法规规定的食品）</w:t>
            </w:r>
          </w:p>
        </w:tc>
        <w:tc>
          <w:tcPr>
            <w:tcW w:w="2789" w:type="dxa"/>
            <w:shd w:val="clear" w:color="auto" w:fill="auto"/>
            <w:vAlign w:val="center"/>
          </w:tcPr>
          <w:p>
            <w:pPr>
              <w:spacing w:line="208"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违反条款：第十三条第十四项；</w:t>
            </w:r>
          </w:p>
          <w:p>
            <w:pPr>
              <w:spacing w:line="208"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1.无</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标签的预包装食品，系数为2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；2.标签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不符合法律、法规规定的食品，系数为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785" w:type="dxa"/>
            <w:shd w:val="clear" w:color="auto" w:fill="auto"/>
            <w:vAlign w:val="center"/>
          </w:tcPr>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系数）</w:t>
            </w:r>
          </w:p>
        </w:tc>
        <w:tc>
          <w:tcPr>
            <w:tcW w:w="2385" w:type="dxa"/>
            <w:shd w:val="clear" w:color="auto" w:fill="auto"/>
            <w:vAlign w:val="center"/>
          </w:tcPr>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的情形：</w:t>
            </w:r>
          </w:p>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一年内因同类违法行为，受到城管执法机关2次罚款处罚后又发生同类违法行为的；</w:t>
            </w:r>
          </w:p>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因违法行为导致严重后果或造成重大社会影响的；</w:t>
            </w:r>
          </w:p>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18</w:t>
            </w:r>
          </w:p>
        </w:tc>
        <w:tc>
          <w:tcPr>
            <w:tcW w:w="1500" w:type="dxa"/>
            <w:shd w:val="clear" w:color="auto" w:fill="auto"/>
            <w:vAlign w:val="center"/>
          </w:tcPr>
          <w:p>
            <w:pPr>
              <w:spacing w:line="208"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食品摊贩在生产经营条件发生变化，不再符合法律、法规规定要求的情况下继续生产经营</w:t>
            </w:r>
          </w:p>
        </w:tc>
        <w:tc>
          <w:tcPr>
            <w:tcW w:w="2789" w:type="dxa"/>
            <w:shd w:val="clear" w:color="auto" w:fill="auto"/>
            <w:vAlign w:val="center"/>
          </w:tcPr>
          <w:p>
            <w:pPr>
              <w:spacing w:line="208"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违反条款：第十三条第十五项；</w:t>
            </w:r>
          </w:p>
          <w:p>
            <w:pPr>
              <w:spacing w:line="208"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的情形：</w:t>
            </w:r>
          </w:p>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一年内因同类违法行为，受到城管执法机关2次罚款处罚后又发生同类违法行为的；</w:t>
            </w:r>
          </w:p>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因违法行为导致严重后果或造成重大社会影响的；</w:t>
            </w:r>
          </w:p>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19</w:t>
            </w:r>
          </w:p>
        </w:tc>
        <w:tc>
          <w:tcPr>
            <w:tcW w:w="1500" w:type="dxa"/>
            <w:shd w:val="clear" w:color="auto" w:fill="auto"/>
            <w:vAlign w:val="center"/>
          </w:tcPr>
          <w:p>
            <w:pPr>
              <w:spacing w:line="208"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pPr>
              <w:spacing w:line="208"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违反条款：第十三条第十六项；</w:t>
            </w:r>
          </w:p>
          <w:p>
            <w:pPr>
              <w:spacing w:line="208"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的情形：</w:t>
            </w:r>
          </w:p>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一年内因同类违法行为，受到城管执法机关2次罚款处罚后又发生同类违法行为的；</w:t>
            </w:r>
          </w:p>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因违法行为导致严重后果或造成重大社会影响的；</w:t>
            </w:r>
          </w:p>
          <w:p>
            <w:pPr>
              <w:spacing w:line="208"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7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食品摊贩采购食品、食品原料、食品添加剂、食品相关产品时查验、记录不规范</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违反条款：第十五条；</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的情形：</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一年内因同类违法行为，受到城管执法机关2次罚款处罚后又发生同类违法行为的；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因违法行为导致严重后果或造成重大社会影响的；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21</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食品摊贩未对食品添加剂实行专区(柜)存放或没有专用的称量器具</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违反条款：第十六条第一款；</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情节严重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的情形：</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1.</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一年内因同类违法行为，受到城管执法机关2次罚款处罚后又发生同类违法行为的；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因违法行为导致严重后果或造成重大社会影响的；</w:t>
            </w:r>
          </w:p>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22</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食品摊贩未在生产经营场所显著位置公示备案证明、从业人员健康证明</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违反条款：第十四条；</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23</w:t>
            </w:r>
          </w:p>
        </w:tc>
        <w:tc>
          <w:tcPr>
            <w:tcW w:w="1500"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食品摊贩使用食品添加剂的记录、公示不规范</w:t>
            </w:r>
          </w:p>
        </w:tc>
        <w:tc>
          <w:tcPr>
            <w:tcW w:w="2789" w:type="dxa"/>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违反条款：第二十条第一项；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数额</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2</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2"/>
              <w:keepNext w:val="0"/>
              <w:keepLines w:val="0"/>
              <w:rPr>
                <w:rFonts w:ascii="黑体" w:hAnsi="黑体" w:eastAsia="黑体"/>
                <w:b w:val="0"/>
                <w:color w:val="000000" w:themeColor="text1"/>
                <w:sz w:val="24"/>
                <w:szCs w:val="24"/>
                <w:highlight w:val="none"/>
                <w14:textFill>
                  <w14:solidFill>
                    <w14:schemeClr w14:val="tx1"/>
                  </w14:solidFill>
                </w14:textFill>
              </w:rPr>
            </w:pPr>
            <w:bookmarkStart w:id="177" w:name="_Toc110851491"/>
            <w:bookmarkStart w:id="178" w:name="_Toc41635676"/>
            <w:bookmarkStart w:id="179" w:name="_Toc1834866177"/>
            <w:r>
              <w:rPr>
                <w:rFonts w:hint="eastAsia" w:ascii="黑体" w:hAnsi="黑体" w:eastAsia="黑体"/>
                <w:b w:val="0"/>
                <w:color w:val="000000" w:themeColor="text1"/>
                <w:sz w:val="36"/>
                <w:szCs w:val="36"/>
                <w:highlight w:val="none"/>
                <w14:textFill>
                  <w14:solidFill>
                    <w14:schemeClr w14:val="tx1"/>
                  </w14:solidFill>
                </w14:textFill>
              </w:rPr>
              <w:t>能源运行管理方面</w:t>
            </w:r>
            <w:bookmarkEnd w:id="177"/>
            <w:bookmarkEnd w:id="178"/>
            <w:bookmarkEnd w:id="1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000000" w:themeColor="text1"/>
                <w:kern w:val="0"/>
                <w:sz w:val="21"/>
                <w:szCs w:val="21"/>
                <w:highlight w:val="none"/>
                <w14:textFill>
                  <w14:solidFill>
                    <w14:schemeClr w14:val="tx1"/>
                  </w14:solidFill>
                </w14:textFill>
              </w:rPr>
            </w:pPr>
            <w:r>
              <w:rPr>
                <w:rFonts w:hint="eastAsia" w:asciiTheme="minorEastAsia" w:hAnsiTheme="minorEastAsia" w:eastAsiaTheme="minorEastAsia"/>
                <w:b/>
                <w:color w:val="000000" w:themeColor="text1"/>
                <w:kern w:val="0"/>
                <w:sz w:val="21"/>
                <w:szCs w:val="21"/>
                <w:highlight w:val="none"/>
                <w14:textFill>
                  <w14:solidFill>
                    <w14:schemeClr w14:val="tx1"/>
                  </w14:solidFill>
                </w14:textFill>
              </w:rPr>
              <w:t>煤炭经营管理类案由3</w:t>
            </w:r>
            <w:r>
              <w:rPr>
                <w:rFonts w:asciiTheme="minorEastAsia" w:hAnsiTheme="minorEastAsia" w:eastAsiaTheme="minorEastAsia"/>
                <w:b/>
                <w:color w:val="000000" w:themeColor="text1"/>
                <w:kern w:val="0"/>
                <w:sz w:val="21"/>
                <w:szCs w:val="21"/>
                <w:highlight w:val="none"/>
                <w14:textFill>
                  <w14:solidFill>
                    <w14:schemeClr w14:val="tx1"/>
                  </w14:solidFill>
                </w14:textFill>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000000" w:themeColor="text1"/>
                <w:sz w:val="21"/>
                <w:szCs w:val="21"/>
                <w:highlight w:val="none"/>
                <w14:textFill>
                  <w14:solidFill>
                    <w14:schemeClr w14:val="tx1"/>
                  </w14:solidFill>
                </w14:textFill>
              </w:rPr>
            </w:pPr>
            <w:bookmarkStart w:id="180" w:name="_Toc110851492"/>
            <w:bookmarkStart w:id="181" w:name="_Toc1482088652"/>
            <w:bookmarkStart w:id="182" w:name="_Toc1887328448"/>
            <w:r>
              <w:rPr>
                <w:rFonts w:hint="eastAsia" w:asciiTheme="minorEastAsia" w:hAnsiTheme="minorEastAsia" w:eastAsiaTheme="minorEastAsia"/>
                <w:color w:val="000000" w:themeColor="text1"/>
                <w:sz w:val="21"/>
                <w:szCs w:val="21"/>
                <w:highlight w:val="none"/>
                <w14:textFill>
                  <w14:solidFill>
                    <w14:schemeClr w14:val="tx1"/>
                  </w14:solidFill>
                </w14:textFill>
              </w:rPr>
              <w:t>《中华人民共和国煤炭法》案由</w:t>
            </w:r>
            <w:r>
              <w:rPr>
                <w:rFonts w:asciiTheme="minorEastAsia" w:hAnsiTheme="minorEastAsia" w:eastAsiaTheme="minorEastAsia"/>
                <w:color w:val="000000" w:themeColor="text1"/>
                <w:sz w:val="21"/>
                <w:szCs w:val="21"/>
                <w:highlight w:val="none"/>
                <w14:textFill>
                  <w14:solidFill>
                    <w14:schemeClr w14:val="tx1"/>
                  </w14:solidFill>
                </w14:textFill>
              </w:rPr>
              <w:t>3</w:t>
            </w:r>
            <w:r>
              <w:rPr>
                <w:rFonts w:hint="eastAsia" w:asciiTheme="minorEastAsia" w:hAnsiTheme="minorEastAsia" w:eastAsiaTheme="minorEastAsia"/>
                <w:color w:val="000000" w:themeColor="text1"/>
                <w:sz w:val="21"/>
                <w:szCs w:val="21"/>
                <w:highlight w:val="none"/>
                <w14:textFill>
                  <w14:solidFill>
                    <w14:schemeClr w14:val="tx1"/>
                  </w14:solidFill>
                </w14:textFill>
              </w:rPr>
              <w:t>项</w:t>
            </w:r>
            <w:bookmarkEnd w:id="180"/>
            <w:bookmarkEnd w:id="181"/>
            <w:bookmarkEnd w:id="1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shd w:val="clear" w:color="auto" w:fill="FFFFFF"/>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擅自开采保安煤柱或者采用危及相邻煤矿生产安全的危险方法采矿作业</w:t>
            </w:r>
          </w:p>
        </w:tc>
        <w:tc>
          <w:tcPr>
            <w:tcW w:w="2789" w:type="dxa"/>
            <w:shd w:val="clear" w:color="auto" w:fill="FFFFFF"/>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FFFFFF"/>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1.存在较大安全隐患的，系数2</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罚款数额＝违法所得×（1＋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罚款数额不超过违法所得五倍。</w:t>
            </w:r>
          </w:p>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构成犯罪的，由司法机关依法追究刑事责任。</w:t>
            </w:r>
          </w:p>
        </w:tc>
        <w:tc>
          <w:tcPr>
            <w:tcW w:w="824" w:type="dxa"/>
            <w:shd w:val="clear" w:color="auto" w:fill="FFFFFF"/>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66"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shd w:val="clear" w:color="auto" w:fill="FFFFFF"/>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未经批准或者未采取安全措施在煤矿采区范围内进行危及煤矿安全的作业</w:t>
            </w:r>
          </w:p>
        </w:tc>
        <w:tc>
          <w:tcPr>
            <w:tcW w:w="2789" w:type="dxa"/>
            <w:shd w:val="clear" w:color="auto" w:fill="FFFFFF"/>
            <w:vAlign w:val="center"/>
          </w:tcPr>
          <w:p>
            <w:pPr>
              <w:spacing w:line="22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FFFFFF"/>
            <w:vAlign w:val="center"/>
          </w:tcPr>
          <w:p>
            <w:pPr>
              <w:spacing w:line="22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FFFFFF"/>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1.存在较大安全隐患的，系数2</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-3</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其它额度处罚的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，报案审会讨论决定。</w:t>
            </w:r>
          </w:p>
        </w:tc>
        <w:tc>
          <w:tcPr>
            <w:tcW w:w="824" w:type="dxa"/>
            <w:shd w:val="clear" w:color="auto" w:fill="FFFFFF"/>
            <w:vAlign w:val="center"/>
          </w:tcPr>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2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065"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在煤炭产品中掺杂、掺假，以次充好</w:t>
            </w:r>
          </w:p>
        </w:tc>
        <w:tc>
          <w:tcPr>
            <w:tcW w:w="2789" w:type="dxa"/>
            <w:shd w:val="clear" w:color="auto" w:fill="FFFFFF"/>
            <w:vAlign w:val="center"/>
          </w:tcPr>
          <w:p>
            <w:pPr>
              <w:spacing w:line="232" w:lineRule="exact"/>
              <w:ind w:right="315" w:rightChars="150"/>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FFFFFF"/>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造成严重后果或者社会恶劣影响的，系数4。</w:t>
            </w:r>
          </w:p>
        </w:tc>
        <w:tc>
          <w:tcPr>
            <w:tcW w:w="1785" w:type="dxa"/>
            <w:shd w:val="clear" w:color="auto" w:fill="FFFFFF"/>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罚款数额＝违法所得×（1＋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罚款数额不超过违法所得五倍。</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构成犯罪的，由司法机关依法追究刑事责任。</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街道</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000000" w:themeColor="text1"/>
                <w:kern w:val="0"/>
                <w:sz w:val="21"/>
                <w:szCs w:val="21"/>
                <w:highlight w:val="none"/>
                <w14:textFill>
                  <w14:solidFill>
                    <w14:schemeClr w14:val="tx1"/>
                  </w14:solidFill>
                </w14:textFill>
              </w:rPr>
            </w:pPr>
            <w:r>
              <w:rPr>
                <w:rFonts w:hint="eastAsia" w:asciiTheme="minorEastAsia" w:hAnsiTheme="minorEastAsia" w:eastAsiaTheme="minorEastAsia"/>
                <w:b/>
                <w:color w:val="000000" w:themeColor="text1"/>
                <w:kern w:val="0"/>
                <w:sz w:val="21"/>
                <w:szCs w:val="21"/>
                <w:highlight w:val="none"/>
                <w14:textFill>
                  <w14:solidFill>
                    <w14:schemeClr w14:val="tx1"/>
                  </w14:solidFill>
                </w14:textFill>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000000" w:themeColor="text1"/>
                <w:sz w:val="21"/>
                <w:szCs w:val="21"/>
                <w:highlight w:val="none"/>
                <w14:textFill>
                  <w14:solidFill>
                    <w14:schemeClr w14:val="tx1"/>
                  </w14:solidFill>
                </w14:textFill>
              </w:rPr>
            </w:pPr>
            <w:bookmarkStart w:id="183" w:name="_Toc1932982768"/>
            <w:bookmarkStart w:id="184" w:name="_Toc110851493"/>
            <w:bookmarkStart w:id="185" w:name="_Toc2128130996"/>
            <w:r>
              <w:rPr>
                <w:rFonts w:hint="eastAsia" w:asciiTheme="minorEastAsia" w:hAnsiTheme="minorEastAsia" w:eastAsiaTheme="minorEastAsia"/>
                <w:color w:val="000000" w:themeColor="text1"/>
                <w:sz w:val="21"/>
                <w:szCs w:val="21"/>
                <w:highlight w:val="none"/>
                <w14:textFill>
                  <w14:solidFill>
                    <w14:schemeClr w14:val="tx1"/>
                  </w14:solidFill>
                </w14:textFill>
              </w:rPr>
              <w:t>《中华人民共和国可再生能源法》案由2项</w:t>
            </w:r>
            <w:bookmarkEnd w:id="183"/>
            <w:bookmarkEnd w:id="184"/>
            <w:bookmarkEnd w:id="1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2"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经营燃气管网、热力管网的企业不准许符合入网技术标准的燃气、热力入网</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经济</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85" w:type="dxa"/>
            <w:shd w:val="clear" w:color="auto" w:fill="FFFFFF"/>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93"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石油销售企业未按照规定将符合国家标准的生物液体燃料纳入其燃料销售体系</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经济</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85" w:type="dxa"/>
            <w:shd w:val="clear" w:color="auto" w:fill="FFFFFF"/>
            <w:vAlign w:val="center"/>
          </w:tcPr>
          <w:p>
            <w:pPr>
              <w:spacing w:line="232" w:lineRule="exac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按照规定执行</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000000" w:themeColor="text1"/>
                <w:kern w:val="0"/>
                <w:sz w:val="21"/>
                <w:szCs w:val="21"/>
                <w:highlight w:val="none"/>
                <w14:textFill>
                  <w14:solidFill>
                    <w14:schemeClr w14:val="tx1"/>
                  </w14:solidFill>
                </w14:textFill>
              </w:rPr>
            </w:pPr>
            <w:r>
              <w:rPr>
                <w:rFonts w:hint="eastAsia" w:asciiTheme="minorEastAsia" w:hAnsiTheme="minorEastAsia" w:eastAsiaTheme="minorEastAsia"/>
                <w:b/>
                <w:color w:val="000000" w:themeColor="text1"/>
                <w:kern w:val="0"/>
                <w:sz w:val="21"/>
                <w:szCs w:val="21"/>
                <w:highlight w:val="none"/>
                <w14:textFill>
                  <w14:solidFill>
                    <w14:schemeClr w14:val="tx1"/>
                  </w14:solidFill>
                </w14:textFill>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000000" w:themeColor="text1"/>
                <w:sz w:val="21"/>
                <w:szCs w:val="21"/>
                <w:highlight w:val="none"/>
                <w14:textFill>
                  <w14:solidFill>
                    <w14:schemeClr w14:val="tx1"/>
                  </w14:solidFill>
                </w14:textFill>
              </w:rPr>
            </w:pPr>
            <w:bookmarkStart w:id="186" w:name="_Toc2142516953"/>
            <w:bookmarkStart w:id="187" w:name="_Toc110851494"/>
            <w:bookmarkStart w:id="188" w:name="_Toc784521422"/>
            <w:r>
              <w:rPr>
                <w:rFonts w:hint="eastAsia" w:asciiTheme="minorEastAsia" w:hAnsiTheme="minorEastAsia" w:eastAsiaTheme="minorEastAsia"/>
                <w:color w:val="000000" w:themeColor="text1"/>
                <w:sz w:val="21"/>
                <w:szCs w:val="21"/>
                <w:highlight w:val="none"/>
                <w14:textFill>
                  <w14:solidFill>
                    <w14:schemeClr w14:val="tx1"/>
                  </w14:solidFill>
                </w14:textFill>
              </w:rPr>
              <w:t>《中华人民共和国电力法》《电力供应与使用条例》案由</w:t>
            </w:r>
            <w:r>
              <w:rPr>
                <w:rFonts w:asciiTheme="minorEastAsia" w:hAnsiTheme="minorEastAsia" w:eastAsiaTheme="minorEastAsia"/>
                <w:color w:val="000000" w:themeColor="text1"/>
                <w:sz w:val="21"/>
                <w:szCs w:val="21"/>
                <w:highlight w:val="none"/>
                <w14:textFill>
                  <w14:solidFill>
                    <w14:schemeClr w14:val="tx1"/>
                  </w14:solidFill>
                </w14:textFill>
              </w:rPr>
              <w:t>6</w:t>
            </w:r>
            <w:r>
              <w:rPr>
                <w:rFonts w:hint="eastAsia" w:asciiTheme="minorEastAsia" w:hAnsiTheme="minorEastAsia" w:eastAsiaTheme="minorEastAsia"/>
                <w:color w:val="000000" w:themeColor="text1"/>
                <w:sz w:val="21"/>
                <w:szCs w:val="21"/>
                <w:highlight w:val="none"/>
                <w14:textFill>
                  <w14:solidFill>
                    <w14:schemeClr w14:val="tx1"/>
                  </w14:solidFill>
                </w14:textFill>
              </w:rPr>
              <w:t>项</w:t>
            </w:r>
            <w:bookmarkEnd w:id="186"/>
            <w:bookmarkEnd w:id="187"/>
            <w:bookmarkEnd w:id="1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电力建设项目使用国家明令淘汰的电力设备和技术</w:t>
            </w:r>
          </w:p>
        </w:tc>
        <w:tc>
          <w:tcPr>
            <w:tcW w:w="2789"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1.存在较大安全隐患的，系数2-3；2.发生安全事故的，系数4。</w:t>
            </w:r>
          </w:p>
        </w:tc>
        <w:tc>
          <w:tcPr>
            <w:tcW w:w="1785"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其它额度</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处罚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pPr>
              <w:spacing w:line="232" w:lineRule="exact"/>
              <w:ind w:left="6" w:hanging="21"/>
              <w:rPr>
                <w:rFonts w:hint="eastAsia" w:cs="宋体" w:asciiTheme="minorEastAsia" w:hAnsiTheme="minorEastAsia" w:eastAsiaTheme="minorEastAsia"/>
                <w:strike/>
                <w:dstrike w:val="0"/>
                <w:color w:val="000000" w:themeColor="text1"/>
                <w:kern w:val="0"/>
                <w:sz w:val="15"/>
                <w:szCs w:val="15"/>
                <w:highlight w:val="none"/>
                <w14:textFill>
                  <w14:solidFill>
                    <w14:schemeClr w14:val="tx1"/>
                  </w14:solidFill>
                </w14:textFill>
              </w:rPr>
            </w:pPr>
          </w:p>
          <w:p>
            <w:pPr>
              <w:spacing w:line="232" w:lineRule="exact"/>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pacing w:val="-4"/>
                <w:sz w:val="15"/>
                <w:szCs w:val="15"/>
                <w:highlight w:val="none"/>
                <w:lang w:val="en-US" w:eastAsia="zh-CN"/>
                <w14:textFill>
                  <w14:solidFill>
                    <w14:schemeClr w14:val="tx1"/>
                  </w14:solidFill>
                </w14:textFill>
              </w:rPr>
              <w:t>依据应急管理部门的裁量权基准执行。</w:t>
            </w:r>
          </w:p>
          <w:p>
            <w:pPr>
              <w:autoSpaceDE w:val="0"/>
              <w:spacing w:line="232"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1.使用1台（套）应当淘汰的危及生产安全的设备或者1种工艺逾期未改正的，处5万元以上10万元以下的罚款，对其直接负责的主管人员和其他直接责任人员处1万元以上2万元以下的罚款；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2.使用2台（套）应当淘汰的危及生产安全的设备或者2种工艺逾期未改正的，处10万元以上15万元以下的罚款，对其直接负责的主管人员和其他直接责任人员处1万元以上2万元以下的罚款；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3.使用3台（套）以上应当淘汰的危及生产安全的设备或者3种以上工艺逾期未改正的，处15万元以上20万元以下的罚款，对其直接负责的主管人员和其他直接责任人员处1万元以上2万元以下的罚款。</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4.逾期未改正，经责令仍拒不改正的，可予以责令停产停业整顿。</w:t>
            </w:r>
          </w:p>
        </w:tc>
        <w:tc>
          <w:tcPr>
            <w:tcW w:w="2385"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对违法行为，适用《中华人民共和国电力法》处罚。逾期未改正的，应另行立案，适用《中华人民共和国安全生产法》“逾期未改正”情形处罚。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FFFFFF"/>
            <w:vAlign w:val="center"/>
          </w:tcPr>
          <w:p>
            <w:pPr>
              <w:autoSpaceDE w:val="0"/>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未经许可从事供电或者变更供电营业区</w:t>
            </w:r>
          </w:p>
        </w:tc>
        <w:tc>
          <w:tcPr>
            <w:tcW w:w="2789" w:type="dxa"/>
            <w:shd w:val="clear" w:color="auto" w:fill="FFFFFF"/>
            <w:vAlign w:val="center"/>
          </w:tcPr>
          <w:p>
            <w:pPr>
              <w:autoSpaceDE w:val="0"/>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FFFFFF"/>
            <w:vAlign w:val="center"/>
          </w:tcPr>
          <w:p>
            <w:pPr>
              <w:autoSpaceDE w:val="0"/>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未经许可从事电力供应业务，系数2。</w:t>
            </w:r>
          </w:p>
        </w:tc>
        <w:tc>
          <w:tcPr>
            <w:tcW w:w="1785" w:type="dxa"/>
            <w:shd w:val="clear" w:color="auto" w:fill="FFFFFF"/>
            <w:vAlign w:val="center"/>
          </w:tcPr>
          <w:p>
            <w:pPr>
              <w:autoSpaceDE w:val="0"/>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罚款数额＝违法所得×（1＋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FFFFFF"/>
            <w:vAlign w:val="center"/>
          </w:tcPr>
          <w:p>
            <w:pPr>
              <w:autoSpaceDE w:val="0"/>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罚款数额不超过违法所得五倍。</w:t>
            </w:r>
          </w:p>
          <w:p>
            <w:pPr>
              <w:autoSpaceDE w:val="0"/>
              <w:spacing w:line="25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需要作出其它额度处罚的，报案审会讨论决定。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79"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shd w:val="clear" w:color="auto" w:fill="FFFFFF"/>
            <w:vAlign w:val="center"/>
          </w:tcPr>
          <w:p>
            <w:pPr>
              <w:spacing w:line="250"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供电营业机构拒绝供电</w:t>
            </w:r>
          </w:p>
        </w:tc>
        <w:tc>
          <w:tcPr>
            <w:tcW w:w="2789"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40" w:type="dxa"/>
            <w:shd w:val="clear" w:color="auto" w:fill="FFFFFF"/>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04"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非罚款处罚事项</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4</w:t>
            </w:r>
          </w:p>
        </w:tc>
        <w:tc>
          <w:tcPr>
            <w:tcW w:w="1500" w:type="dxa"/>
            <w:shd w:val="clear" w:color="auto" w:fill="FFFFFF"/>
            <w:vAlign w:val="center"/>
          </w:tcPr>
          <w:p>
            <w:pPr>
              <w:spacing w:line="250"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供电企业中断供电</w:t>
            </w:r>
          </w:p>
        </w:tc>
        <w:tc>
          <w:tcPr>
            <w:tcW w:w="2789"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40" w:type="dxa"/>
            <w:shd w:val="clear" w:color="auto" w:fill="FFFFFF"/>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04"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非罚款处罚事项</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5</w:t>
            </w:r>
          </w:p>
        </w:tc>
        <w:tc>
          <w:tcPr>
            <w:tcW w:w="1500" w:type="dxa"/>
            <w:shd w:val="clear" w:color="auto" w:fill="FFFFFF"/>
            <w:vAlign w:val="center"/>
          </w:tcPr>
          <w:p>
            <w:pPr>
              <w:spacing w:line="250"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用户危害供电用电安全或者扰乱供电用电秩序</w:t>
            </w:r>
          </w:p>
        </w:tc>
        <w:tc>
          <w:tcPr>
            <w:tcW w:w="2789"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40" w:type="dxa"/>
            <w:shd w:val="clear" w:color="auto" w:fill="FFFFFF"/>
            <w:vAlign w:val="center"/>
          </w:tcPr>
          <w:p>
            <w:pPr>
              <w:spacing w:line="25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04"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shd w:val="clear" w:color="auto" w:fill="FFFFFF"/>
            <w:vAlign w:val="center"/>
          </w:tcPr>
          <w:p>
            <w:pPr>
              <w:spacing w:line="250"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85" w:type="dxa"/>
            <w:shd w:val="clear" w:color="auto" w:fill="FFFFFF"/>
            <w:vAlign w:val="center"/>
          </w:tcPr>
          <w:p>
            <w:pPr>
              <w:spacing w:line="250"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按照规定执行。</w:t>
            </w:r>
          </w:p>
          <w:p>
            <w:pPr>
              <w:spacing w:line="250"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可参照《供用电监督管理办法》第</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十九</w:t>
            </w:r>
            <w:r>
              <w:rPr>
                <w:rFonts w:hint="eastAsia" w:asciiTheme="minorEastAsia" w:hAnsiTheme="minorEastAsia" w:eastAsiaTheme="minorEastAsia"/>
                <w:color w:val="000000" w:themeColor="text1"/>
                <w:sz w:val="15"/>
                <w:szCs w:val="15"/>
                <w:highlight w:val="none"/>
                <w14:textFill>
                  <w14:solidFill>
                    <w14:schemeClr w14:val="tx1"/>
                  </w14:solidFill>
                </w14:textFill>
              </w:rPr>
              <w:t>条相关规定。</w:t>
            </w:r>
          </w:p>
        </w:tc>
        <w:tc>
          <w:tcPr>
            <w:tcW w:w="824"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6</w:t>
            </w:r>
          </w:p>
        </w:tc>
        <w:tc>
          <w:tcPr>
            <w:tcW w:w="1500" w:type="dxa"/>
            <w:vMerge w:val="restart"/>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盗窃电能</w:t>
            </w:r>
          </w:p>
        </w:tc>
        <w:tc>
          <w:tcPr>
            <w:tcW w:w="2789" w:type="dxa"/>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vMerge w:val="restart"/>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1.造成电能损失较大或者供电设施、用电计量装置等损坏的，系数2-3；2.造成电能损失严重或者供用电事故的，系数4。</w:t>
            </w:r>
          </w:p>
        </w:tc>
        <w:tc>
          <w:tcPr>
            <w:tcW w:w="1785" w:type="dxa"/>
            <w:vMerge w:val="restart"/>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罚款数额＝应交电费×（1＋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罚款数额不超过应交电费五倍。</w:t>
            </w:r>
          </w:p>
          <w:p>
            <w:pPr>
              <w:autoSpaceDE w:val="0"/>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p>
            <w:pPr>
              <w:autoSpaceDE w:val="0"/>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构成犯罪的，依法追究刑事责任。</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15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04"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p>
        </w:tc>
        <w:tc>
          <w:tcPr>
            <w:tcW w:w="178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385" w:type="dxa"/>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000000" w:themeColor="text1"/>
                <w:sz w:val="15"/>
                <w:szCs w:val="15"/>
                <w:highlight w:val="none"/>
                <w14:textFill>
                  <w14:solidFill>
                    <w14:schemeClr w14:val="tx1"/>
                  </w14:solidFill>
                </w14:textFill>
              </w:rPr>
            </w:pPr>
            <w:bookmarkStart w:id="189" w:name="_Toc110851495"/>
            <w:bookmarkStart w:id="190" w:name="_Toc409668775"/>
            <w:bookmarkStart w:id="191" w:name="_Toc1256520048"/>
            <w:r>
              <w:rPr>
                <w:rFonts w:hint="eastAsia" w:asciiTheme="minorEastAsia" w:hAnsiTheme="minorEastAsia" w:eastAsiaTheme="minorEastAsia"/>
                <w:color w:val="000000" w:themeColor="text1"/>
                <w:sz w:val="21"/>
                <w:szCs w:val="21"/>
                <w:highlight w:val="none"/>
                <w14:textFill>
                  <w14:solidFill>
                    <w14:schemeClr w14:val="tx1"/>
                  </w14:solidFill>
                </w14:textFill>
              </w:rPr>
              <w:t>《电力设施保护条例》《电力设施保护条例实施细则》案由5项</w:t>
            </w:r>
            <w:bookmarkEnd w:id="189"/>
            <w:bookmarkEnd w:id="190"/>
            <w:bookmarkEnd w:id="1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危害发电设施、变电设施</w:t>
            </w:r>
          </w:p>
        </w:tc>
        <w:tc>
          <w:tcPr>
            <w:tcW w:w="2789" w:type="dxa"/>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违反条款：《电力设施保护条例》第十三条第（一）（二）（三）（四）（五）项；</w:t>
            </w:r>
          </w:p>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处罚条款：第二十七条，责令改正；拒不改正的，处１万元以下的罚款。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1.造成电能损失较大或者发电设施、变电设施损坏的，系数2-3；2.造成事故或者损失严重的，系数4。</w:t>
            </w:r>
          </w:p>
        </w:tc>
        <w:tc>
          <w:tcPr>
            <w:tcW w:w="1785" w:type="dxa"/>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shd w:val="clear" w:color="auto" w:fill="FFFFFF"/>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危害电力线路设施</w:t>
            </w:r>
          </w:p>
        </w:tc>
        <w:tc>
          <w:tcPr>
            <w:tcW w:w="2789"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违反条款：《电力设施保护条例》第十四条第（一）（二）（三）（四）（五）（六）（七）（八）（九）（十）（十一）项；</w:t>
            </w:r>
          </w:p>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1.造成电能损失较大或者发电设施、变电设施损坏的，系数2-3；2.造成事故或者损失严重的，系数4。</w:t>
            </w:r>
          </w:p>
        </w:tc>
        <w:tc>
          <w:tcPr>
            <w:tcW w:w="1785"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p>
            <w:pPr>
              <w:pStyle w:val="17"/>
              <w:ind w:left="0" w:leftChars="0" w:firstLine="0" w:firstLineChars="0"/>
              <w:rPr>
                <w:color w:val="000000" w:themeColor="text1"/>
                <w:highlight w:val="none"/>
                <w14:textFill>
                  <w14:solidFill>
                    <w14:schemeClr w14:val="tx1"/>
                  </w14:solidFill>
                </w14:textFill>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shd w:val="clear" w:color="auto" w:fill="FFFFFF"/>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损坏使用中的杆塔基础</w:t>
            </w:r>
          </w:p>
        </w:tc>
        <w:tc>
          <w:tcPr>
            <w:tcW w:w="2789"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1.造成电能损失较大或者设施损坏的，系数2-3；2.造成事故的，系数4。</w:t>
            </w:r>
          </w:p>
        </w:tc>
        <w:tc>
          <w:tcPr>
            <w:tcW w:w="1785" w:type="dxa"/>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4</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损坏、拆卸、盗窃使用中或备用塔材、导线等电力设施</w:t>
            </w:r>
          </w:p>
        </w:tc>
        <w:tc>
          <w:tcPr>
            <w:tcW w:w="2789"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asciiTheme="minorEastAsia" w:hAnsiTheme="minorEastAsia" w:eastAsiaTheme="minorEastAsia"/>
                <w:color w:val="000000" w:themeColor="text1"/>
                <w:sz w:val="15"/>
                <w:szCs w:val="15"/>
                <w:highlight w:val="none"/>
                <w14:textFill>
                  <w14:solidFill>
                    <w14:schemeClr w14:val="tx1"/>
                  </w14:solidFill>
                </w14:textFill>
              </w:rPr>
              <w:t>5</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拆卸、盗窃使用中或备用变压器等电力设备</w:t>
            </w:r>
          </w:p>
        </w:tc>
        <w:tc>
          <w:tcPr>
            <w:tcW w:w="2789"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罚款数额＝2000×（1＋</w:t>
            </w: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asciiTheme="minorEastAsia" w:hAnsiTheme="minorEastAsia" w:eastAsiaTheme="minorEastAsia"/>
                <w:color w:val="000000" w:themeColor="text1"/>
                <w:sz w:val="15"/>
                <w:szCs w:val="15"/>
                <w:highlight w:val="none"/>
                <w14:textFill>
                  <w14:solidFill>
                    <w14:schemeClr w14:val="tx1"/>
                  </w14:solidFill>
                </w14:textFill>
              </w:rPr>
              <w:t>＋变量系数）</w:t>
            </w:r>
          </w:p>
        </w:tc>
        <w:tc>
          <w:tcPr>
            <w:tcW w:w="2385"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tc>
        <w:tc>
          <w:tcPr>
            <w:tcW w:w="824" w:type="dxa"/>
            <w:tcBorders>
              <w:bottom w:val="single" w:color="auto" w:sz="4" w:space="0"/>
            </w:tcBorders>
            <w:shd w:val="clear" w:color="auto" w:fill="FFFFFF"/>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街道</w:t>
            </w:r>
          </w:p>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674" w:hRule="atLeast"/>
          <w:jc w:val="center"/>
        </w:trPr>
        <w:tc>
          <w:tcPr>
            <w:tcW w:w="14218" w:type="dxa"/>
            <w:gridSpan w:val="9"/>
            <w:tcBorders>
              <w:bottom w:val="single" w:color="auto" w:sz="4" w:space="0"/>
            </w:tcBorders>
            <w:shd w:val="clear" w:color="auto" w:fill="FFFFFF"/>
            <w:vAlign w:val="center"/>
          </w:tcPr>
          <w:p>
            <w:pPr>
              <w:pStyle w:val="3"/>
              <w:bidi w:val="0"/>
              <w:jc w:val="center"/>
              <w:rPr>
                <w:rFonts w:hint="default"/>
                <w:color w:val="000000" w:themeColor="text1"/>
                <w:highlight w:val="none"/>
                <w:lang w:val="en-US" w:eastAsia="zh-CN"/>
                <w14:textFill>
                  <w14:solidFill>
                    <w14:schemeClr w14:val="tx1"/>
                  </w14:solidFill>
                </w14:textFill>
              </w:rPr>
            </w:pPr>
            <w:bookmarkStart w:id="192" w:name="_Toc1265530909"/>
            <w:r>
              <w:rPr>
                <w:rFonts w:hint="eastAsia"/>
                <w:color w:val="000000" w:themeColor="text1"/>
                <w:sz w:val="21"/>
                <w:szCs w:val="21"/>
                <w:highlight w:val="none"/>
                <w:lang w:val="en-US" w:eastAsia="zh-CN"/>
                <w14:textFill>
                  <w14:solidFill>
                    <w14:schemeClr w14:val="tx1"/>
                  </w14:solidFill>
                </w14:textFill>
              </w:rPr>
              <w:t>《北京市优化营商环境条例》案由1项</w:t>
            </w:r>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pStyle w:val="9"/>
              <w:jc w:val="center"/>
              <w:rPr>
                <w:rFonts w:hint="eastAsia" w:eastAsia="仿宋_GB2312"/>
                <w:color w:val="000000" w:themeColor="text1"/>
                <w:sz w:val="15"/>
                <w:szCs w:val="15"/>
                <w:highlight w:val="none"/>
                <w:lang w:val="en-US" w:eastAsia="zh-CN"/>
                <w14:textFill>
                  <w14:solidFill>
                    <w14:schemeClr w14:val="tx1"/>
                  </w14:solidFill>
                </w14:textFill>
              </w:rPr>
            </w:pPr>
            <w:r>
              <w:rPr>
                <w:rFonts w:hint="eastAsia"/>
                <w:color w:val="000000" w:themeColor="text1"/>
                <w:sz w:val="15"/>
                <w:szCs w:val="15"/>
                <w:highlight w:val="none"/>
                <w:lang w:val="en-US" w:eastAsia="zh-CN"/>
                <w14:textFill>
                  <w14:solidFill>
                    <w14:schemeClr w14:val="tx1"/>
                  </w14:solidFill>
                </w14:textFill>
              </w:rPr>
              <w:t>1</w:t>
            </w:r>
          </w:p>
        </w:tc>
        <w:tc>
          <w:tcPr>
            <w:tcW w:w="1500" w:type="dxa"/>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stheme="minorEastAsia"/>
                <w:color w:val="000000" w:themeColor="text1"/>
                <w:sz w:val="15"/>
                <w:szCs w:val="15"/>
                <w:highlight w:val="none"/>
                <w14:textFill>
                  <w14:solidFill>
                    <w14:schemeClr w14:val="tx1"/>
                  </w14:solidFill>
                </w14:textFill>
              </w:rPr>
              <w:t>供电企业年供电可靠率低于国家有关规定</w:t>
            </w:r>
          </w:p>
        </w:tc>
        <w:tc>
          <w:tcPr>
            <w:tcW w:w="2789" w:type="dxa"/>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15"/>
                <w:szCs w:val="15"/>
                <w:highlight w:val="none"/>
                <w:u w:val="none"/>
                <w:lang w:val="en-US" w:eastAsia="zh-CN" w:bidi="ar"/>
                <w14:textFill>
                  <w14:solidFill>
                    <w14:schemeClr w14:val="tx1"/>
                  </w14:solidFill>
                </w14:textFill>
              </w:rPr>
              <w:t>违反</w:t>
            </w:r>
            <w:r>
              <w:rPr>
                <w:rStyle w:val="62"/>
                <w:rFonts w:hint="eastAsia" w:asciiTheme="minorEastAsia" w:hAnsiTheme="minorEastAsia" w:eastAsiaTheme="minorEastAsia" w:cstheme="minorEastAsia"/>
                <w:color w:val="000000" w:themeColor="text1"/>
                <w:sz w:val="15"/>
                <w:szCs w:val="15"/>
                <w:highlight w:val="none"/>
                <w:lang w:val="en-US" w:eastAsia="zh-CN" w:bidi="ar"/>
                <w14:textFill>
                  <w14:solidFill>
                    <w14:schemeClr w14:val="tx1"/>
                  </w14:solidFill>
                </w14:textFill>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5780" w:type="dxa"/>
            <w:gridSpan w:val="4"/>
            <w:tcBorders>
              <w:bottom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color w:val="000000" w:themeColor="text1"/>
                <w:sz w:val="15"/>
                <w:szCs w:val="15"/>
                <w:highlight w:val="none"/>
                <w:lang w:eastAsia="zh-CN"/>
                <w14:textFill>
                  <w14:solidFill>
                    <w14:schemeClr w14:val="tx1"/>
                  </w14:solidFill>
                </w14:textFill>
              </w:rPr>
            </w:pPr>
            <w:r>
              <w:rPr>
                <w:rFonts w:hint="eastAsia" w:asciiTheme="majorEastAsia" w:hAnsiTheme="majorEastAsia" w:eastAsiaTheme="majorEastAsia" w:cstheme="majorEastAsia"/>
                <w:color w:val="000000" w:themeColor="text1"/>
                <w:sz w:val="15"/>
                <w:szCs w:val="15"/>
                <w:highlight w:val="none"/>
                <w:lang w:eastAsia="zh-CN"/>
                <w14:textFill>
                  <w14:solidFill>
                    <w14:schemeClr w14:val="tx1"/>
                  </w14:solidFill>
                </w14:textFill>
              </w:rPr>
              <w:t>《北京市城市管理委员会关于修订</w:t>
            </w:r>
            <w:r>
              <w:rPr>
                <w:rFonts w:hint="default" w:asciiTheme="majorEastAsia" w:hAnsiTheme="majorEastAsia" w:eastAsiaTheme="majorEastAsia" w:cstheme="majorEastAsia"/>
                <w:color w:val="000000" w:themeColor="text1"/>
                <w:sz w:val="15"/>
                <w:szCs w:val="15"/>
                <w:highlight w:val="none"/>
                <w:lang w:val="en-US" w:eastAsia="zh-CN"/>
                <w14:textFill>
                  <w14:solidFill>
                    <w14:schemeClr w14:val="tx1"/>
                  </w14:solidFill>
                </w14:textFill>
              </w:rPr>
              <w:t>&lt;</w:t>
            </w:r>
            <w:r>
              <w:rPr>
                <w:rFonts w:hint="eastAsia" w:asciiTheme="majorEastAsia" w:hAnsiTheme="majorEastAsia" w:eastAsiaTheme="majorEastAsia" w:cstheme="majorEastAsia"/>
                <w:color w:val="000000" w:themeColor="text1"/>
                <w:sz w:val="15"/>
                <w:szCs w:val="15"/>
                <w:highlight w:val="none"/>
                <w:lang w:eastAsia="zh-CN"/>
                <w14:textFill>
                  <w14:solidFill>
                    <w14:schemeClr w14:val="tx1"/>
                  </w14:solidFill>
                </w14:textFill>
              </w:rPr>
              <w:t>北京电网供电可靠性管制工作细则（试行）</w:t>
            </w:r>
            <w:r>
              <w:rPr>
                <w:rFonts w:hint="default" w:asciiTheme="majorEastAsia" w:hAnsiTheme="majorEastAsia" w:eastAsiaTheme="majorEastAsia" w:cstheme="majorEastAsia"/>
                <w:color w:val="000000" w:themeColor="text1"/>
                <w:sz w:val="15"/>
                <w:szCs w:val="15"/>
                <w:highlight w:val="none"/>
                <w:lang w:val="en-US" w:eastAsia="zh-CN"/>
                <w14:textFill>
                  <w14:solidFill>
                    <w14:schemeClr w14:val="tx1"/>
                  </w14:solidFill>
                </w14:textFill>
              </w:rPr>
              <w:t>&gt;</w:t>
            </w:r>
            <w:r>
              <w:rPr>
                <w:rFonts w:hint="eastAsia" w:asciiTheme="majorEastAsia" w:hAnsiTheme="majorEastAsia" w:eastAsiaTheme="majorEastAsia" w:cstheme="majorEastAsia"/>
                <w:color w:val="000000" w:themeColor="text1"/>
                <w:sz w:val="15"/>
                <w:szCs w:val="15"/>
                <w:highlight w:val="none"/>
                <w:lang w:eastAsia="zh-CN"/>
                <w14:textFill>
                  <w14:solidFill>
                    <w14:schemeClr w14:val="tx1"/>
                  </w14:solidFill>
                </w14:textFill>
              </w:rPr>
              <w:t>的通知》</w:t>
            </w:r>
            <w:r>
              <w:rPr>
                <w:rFonts w:hint="default" w:asciiTheme="majorEastAsia" w:hAnsiTheme="majorEastAsia" w:eastAsiaTheme="majorEastAsia" w:cstheme="majorEastAsia"/>
                <w:color w:val="000000" w:themeColor="text1"/>
                <w:sz w:val="15"/>
                <w:szCs w:val="15"/>
                <w:highlight w:val="none"/>
                <w:lang w:val="en-US" w:eastAsia="zh-CN"/>
                <w14:textFill>
                  <w14:solidFill>
                    <w14:schemeClr w14:val="tx1"/>
                  </w14:solidFill>
                </w14:textFill>
              </w:rPr>
              <w:t xml:space="preserve">  </w:t>
            </w:r>
            <w:r>
              <w:rPr>
                <w:rFonts w:hint="eastAsia" w:asciiTheme="majorEastAsia" w:hAnsiTheme="majorEastAsia" w:eastAsiaTheme="majorEastAsia" w:cstheme="majorEastAsia"/>
                <w:color w:val="000000" w:themeColor="text1"/>
                <w:sz w:val="15"/>
                <w:szCs w:val="15"/>
                <w:highlight w:val="none"/>
                <w14:textFill>
                  <w14:solidFill>
                    <w14:schemeClr w14:val="tx1"/>
                  </w14:solidFill>
                </w14:textFill>
              </w:rPr>
              <w:t>城市电网年供电可靠率（ASAI）</w:t>
            </w:r>
            <w:r>
              <w:rPr>
                <w:rFonts w:hint="eastAsia" w:asciiTheme="majorEastAsia" w:hAnsiTheme="majorEastAsia" w:eastAsiaTheme="majorEastAsia" w:cstheme="majorEastAsia"/>
                <w:color w:val="000000" w:themeColor="text1"/>
                <w:sz w:val="15"/>
                <w:szCs w:val="15"/>
                <w:highlight w:val="none"/>
                <w:lang w:eastAsia="zh-CN"/>
                <w14:textFill>
                  <w14:solidFill>
                    <w14:schemeClr w14:val="tx1"/>
                  </w14:solidFill>
                </w14:textFill>
              </w:rPr>
              <w:t>应</w:t>
            </w:r>
            <w:r>
              <w:rPr>
                <w:rFonts w:hint="eastAsia" w:asciiTheme="majorEastAsia" w:hAnsiTheme="majorEastAsia" w:eastAsiaTheme="majorEastAsia" w:cstheme="majorEastAsia"/>
                <w:color w:val="000000" w:themeColor="text1"/>
                <w:sz w:val="15"/>
                <w:szCs w:val="15"/>
                <w:highlight w:val="none"/>
                <w14:textFill>
                  <w14:solidFill>
                    <w14:schemeClr w14:val="tx1"/>
                  </w14:solidFill>
                </w14:textFill>
              </w:rPr>
              <w:t>高于99%（含99%），且较上年变化率在-0.002至0.002个百分点之间（含）</w:t>
            </w:r>
            <w:r>
              <w:rPr>
                <w:rFonts w:hint="eastAsia" w:asciiTheme="majorEastAsia" w:hAnsiTheme="majorEastAsia" w:eastAsiaTheme="majorEastAsia" w:cstheme="majorEastAsia"/>
                <w:color w:val="000000" w:themeColor="text1"/>
                <w:sz w:val="15"/>
                <w:szCs w:val="15"/>
                <w:highlight w:val="none"/>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color w:val="000000" w:themeColor="text1"/>
                <w:sz w:val="15"/>
                <w:szCs w:val="15"/>
                <w:highlight w:val="none"/>
                <w14:textFill>
                  <w14:solidFill>
                    <w14:schemeClr w14:val="tx1"/>
                  </w14:solidFill>
                </w14:textFill>
              </w:rPr>
            </w:pPr>
            <w:r>
              <w:rPr>
                <w:rFonts w:hint="eastAsia" w:asciiTheme="majorEastAsia" w:hAnsiTheme="majorEastAsia" w:eastAsiaTheme="majorEastAsia" w:cstheme="majorEastAsia"/>
                <w:color w:val="000000" w:themeColor="text1"/>
                <w:sz w:val="15"/>
                <w:szCs w:val="15"/>
                <w:highlight w:val="none"/>
                <w:lang w:val="en-US" w:eastAsia="zh-CN"/>
                <w14:textFill>
                  <w14:solidFill>
                    <w14:schemeClr w14:val="tx1"/>
                  </w14:solidFill>
                </w14:textFill>
              </w:rPr>
              <w:t>1.</w:t>
            </w:r>
            <w:r>
              <w:rPr>
                <w:rFonts w:hint="eastAsia" w:asciiTheme="majorEastAsia" w:hAnsiTheme="majorEastAsia" w:eastAsiaTheme="majorEastAsia" w:cstheme="majorEastAsia"/>
                <w:color w:val="000000" w:themeColor="text1"/>
                <w:sz w:val="15"/>
                <w:szCs w:val="15"/>
                <w:highlight w:val="none"/>
                <w14:textFill>
                  <w14:solidFill>
                    <w14:schemeClr w14:val="tx1"/>
                  </w14:solidFill>
                </w14:textFill>
              </w:rPr>
              <w:t>城市电网年供电可靠率（ASAI）低于上年0.002至0.004个百分点（含0.004），处罚5万元。</w:t>
            </w:r>
          </w:p>
          <w:p>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color w:val="000000" w:themeColor="text1"/>
                <w:sz w:val="15"/>
                <w:szCs w:val="15"/>
                <w:highlight w:val="none"/>
                <w14:textFill>
                  <w14:solidFill>
                    <w14:schemeClr w14:val="tx1"/>
                  </w14:solidFill>
                </w14:textFill>
              </w:rPr>
            </w:pPr>
            <w:r>
              <w:rPr>
                <w:rFonts w:hint="eastAsia" w:asciiTheme="majorEastAsia" w:hAnsiTheme="majorEastAsia" w:eastAsiaTheme="majorEastAsia" w:cstheme="majorEastAsia"/>
                <w:color w:val="000000" w:themeColor="text1"/>
                <w:sz w:val="15"/>
                <w:szCs w:val="15"/>
                <w:highlight w:val="none"/>
                <w:lang w:val="en-US" w:eastAsia="zh-CN"/>
                <w14:textFill>
                  <w14:solidFill>
                    <w14:schemeClr w14:val="tx1"/>
                  </w14:solidFill>
                </w14:textFill>
              </w:rPr>
              <w:t>2.</w:t>
            </w:r>
            <w:r>
              <w:rPr>
                <w:rFonts w:hint="eastAsia" w:asciiTheme="majorEastAsia" w:hAnsiTheme="majorEastAsia" w:eastAsiaTheme="majorEastAsia" w:cstheme="majorEastAsia"/>
                <w:color w:val="000000" w:themeColor="text1"/>
                <w:sz w:val="15"/>
                <w:szCs w:val="15"/>
                <w:highlight w:val="none"/>
                <w14:textFill>
                  <w14:solidFill>
                    <w14:schemeClr w14:val="tx1"/>
                  </w14:solidFill>
                </w14:textFill>
              </w:rPr>
              <w:t>城市电网年供电可靠率（ASAI）低于上年0.004至0.006个百分点（含0.006），处罚20万元。</w:t>
            </w:r>
          </w:p>
          <w:p>
            <w:pPr>
              <w:spacing w:line="232" w:lineRule="exact"/>
              <w:ind w:firstLine="300" w:firstLineChars="200"/>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ajorEastAsia" w:hAnsiTheme="majorEastAsia" w:eastAsiaTheme="majorEastAsia" w:cstheme="majorEastAsia"/>
                <w:color w:val="000000" w:themeColor="text1"/>
                <w:sz w:val="15"/>
                <w:szCs w:val="15"/>
                <w:highlight w:val="none"/>
                <w:lang w:val="en-US" w:eastAsia="zh-CN"/>
                <w14:textFill>
                  <w14:solidFill>
                    <w14:schemeClr w14:val="tx1"/>
                  </w14:solidFill>
                </w14:textFill>
              </w:rPr>
              <w:t>3.</w:t>
            </w:r>
            <w:r>
              <w:rPr>
                <w:rFonts w:hint="eastAsia" w:asciiTheme="majorEastAsia" w:hAnsiTheme="majorEastAsia" w:eastAsiaTheme="majorEastAsia" w:cstheme="majorEastAsia"/>
                <w:color w:val="000000" w:themeColor="text1"/>
                <w:sz w:val="15"/>
                <w:szCs w:val="15"/>
                <w:highlight w:val="none"/>
                <w14:textFill>
                  <w14:solidFill>
                    <w14:schemeClr w14:val="tx1"/>
                  </w14:solidFill>
                </w14:textFill>
              </w:rPr>
              <w:t>城市电网年供电可靠率（ASAI）低于99%，或低于上年0.006个百分点以上，处罚50万元。</w:t>
            </w:r>
          </w:p>
        </w:tc>
        <w:tc>
          <w:tcPr>
            <w:tcW w:w="2385" w:type="dxa"/>
            <w:tcBorders>
              <w:bottom w:val="single" w:color="auto" w:sz="4" w:space="0"/>
            </w:tcBorders>
            <w:shd w:val="clear" w:color="auto" w:fill="FFFFFF"/>
            <w:vAlign w:val="center"/>
          </w:tcPr>
          <w:p>
            <w:pPr>
              <w:keepNext w:val="0"/>
              <w:keepLines w:val="0"/>
              <w:pageBreakBefore w:val="0"/>
              <w:kinsoku/>
              <w:wordWrap/>
              <w:overflowPunct/>
              <w:topLinePunct w:val="0"/>
              <w:autoSpaceDE w:val="0"/>
              <w:autoSpaceDN/>
              <w:bidi w:val="0"/>
              <w:adjustRightInd/>
              <w:snapToGrid/>
              <w:spacing w:line="0" w:lineRule="atLeast"/>
              <w:textAlignment w:val="auto"/>
              <w:rPr>
                <w:rFonts w:hint="eastAsia" w:asciiTheme="minorEastAsia" w:hAnsiTheme="minorEastAsia" w:eastAsiaTheme="minorEastAsia"/>
                <w:color w:val="000000" w:themeColor="text1"/>
                <w:sz w:val="15"/>
                <w:szCs w:val="15"/>
                <w:highlight w:val="none"/>
                <w14:textFill>
                  <w14:solidFill>
                    <w14:schemeClr w14:val="tx1"/>
                  </w14:solidFill>
                </w14:textFill>
              </w:rPr>
            </w:pPr>
          </w:p>
        </w:tc>
        <w:tc>
          <w:tcPr>
            <w:tcW w:w="824" w:type="dxa"/>
            <w:tcBorders>
              <w:bottom w:val="single" w:color="auto" w:sz="4" w:space="0"/>
            </w:tcBorders>
            <w:shd w:val="clear" w:color="auto" w:fill="FFFFFF"/>
            <w:vAlign w:val="center"/>
          </w:tcPr>
          <w:p>
            <w:pPr>
              <w:autoSpaceDE w:val="0"/>
              <w:spacing w:line="232" w:lineRule="exact"/>
              <w:jc w:val="cente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pPr>
            <w:r>
              <w:rPr>
                <w:rFonts w:hint="eastAsia" w:asciiTheme="minorEastAsia" w:hAnsiTheme="minorEastAsia" w:eastAsiaTheme="minorEastAsia"/>
                <w:color w:val="000000" w:themeColor="text1"/>
                <w:sz w:val="15"/>
                <w:szCs w:val="15"/>
                <w:highlight w:val="none"/>
                <w:lang w:eastAsia="zh-CN"/>
                <w14:textFill>
                  <w14:solidFill>
                    <w14:schemeClr w14:val="tx1"/>
                  </w14:solidFill>
                </w14:textFill>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000000" w:themeColor="text1"/>
                <w:kern w:val="0"/>
                <w:sz w:val="21"/>
                <w:szCs w:val="21"/>
                <w:highlight w:val="none"/>
                <w14:textFill>
                  <w14:solidFill>
                    <w14:schemeClr w14:val="tx1"/>
                  </w14:solidFill>
                </w14:textFill>
              </w:rPr>
            </w:pPr>
            <w:r>
              <w:rPr>
                <w:rFonts w:hint="eastAsia" w:asciiTheme="minorEastAsia" w:hAnsiTheme="minorEastAsia" w:eastAsiaTheme="minorEastAsia"/>
                <w:b/>
                <w:color w:val="000000" w:themeColor="text1"/>
                <w:kern w:val="0"/>
                <w:sz w:val="21"/>
                <w:szCs w:val="21"/>
                <w:highlight w:val="none"/>
                <w14:textFill>
                  <w14:solidFill>
                    <w14:schemeClr w14:val="tx1"/>
                  </w14:solidFill>
                </w14:textFill>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5229" w:type="dxa"/>
            <w:gridSpan w:val="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000000" w:themeColor="text1"/>
                <w:sz w:val="21"/>
                <w:szCs w:val="21"/>
                <w:highlight w:val="none"/>
                <w14:textFill>
                  <w14:solidFill>
                    <w14:schemeClr w14:val="tx1"/>
                  </w14:solidFill>
                </w14:textFill>
              </w:rPr>
            </w:pPr>
            <w:bookmarkStart w:id="193" w:name="_Toc110851497"/>
            <w:bookmarkStart w:id="194" w:name="_Toc1490732698"/>
            <w:bookmarkStart w:id="195" w:name="_Toc2054618372"/>
            <w:r>
              <w:rPr>
                <w:rFonts w:hint="eastAsia" w:asciiTheme="minorEastAsia" w:hAnsiTheme="minorEastAsia" w:eastAsiaTheme="minorEastAsia"/>
                <w:color w:val="000000" w:themeColor="text1"/>
                <w:sz w:val="21"/>
                <w:szCs w:val="21"/>
                <w:highlight w:val="none"/>
                <w14:textFill>
                  <w14:solidFill>
                    <w14:schemeClr w14:val="tx1"/>
                  </w14:solidFill>
                </w14:textFill>
              </w:rPr>
              <w:t>《中华人民共和国石油天然气管道保护法》</w:t>
            </w:r>
            <w:bookmarkEnd w:id="193"/>
            <w:bookmarkEnd w:id="194"/>
            <w:bookmarkStart w:id="196" w:name="_Toc63324556"/>
            <w:bookmarkStart w:id="197" w:name="_Toc110851498"/>
            <w:r>
              <w:rPr>
                <w:rFonts w:hint="eastAsia" w:asciiTheme="minorEastAsia" w:hAnsiTheme="minorEastAsia" w:eastAsiaTheme="minorEastAsia"/>
                <w:color w:val="000000" w:themeColor="text1"/>
                <w:sz w:val="21"/>
                <w:szCs w:val="21"/>
                <w:highlight w:val="none"/>
                <w14:textFill>
                  <w14:solidFill>
                    <w14:schemeClr w14:val="tx1"/>
                  </w14:solidFill>
                </w14:textFill>
              </w:rPr>
              <w:t>案由22项</w:t>
            </w:r>
            <w:bookmarkEnd w:id="195"/>
            <w:bookmarkEnd w:id="196"/>
            <w:bookmarkEnd w:id="197"/>
          </w:p>
        </w:tc>
        <w:tc>
          <w:tcPr>
            <w:tcW w:w="8989"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1"/>
                <w:szCs w:val="21"/>
                <w:highlight w:val="none"/>
                <w14:textFill>
                  <w14:solidFill>
                    <w14:schemeClr w14:val="tx1"/>
                  </w14:solidFill>
                </w14:textFill>
              </w:rPr>
              <w:t>（注：不含东城、西城、平谷、天安门）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618"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1500" w:type="dxa"/>
            <w:shd w:val="clear" w:color="auto" w:fill="FFFFFF"/>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未依法对管道进行巡护、检测和维修</w:t>
            </w:r>
          </w:p>
        </w:tc>
        <w:tc>
          <w:tcPr>
            <w:tcW w:w="2789"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2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w:t>
            </w:r>
          </w:p>
        </w:tc>
        <w:tc>
          <w:tcPr>
            <w:tcW w:w="1500" w:type="dxa"/>
            <w:shd w:val="clear" w:color="auto" w:fill="FFFFFF"/>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不符合安全使用条件的管道未及时更新、改造或者停止使用</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1.未采取任何措施继续使用，存在较大隐患的，系数2-3；2.造成事故或者其它严重后果的，系数4。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3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3</w:t>
            </w:r>
          </w:p>
        </w:tc>
        <w:tc>
          <w:tcPr>
            <w:tcW w:w="1500" w:type="dxa"/>
            <w:shd w:val="clear" w:color="auto" w:fill="FFFFFF"/>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未按规定设置、修复或者更新管道标志</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spacing w:val="-3"/>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pacing w:val="-3"/>
                <w:kern w:val="0"/>
                <w:sz w:val="15"/>
                <w:szCs w:val="15"/>
                <w:highlight w:val="none"/>
                <w14:textFill>
                  <w14:solidFill>
                    <w14:schemeClr w14:val="tx1"/>
                  </w14:solidFill>
                </w14:textFill>
              </w:rPr>
              <w:t>1.未依法设置或者未修复更新，存在较大隐患的，系数1-3；2.造成事故或者其它严重后果的，系数4。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5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4</w:t>
            </w:r>
          </w:p>
        </w:tc>
        <w:tc>
          <w:tcPr>
            <w:tcW w:w="1500" w:type="dxa"/>
            <w:shd w:val="clear" w:color="auto" w:fill="FFFFFF"/>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未按规定将管道竣工测量图报送备案</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1.未报送备案，逾期6-10日，系数1，逾期11-15日，系数2，以此类推；2.造成事故或者其它严重后果的，系数4。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4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w:t>
            </w:r>
          </w:p>
        </w:tc>
        <w:tc>
          <w:tcPr>
            <w:tcW w:w="1500" w:type="dxa"/>
            <w:shd w:val="clear" w:color="auto" w:fill="FFFFFF"/>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未制定管道事故应急预案或者未将应急预案报送备案</w:t>
            </w:r>
          </w:p>
        </w:tc>
        <w:tc>
          <w:tcPr>
            <w:tcW w:w="2789" w:type="dxa"/>
            <w:shd w:val="clear" w:color="auto" w:fill="auto"/>
            <w:vAlign w:val="center"/>
          </w:tcPr>
          <w:p>
            <w:pPr>
              <w:spacing w:line="240" w:lineRule="exact"/>
              <w:rPr>
                <w:rFonts w:cs="宋体" w:asciiTheme="minorEastAsia" w:hAnsiTheme="minorEastAsia" w:eastAsiaTheme="minorEastAsia"/>
                <w:color w:val="000000" w:themeColor="text1"/>
                <w:spacing w:val="-4"/>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spacing w:val="-4"/>
                <w:kern w:val="0"/>
                <w:sz w:val="15"/>
                <w:szCs w:val="15"/>
                <w:highlight w:val="none"/>
                <w14:textFill>
                  <w14:solidFill>
                    <w14:schemeClr w14:val="tx1"/>
                  </w14:solidFill>
                </w14:textFill>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1.未制定预案的，系数2；2.造成事故或者其它严重后果的，系数4。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24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4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5"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6</w:t>
            </w:r>
          </w:p>
        </w:tc>
        <w:tc>
          <w:tcPr>
            <w:tcW w:w="1500" w:type="dxa"/>
            <w:shd w:val="clear" w:color="auto" w:fill="FFFFFF"/>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未采取有效措施消除或者减轻管道事故危害</w:t>
            </w:r>
          </w:p>
        </w:tc>
        <w:tc>
          <w:tcPr>
            <w:tcW w:w="2789"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1.启动应急预案迟缓的，系数2；2.措施明显失当的，系数2；3.造成事故危害扩大的，系数4。</w:t>
            </w:r>
          </w:p>
        </w:tc>
        <w:tc>
          <w:tcPr>
            <w:tcW w:w="17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9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7</w:t>
            </w:r>
          </w:p>
        </w:tc>
        <w:tc>
          <w:tcPr>
            <w:tcW w:w="1500" w:type="dxa"/>
            <w:shd w:val="clear" w:color="auto" w:fill="FFFFFF"/>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未对停止运行、封存、报废的管道采取必要的安全防护措施</w:t>
            </w:r>
          </w:p>
        </w:tc>
        <w:tc>
          <w:tcPr>
            <w:tcW w:w="2789"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1.未采取任何安全防护措施的，系数2；2.致使事故或者其它严重后果的，系数4。</w:t>
            </w:r>
          </w:p>
        </w:tc>
        <w:tc>
          <w:tcPr>
            <w:tcW w:w="17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8</w:t>
            </w:r>
          </w:p>
        </w:tc>
        <w:tc>
          <w:tcPr>
            <w:tcW w:w="1500" w:type="dxa"/>
            <w:vMerge w:val="restart"/>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造成事故或者其它严重后果的，系数1。</w:t>
            </w:r>
          </w:p>
        </w:tc>
        <w:tc>
          <w:tcPr>
            <w:tcW w:w="1785" w:type="dxa"/>
            <w:shd w:val="clear" w:color="auto" w:fill="auto"/>
            <w:vAlign w:val="center"/>
          </w:tcPr>
          <w:p>
            <w:pPr>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拒不停止或不改正的，视为“情节较重”。</w:t>
            </w:r>
          </w:p>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对单位需要作出其它额度处罚的，报案审会讨论决定；</w:t>
            </w:r>
          </w:p>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pStyle w:val="22"/>
              <w:widowControl w:val="0"/>
              <w:shd w:val="clear" w:color="auto" w:fill="FFFFFF"/>
              <w:spacing w:before="0" w:beforeAutospacing="0" w:after="0" w:afterAutospacing="0"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在管道线路中心线两侧各五米地域范围内种植可能损坏管道防腐层的深根植物</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拒不停止或不改正的，视为“情节较重”。</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对单位需要作出其它额度处罚的，报案审会讨论决定；</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在管道线路中心线两侧各五米地域范围内取土、采石、用火、堆放重物、排放腐蚀性物质、使用机械工具进行挖掘施工</w:t>
            </w:r>
          </w:p>
        </w:tc>
        <w:tc>
          <w:tcPr>
            <w:tcW w:w="2789"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拒不停止或不改正的，视为“情节较重”。</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对单位需要作出其它额度处罚的，报案审会讨论决定；</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2789"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p>
            <w:pPr>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11</w:t>
            </w:r>
          </w:p>
        </w:tc>
        <w:tc>
          <w:tcPr>
            <w:tcW w:w="1500" w:type="dxa"/>
            <w:vMerge w:val="restart"/>
            <w:shd w:val="clear" w:color="auto" w:fill="auto"/>
            <w:vAlign w:val="center"/>
          </w:tcPr>
          <w:p>
            <w:pPr>
              <w:spacing w:line="232" w:lineRule="exact"/>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拒不停止或不改正的，视为“情节较重”。</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对单位需要作出其它额度处罚的，报案审会讨论决定；</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12</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在穿越河流的管道线路中心线两侧各五百米地域范围内抛锚、拖锚、挖砂、挖泥、采石、水下爆破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拒不停止或不改正的，视为“情节较重”。</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对单位需要作出其它额度处罚的，报案审会讨论决定；</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000000" w:themeColor="text1"/>
                <w:sz w:val="15"/>
                <w:szCs w:val="15"/>
                <w:highlight w:val="none"/>
                <w14:textFill>
                  <w14:solidFill>
                    <w14:schemeClr w14:val="tx1"/>
                  </w14:solidFill>
                </w14:textFill>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13</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在管道专用隧道中心线两侧各一千米地域范围内采石、采矿、爆破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50000</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罚款数额＝50000×（1＋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拒不停止或不改正的，视为“情节较重”。</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对单位需要作出其它额度处罚的，报案审会讨论决定；</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vMerge w:val="continue"/>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16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14</w:t>
            </w:r>
          </w:p>
        </w:tc>
        <w:tc>
          <w:tcPr>
            <w:tcW w:w="1500"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拒不停止或不改正的，视为“情节较重”。</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需要作出其它额度处罚的，报案审会讨论决定。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15</w:t>
            </w:r>
          </w:p>
        </w:tc>
        <w:tc>
          <w:tcPr>
            <w:tcW w:w="1500"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或</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改正的，视为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情节</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重</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它额度</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处罚的，报</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案审</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会</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讨论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16</w:t>
            </w:r>
          </w:p>
        </w:tc>
        <w:tc>
          <w:tcPr>
            <w:tcW w:w="1500"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未经批准进行穿跨越管道的施工作业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或</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改正的，视为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情节</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重</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它额度</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处罚的，报</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案审</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会</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讨论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882"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17</w:t>
            </w:r>
          </w:p>
        </w:tc>
        <w:tc>
          <w:tcPr>
            <w:tcW w:w="1500"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罚款数额＝10000×（1＋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或</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改正的，视为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情节</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较</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重</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需要作出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其</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它额度</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处罚的，报</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案审</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会</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讨论</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3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18</w:t>
            </w:r>
          </w:p>
        </w:tc>
        <w:tc>
          <w:tcPr>
            <w:tcW w:w="1500"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擅自开启、关闭管道阀门</w:t>
            </w:r>
          </w:p>
        </w:tc>
        <w:tc>
          <w:tcPr>
            <w:tcW w:w="2789"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或</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改正的，视为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情节</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严</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重</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需要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作出其它额度处罚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由</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执法人员</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情况</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并</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66"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19</w:t>
            </w:r>
          </w:p>
        </w:tc>
        <w:tc>
          <w:tcPr>
            <w:tcW w:w="1500" w:type="dxa"/>
            <w:shd w:val="clear" w:color="auto" w:fill="FFFFFF"/>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移动、毁损、涂改管道标志</w:t>
            </w:r>
          </w:p>
        </w:tc>
        <w:tc>
          <w:tcPr>
            <w:tcW w:w="2789"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拒不停止</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或</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不</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改正的，视为</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情节</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严</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重</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w:t>
            </w:r>
          </w:p>
          <w:p>
            <w:pPr>
              <w:autoSpaceDE w:val="0"/>
              <w:spacing w:line="232"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cs="宋体" w:asciiTheme="minorEastAsia" w:hAnsiTheme="minorEastAsia" w:eastAsiaTheme="minorEastAsia"/>
                <w:color w:val="000000" w:themeColor="text1"/>
                <w:kern w:val="0"/>
                <w:sz w:val="15"/>
                <w:szCs w:val="15"/>
                <w:highlight w:val="none"/>
                <w14:textFill>
                  <w14:solidFill>
                    <w14:schemeClr w14:val="tx1"/>
                  </w14:solidFill>
                </w14:textFill>
              </w:rPr>
              <w:t>需要</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作出其它额度处罚</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的，</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由</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执法人员</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说明</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情况</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并</w:t>
            </w:r>
            <w:r>
              <w:rPr>
                <w:rFonts w:cs="宋体" w:asciiTheme="minorEastAsia" w:hAnsiTheme="minorEastAsia" w:eastAsiaTheme="minorEastAsia"/>
                <w:color w:val="000000" w:themeColor="text1"/>
                <w:kern w:val="0"/>
                <w:sz w:val="15"/>
                <w:szCs w:val="15"/>
                <w:highlight w:val="none"/>
                <w14:textFill>
                  <w14:solidFill>
                    <w14:schemeClr w14:val="tx1"/>
                  </w14:solidFill>
                </w14:textFill>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w:t>
            </w:r>
          </w:p>
        </w:tc>
        <w:tc>
          <w:tcPr>
            <w:tcW w:w="1500" w:type="dxa"/>
            <w:shd w:val="clear" w:color="auto" w:fill="FFFFFF"/>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在埋地管道上方巡查便道上行驶重型车辆</w:t>
            </w:r>
          </w:p>
        </w:tc>
        <w:tc>
          <w:tcPr>
            <w:tcW w:w="2789"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21</w:t>
            </w:r>
          </w:p>
        </w:tc>
        <w:tc>
          <w:tcPr>
            <w:tcW w:w="1500" w:type="dxa"/>
            <w:shd w:val="clear" w:color="auto" w:fill="FFFFFF"/>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在地面管道线路、架空管道线路和管桥上行走或者放置重物</w:t>
            </w:r>
          </w:p>
        </w:tc>
        <w:tc>
          <w:tcPr>
            <w:tcW w:w="2789"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22</w:t>
            </w:r>
          </w:p>
        </w:tc>
        <w:tc>
          <w:tcPr>
            <w:tcW w:w="1500" w:type="dxa"/>
            <w:shd w:val="clear" w:color="auto" w:fill="FFFFFF"/>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阻碍依法进行的管道建设</w:t>
            </w:r>
          </w:p>
        </w:tc>
        <w:tc>
          <w:tcPr>
            <w:tcW w:w="2789"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罚款数额＝200×（1＋</w:t>
            </w:r>
            <w:r>
              <w:rPr>
                <w:rFonts w:hint="eastAsia" w:cs="宋体" w:asciiTheme="minorEastAsia" w:hAnsiTheme="minorEastAsia" w:eastAsiaTheme="minorEastAsia"/>
                <w:color w:val="000000" w:themeColor="text1"/>
                <w:kern w:val="0"/>
                <w:sz w:val="15"/>
                <w:szCs w:val="15"/>
                <w:highlight w:val="none"/>
                <w:lang w:eastAsia="zh-CN"/>
                <w14:textFill>
                  <w14:solidFill>
                    <w14:schemeClr w14:val="tx1"/>
                  </w14:solidFill>
                </w14:textFill>
              </w:rPr>
              <w:t>常量系数</w:t>
            </w:r>
            <w: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市级</w:t>
            </w:r>
          </w:p>
          <w:p>
            <w:pPr>
              <w:autoSpaceDE w:val="0"/>
              <w:spacing w:line="190" w:lineRule="exact"/>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highlight w:val="none"/>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780" w:hRule="atLeast"/>
          <w:jc w:val="center"/>
        </w:trPr>
        <w:tc>
          <w:tcPr>
            <w:tcW w:w="14218" w:type="dxa"/>
            <w:gridSpan w:val="9"/>
            <w:shd w:val="clear" w:color="auto" w:fill="FFFFFF"/>
            <w:vAlign w:val="center"/>
          </w:tcPr>
          <w:p>
            <w:pPr>
              <w:pStyle w:val="2"/>
              <w:bidi w:val="0"/>
              <w:rPr>
                <w:rFonts w:hint="eastAsia" w:asciiTheme="minorEastAsia" w:hAnsiTheme="minorEastAsia" w:eastAsiaTheme="minorEastAsia"/>
                <w:color w:val="000000" w:themeColor="text1"/>
                <w:szCs w:val="15"/>
                <w:highlight w:val="none"/>
                <w14:textFill>
                  <w14:solidFill>
                    <w14:schemeClr w14:val="tx1"/>
                  </w14:solidFill>
                </w14:textFill>
              </w:rPr>
            </w:pPr>
            <w:bookmarkStart w:id="198" w:name="_Toc771447482"/>
            <w:r>
              <w:rPr>
                <w:rFonts w:hint="eastAsia"/>
                <w:color w:val="000000" w:themeColor="text1"/>
                <w:highlight w:val="none"/>
                <w14:textFill>
                  <w14:solidFill>
                    <w14:schemeClr w14:val="tx1"/>
                  </w14:solidFill>
                </w14:textFill>
              </w:rPr>
              <w:t>国际交往语言环境建设方面</w:t>
            </w:r>
            <w:bookmarkEnd w:id="1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3"/>
              <w:bidi w:val="0"/>
              <w:jc w:val="center"/>
              <w:rPr>
                <w:rFonts w:hint="eastAsia" w:asciiTheme="minorEastAsia" w:hAnsiTheme="minorEastAsia" w:eastAsiaTheme="minorEastAsia"/>
                <w:color w:val="000000" w:themeColor="text1"/>
                <w:szCs w:val="15"/>
                <w:highlight w:val="none"/>
                <w14:textFill>
                  <w14:solidFill>
                    <w14:schemeClr w14:val="tx1"/>
                  </w14:solidFill>
                </w14:textFill>
              </w:rPr>
            </w:pPr>
            <w:bookmarkStart w:id="199" w:name="_Toc1543116115"/>
            <w:r>
              <w:rPr>
                <w:rFonts w:hint="eastAsia"/>
                <w:color w:val="000000" w:themeColor="text1"/>
                <w:highlight w:val="none"/>
                <w14:textFill>
                  <w14:solidFill>
                    <w14:schemeClr w14:val="tx1"/>
                  </w14:solidFill>
                </w14:textFill>
              </w:rPr>
              <w:t>《</w:t>
            </w:r>
            <w:r>
              <w:rPr>
                <w:rFonts w:hint="eastAsia"/>
                <w:color w:val="000000" w:themeColor="text1"/>
                <w:highlight w:val="none"/>
                <w:lang w:val="zh-CN"/>
                <w14:textFill>
                  <w14:solidFill>
                    <w14:schemeClr w14:val="tx1"/>
                  </w14:solidFill>
                </w14:textFill>
              </w:rPr>
              <w:t>北京市国际交往语言环境建设条例</w:t>
            </w:r>
            <w:r>
              <w:rPr>
                <w:rFonts w:hint="eastAsia"/>
                <w:color w:val="000000" w:themeColor="text1"/>
                <w:highlight w:val="none"/>
                <w14:textFill>
                  <w14:solidFill>
                    <w14:schemeClr w14:val="tx1"/>
                  </w14:solidFill>
                </w14:textFill>
              </w:rPr>
              <w:t>》案由4项</w:t>
            </w:r>
            <w:bookmarkEnd w:id="1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公共场所标识单独使用外语拒不改正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违反条款：第十六条第一款；处罚条款：第三十条  由城市管理综合执法机构责令改正；拒不改正的，给予警告，并可处五千元以上一万元以下罚款。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属于</w:t>
            </w: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第十七条第一款应当设置、使用外语标识的公共场所的，系数为1。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5</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strike/>
                <w:dstrike w:val="0"/>
                <w:color w:val="000000" w:themeColor="text1"/>
                <w:kern w:val="2"/>
                <w:sz w:val="15"/>
                <w:szCs w:val="15"/>
                <w:highlight w:val="none"/>
                <w:lang w:val="en-US" w:eastAsia="zh-CN" w:bidi="ar-SA"/>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市级</w:t>
            </w:r>
          </w:p>
          <w:p>
            <w:pPr>
              <w:spacing w:line="232" w:lineRule="exact"/>
              <w:jc w:val="center"/>
              <w:rPr>
                <w:rFonts w:hint="eastAsia" w:cs="仿宋_GB2312" w:asciiTheme="minorEastAsia" w:hAnsiTheme="minorEastAsia" w:eastAsiaTheme="minorEastAsia"/>
                <w:color w:val="000000" w:themeColor="text1"/>
                <w:kern w:val="2"/>
                <w:sz w:val="15"/>
                <w:szCs w:val="15"/>
                <w:highlight w:val="none"/>
                <w:lang w:val="en"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应当设置、使用公共场所外语标识而未设置、使用拒不改正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违反条款：第十七条第一款；处罚条款：第三十一条　由城市管理综合执法机构责令改正；拒不改正的，给予警告，并可处二千元以上五千元以下罚款。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罚款数额＝2000×（1＋区域系数+</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strike/>
                <w:dstrike w:val="0"/>
                <w:color w:val="000000" w:themeColor="text1"/>
                <w:kern w:val="2"/>
                <w:sz w:val="15"/>
                <w:szCs w:val="15"/>
                <w:highlight w:val="none"/>
                <w:lang w:val="en-US" w:eastAsia="zh-CN" w:bidi="ar-SA"/>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市级</w:t>
            </w:r>
          </w:p>
          <w:p>
            <w:pPr>
              <w:spacing w:line="232" w:lineRule="exact"/>
              <w:jc w:val="center"/>
              <w:rPr>
                <w:rFonts w:asciiTheme="minorEastAsia" w:hAnsiTheme="minorEastAsia" w:eastAsiaTheme="minorEastAsia"/>
                <w:color w:val="000000" w:themeColor="text1"/>
                <w:sz w:val="15"/>
                <w:szCs w:val="15"/>
                <w:highlight w:val="none"/>
                <w:lang w:val="en"/>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区级</w:t>
            </w:r>
          </w:p>
          <w:p>
            <w:pPr>
              <w:spacing w:line="232" w:lineRule="exact"/>
              <w:ind w:firstLine="333" w:firstLineChars="0"/>
              <w:jc w:val="center"/>
              <w:rPr>
                <w:rFonts w:hint="eastAsia" w:cs="Times New Roman" w:asciiTheme="minorEastAsia" w:hAnsiTheme="minorEastAsia" w:eastAsiaTheme="minorEastAsia"/>
                <w:color w:val="000000" w:themeColor="text1"/>
                <w:kern w:val="2"/>
                <w:sz w:val="15"/>
                <w:szCs w:val="15"/>
                <w:highlight w:val="none"/>
                <w:lang w:val="en"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公共场所外语标识含有禁止性内容</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spacing w:val="-4"/>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pacing w:val="-4"/>
                <w:kern w:val="0"/>
                <w:sz w:val="15"/>
                <w:szCs w:val="15"/>
                <w:highlight w:val="none"/>
                <w:lang w:bidi="ar"/>
                <w14:textFill>
                  <w14:solidFill>
                    <w14:schemeClr w14:val="tx1"/>
                  </w14:solidFill>
                </w14:textFill>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同时存在两项及以上禁止性内容的，系数为1。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罚款数额＝5000×（1＋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市级</w:t>
            </w:r>
          </w:p>
          <w:p>
            <w:pPr>
              <w:spacing w:line="232" w:lineRule="exact"/>
              <w:jc w:val="center"/>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vMerge w:val="continue"/>
            <w:shd w:val="clear" w:color="auto" w:fill="FFFFFF"/>
            <w:vAlign w:val="center"/>
          </w:tcPr>
          <w:p>
            <w:pPr>
              <w:autoSpaceDE w:val="0"/>
              <w:spacing w:line="232" w:lineRule="exact"/>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500" w:type="dxa"/>
            <w:vMerge w:val="continue"/>
            <w:shd w:val="clear" w:color="auto" w:fill="FFFFFF"/>
            <w:vAlign w:val="center"/>
          </w:tcPr>
          <w:p>
            <w:pPr>
              <w:autoSpaceDE w:val="0"/>
              <w:spacing w:line="190"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89" w:type="dxa"/>
            <w:vMerge w:val="continue"/>
            <w:shd w:val="clear" w:color="auto" w:fill="auto"/>
            <w:vAlign w:val="center"/>
          </w:tcPr>
          <w:p>
            <w:pPr>
              <w:autoSpaceDE w:val="0"/>
              <w:spacing w:line="190" w:lineRule="exact"/>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同时存在两项禁止性内容的，系数为1；同时存在三项以上禁止性内容的，系数为2。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罚款数额＝10000×（1＋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拒不改正或两次及以上违法的，或者被市级以上媒体曝光，或者造成其它恶劣影响的，视为“情节严重、造成恶劣影响”。</w:t>
            </w:r>
          </w:p>
        </w:tc>
        <w:tc>
          <w:tcPr>
            <w:tcW w:w="824" w:type="dxa"/>
            <w:vMerge w:val="continue"/>
            <w:shd w:val="clear" w:color="auto" w:fill="auto"/>
            <w:vAlign w:val="center"/>
          </w:tcPr>
          <w:p>
            <w:pPr>
              <w:autoSpaceDE w:val="0"/>
              <w:spacing w:line="190" w:lineRule="exact"/>
              <w:jc w:val="center"/>
              <w:rPr>
                <w:rFonts w:hint="eastAsia" w:asciiTheme="minorEastAsia" w:hAnsiTheme="minorEastAsia" w:eastAsiaTheme="minorEastAsia"/>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公共场所外语标识译写错误或者明显不当拒不改正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违反条款：第十九条第一款；处罚条款：第三十三条　由城市管理综合执法机构责令改正；拒不改正的，给予警告，并可处二千元以上五千元以下罚款。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US" w:eastAsia="zh-CN"/>
                <w14:textFill>
                  <w14:solidFill>
                    <w14:schemeClr w14:val="tx1"/>
                  </w14:solidFill>
                </w14:textFill>
              </w:rPr>
              <w:t>1.</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属于第十七条第一款应当设置、使用外语标识的公共场所的，系数为1；</w:t>
            </w:r>
            <w:r>
              <w:rPr>
                <w:rFonts w:hint="eastAsia" w:cs="仿宋_GB2312" w:asciiTheme="minorEastAsia" w:hAnsiTheme="minorEastAsia" w:eastAsiaTheme="minorEastAsia"/>
                <w:color w:val="000000" w:themeColor="text1"/>
                <w:kern w:val="0"/>
                <w:sz w:val="15"/>
                <w:szCs w:val="15"/>
                <w:highlight w:val="none"/>
                <w:lang w:val="en-US" w:eastAsia="zh-CN" w:bidi="ar"/>
                <w14:textFill>
                  <w14:solidFill>
                    <w14:schemeClr w14:val="tx1"/>
                  </w14:solidFill>
                </w14:textFill>
              </w:rPr>
              <w:t>2.</w:t>
            </w: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被媒体曝光的，系数为1;</w:t>
            </w:r>
            <w:r>
              <w:rPr>
                <w:rFonts w:hint="eastAsia" w:cs="仿宋_GB2312" w:asciiTheme="minorEastAsia" w:hAnsiTheme="minorEastAsia" w:eastAsiaTheme="minorEastAsia"/>
                <w:color w:val="000000" w:themeColor="text1"/>
                <w:kern w:val="0"/>
                <w:sz w:val="15"/>
                <w:szCs w:val="15"/>
                <w:highlight w:val="none"/>
                <w:lang w:val="en-US" w:eastAsia="zh-CN" w:bidi="ar"/>
                <w14:textFill>
                  <w14:solidFill>
                    <w14:schemeClr w14:val="tx1"/>
                  </w14:solidFill>
                </w14:textFill>
              </w:rPr>
              <w:t>3.</w:t>
            </w:r>
            <w:r>
              <w:rPr>
                <w:rFonts w:hint="eastAsia" w:cs="仿宋_GB2312" w:asciiTheme="minorEastAsia" w:hAnsiTheme="minorEastAsia" w:eastAsiaTheme="minorEastAsia"/>
                <w:color w:val="000000" w:themeColor="text1"/>
                <w:kern w:val="0"/>
                <w:sz w:val="15"/>
                <w:szCs w:val="15"/>
                <w:highlight w:val="none"/>
                <w:lang w:bidi="ar"/>
                <w14:textFill>
                  <w14:solidFill>
                    <w14:schemeClr w14:val="tx1"/>
                  </w14:solidFill>
                </w14:textFill>
              </w:rPr>
              <w:t>造成恶劣影响的，系数为2。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000000" w:themeColor="text1"/>
                <w:kern w:val="2"/>
                <w:sz w:val="15"/>
                <w:szCs w:val="15"/>
                <w:highlight w:val="none"/>
                <w:lang w:val="en-US"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罚款数额＝</w:t>
            </w: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2</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000×（1＋</w:t>
            </w:r>
            <w:r>
              <w:rPr>
                <w:rFonts w:hint="eastAsia" w:cs="仿宋_GB2312" w:asciiTheme="minorEastAsia" w:hAnsiTheme="minorEastAsia" w:eastAsiaTheme="minorEastAsia"/>
                <w:color w:val="000000" w:themeColor="text1"/>
                <w:sz w:val="15"/>
                <w:szCs w:val="15"/>
                <w:highlight w:val="none"/>
                <w:lang w:eastAsia="zh-CN"/>
                <w14:textFill>
                  <w14:solidFill>
                    <w14:schemeClr w14:val="tx1"/>
                  </w14:solidFill>
                </w14:textFill>
              </w:rPr>
              <w:t>常量系数＋变量系数＋区域系数</w:t>
            </w:r>
            <w: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000000" w:themeColor="text1"/>
                <w:kern w:val="2"/>
                <w:sz w:val="15"/>
                <w:szCs w:val="15"/>
                <w:highlight w:val="none"/>
                <w:lang w:val="en" w:eastAsia="zh-CN" w:bidi="ar-SA"/>
                <w14:textFill>
                  <w14:solidFill>
                    <w14:schemeClr w14:val="tx1"/>
                  </w14:solidFill>
                </w14:textFill>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000000" w:themeColor="text1"/>
                <w:sz w:val="15"/>
                <w:szCs w:val="15"/>
                <w:highlight w:val="none"/>
                <w:lang w:val="en"/>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市级</w:t>
            </w:r>
          </w:p>
          <w:p>
            <w:pPr>
              <w:spacing w:line="232" w:lineRule="exact"/>
              <w:jc w:val="center"/>
              <w:rPr>
                <w:rFonts w:hint="eastAsia" w:cs="仿宋_GB2312" w:asciiTheme="minorEastAsia" w:hAnsiTheme="minorEastAsia" w:eastAsiaTheme="minorEastAsia"/>
                <w:color w:val="000000" w:themeColor="text1"/>
                <w:kern w:val="2"/>
                <w:sz w:val="15"/>
                <w:szCs w:val="15"/>
                <w:highlight w:val="none"/>
                <w:lang w:val="en" w:eastAsia="zh-CN" w:bidi="ar-SA"/>
                <w14:textFill>
                  <w14:solidFill>
                    <w14:schemeClr w14:val="tx1"/>
                  </w14:solidFill>
                </w14:textFill>
              </w:rPr>
            </w:pPr>
            <w:r>
              <w:rPr>
                <w:rFonts w:hint="eastAsia" w:cs="仿宋_GB2312" w:asciiTheme="minorEastAsia" w:hAnsiTheme="minorEastAsia" w:eastAsiaTheme="minorEastAsia"/>
                <w:color w:val="000000" w:themeColor="text1"/>
                <w:sz w:val="15"/>
                <w:szCs w:val="15"/>
                <w:highlight w:val="none"/>
                <w:lang w:val="en"/>
                <w14:textFill>
                  <w14:solidFill>
                    <w14:schemeClr w14:val="tx1"/>
                  </w14:solidFill>
                </w14:textFill>
              </w:rPr>
              <w:t>区级</w:t>
            </w:r>
          </w:p>
        </w:tc>
      </w:tr>
    </w:tbl>
    <w:p>
      <w:pPr>
        <w:rPr>
          <w:color w:val="000000" w:themeColor="text1"/>
          <w:highlight w:val="none"/>
          <w14:textFill>
            <w14:solidFill>
              <w14:schemeClr w14:val="tx1"/>
            </w14:solidFill>
          </w14:textFill>
        </w:rPr>
      </w:pPr>
    </w:p>
    <w:p>
      <w:pPr>
        <w:pStyle w:val="17"/>
        <w:rPr>
          <w:color w:val="000000" w:themeColor="text1"/>
          <w:highlight w:val="none"/>
          <w14:textFill>
            <w14:solidFill>
              <w14:schemeClr w14:val="tx1"/>
            </w14:solidFill>
          </w14:textFill>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00000000000000000"/>
    <w:charset w:val="86"/>
    <w:family w:val="script"/>
    <w:pitch w:val="default"/>
    <w:sig w:usb0="00000000" w:usb1="00000000" w:usb2="00000012" w:usb3="00000000" w:csb0="00040001"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altName w:val="GulimChe"/>
    <w:panose1 w:val="02030600000101010101"/>
    <w:charset w:val="81"/>
    <w:family w:val="roman"/>
    <w:pitch w:val="default"/>
    <w:sig w:usb0="00000000" w:usb1="00000000" w:usb2="00000030" w:usb3="00000000" w:csb0="0008009F" w:csb1="00000000"/>
  </w:font>
  <w:font w:name="Microsoft JhengHei">
    <w:panose1 w:val="020B0604030504040204"/>
    <w:charset w:val="88"/>
    <w:family w:val="swiss"/>
    <w:pitch w:val="default"/>
    <w:sig w:usb0="00000087" w:usb1="28AF4000" w:usb2="00000016" w:usb3="00000000" w:csb0="00100009"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auto"/>
    <w:pitch w:val="default"/>
    <w:sig w:usb0="8000006F" w:usb1="1200FBEF" w:usb2="0004C000" w:usb3="00000000" w:csb0="00000001" w:csb1="40000000"/>
  </w:font>
  <w:font w:name="GulimChe">
    <w:panose1 w:val="020B0609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5C22582"/>
    <w:rsid w:val="067634CC"/>
    <w:rsid w:val="06E5FA60"/>
    <w:rsid w:val="09F64F97"/>
    <w:rsid w:val="0A0D460E"/>
    <w:rsid w:val="0AEF46DA"/>
    <w:rsid w:val="0B9F92F6"/>
    <w:rsid w:val="0BF216FD"/>
    <w:rsid w:val="0BFBDC50"/>
    <w:rsid w:val="0C14055E"/>
    <w:rsid w:val="0DB203EF"/>
    <w:rsid w:val="0EA6FEA5"/>
    <w:rsid w:val="0EC7610D"/>
    <w:rsid w:val="0EEE2A65"/>
    <w:rsid w:val="0F260DF9"/>
    <w:rsid w:val="0FBFF7C9"/>
    <w:rsid w:val="0FC138D0"/>
    <w:rsid w:val="0FD550EB"/>
    <w:rsid w:val="0FEFC186"/>
    <w:rsid w:val="1126007C"/>
    <w:rsid w:val="11443462"/>
    <w:rsid w:val="11AE7893"/>
    <w:rsid w:val="11BB0CCA"/>
    <w:rsid w:val="12EF1C78"/>
    <w:rsid w:val="13391315"/>
    <w:rsid w:val="137F603C"/>
    <w:rsid w:val="139F60FB"/>
    <w:rsid w:val="13EE4AF4"/>
    <w:rsid w:val="142313E0"/>
    <w:rsid w:val="15BFBDD0"/>
    <w:rsid w:val="15D74C1C"/>
    <w:rsid w:val="15F589D8"/>
    <w:rsid w:val="15FBD6F7"/>
    <w:rsid w:val="15FEFF7A"/>
    <w:rsid w:val="15FF6BF6"/>
    <w:rsid w:val="16AFC733"/>
    <w:rsid w:val="16BC7E7D"/>
    <w:rsid w:val="17515270"/>
    <w:rsid w:val="17746151"/>
    <w:rsid w:val="17893B6A"/>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CEDBEA8"/>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CF9E2A"/>
    <w:rsid w:val="1FD9E9C8"/>
    <w:rsid w:val="1FDF0654"/>
    <w:rsid w:val="1FE716A2"/>
    <w:rsid w:val="1FEC0A29"/>
    <w:rsid w:val="1FEF8B73"/>
    <w:rsid w:val="22C62F3A"/>
    <w:rsid w:val="23415B68"/>
    <w:rsid w:val="23F10D53"/>
    <w:rsid w:val="23F6AEF3"/>
    <w:rsid w:val="23FFEB2E"/>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9BAECF"/>
    <w:rsid w:val="2AFDAF60"/>
    <w:rsid w:val="2B9EE5ED"/>
    <w:rsid w:val="2BD27518"/>
    <w:rsid w:val="2BFD14DB"/>
    <w:rsid w:val="2BFEB9B3"/>
    <w:rsid w:val="2BFFA8A5"/>
    <w:rsid w:val="2C555706"/>
    <w:rsid w:val="2D860E5E"/>
    <w:rsid w:val="2D88708D"/>
    <w:rsid w:val="2D9E7B63"/>
    <w:rsid w:val="2DA489B3"/>
    <w:rsid w:val="2DB91642"/>
    <w:rsid w:val="2DDBB70C"/>
    <w:rsid w:val="2E04154E"/>
    <w:rsid w:val="2E39630E"/>
    <w:rsid w:val="2E6DCBCF"/>
    <w:rsid w:val="2E6F47F6"/>
    <w:rsid w:val="2E9B49AF"/>
    <w:rsid w:val="2EB70BE4"/>
    <w:rsid w:val="2EEE6647"/>
    <w:rsid w:val="2F54530E"/>
    <w:rsid w:val="2F776DEB"/>
    <w:rsid w:val="2F8215FD"/>
    <w:rsid w:val="2F8D0557"/>
    <w:rsid w:val="2FB7E173"/>
    <w:rsid w:val="2FBD08A7"/>
    <w:rsid w:val="2FBD937F"/>
    <w:rsid w:val="2FBF6FB8"/>
    <w:rsid w:val="2FD88657"/>
    <w:rsid w:val="2FDF2FBB"/>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3F41D3"/>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B2E0D"/>
    <w:rsid w:val="3B7F89B9"/>
    <w:rsid w:val="3B8A0DC3"/>
    <w:rsid w:val="3BA443B8"/>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BB99B1"/>
    <w:rsid w:val="3DEFACC2"/>
    <w:rsid w:val="3DFC7DDF"/>
    <w:rsid w:val="3E1FAF72"/>
    <w:rsid w:val="3E457745"/>
    <w:rsid w:val="3E4A84CF"/>
    <w:rsid w:val="3E6C5DD9"/>
    <w:rsid w:val="3E7CD3F2"/>
    <w:rsid w:val="3E7F1755"/>
    <w:rsid w:val="3E8F2131"/>
    <w:rsid w:val="3EAE9719"/>
    <w:rsid w:val="3EAF6F38"/>
    <w:rsid w:val="3EB0A816"/>
    <w:rsid w:val="3EB542D6"/>
    <w:rsid w:val="3ED728FC"/>
    <w:rsid w:val="3ED75668"/>
    <w:rsid w:val="3EE37829"/>
    <w:rsid w:val="3EEB4BED"/>
    <w:rsid w:val="3EEC4AB3"/>
    <w:rsid w:val="3EF11695"/>
    <w:rsid w:val="3EF7BD61"/>
    <w:rsid w:val="3EF968EE"/>
    <w:rsid w:val="3EFC0F1E"/>
    <w:rsid w:val="3EFF20E1"/>
    <w:rsid w:val="3EFFD3E1"/>
    <w:rsid w:val="3F1EA5F2"/>
    <w:rsid w:val="3F36279F"/>
    <w:rsid w:val="3F4F4430"/>
    <w:rsid w:val="3F4F5A12"/>
    <w:rsid w:val="3F65688F"/>
    <w:rsid w:val="3F7492D0"/>
    <w:rsid w:val="3F7B1D7D"/>
    <w:rsid w:val="3F7F7C26"/>
    <w:rsid w:val="3F7FA6F9"/>
    <w:rsid w:val="3F7FF3A7"/>
    <w:rsid w:val="3F800E58"/>
    <w:rsid w:val="3F8CBFBD"/>
    <w:rsid w:val="3F9BE200"/>
    <w:rsid w:val="3FAD292E"/>
    <w:rsid w:val="3FBBDC6F"/>
    <w:rsid w:val="3FBF5D2C"/>
    <w:rsid w:val="3FDA01DD"/>
    <w:rsid w:val="3FDDEA02"/>
    <w:rsid w:val="3FDF16C2"/>
    <w:rsid w:val="3FDFBFB3"/>
    <w:rsid w:val="3FE64F5F"/>
    <w:rsid w:val="3FE9E51A"/>
    <w:rsid w:val="3FEA575E"/>
    <w:rsid w:val="3FEB33DD"/>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C669F"/>
    <w:rsid w:val="4B5FD1C2"/>
    <w:rsid w:val="4B7E4857"/>
    <w:rsid w:val="4C9630E6"/>
    <w:rsid w:val="4D796D4B"/>
    <w:rsid w:val="4DA78014"/>
    <w:rsid w:val="4DD29871"/>
    <w:rsid w:val="4DEF0CAE"/>
    <w:rsid w:val="4DEFFB07"/>
    <w:rsid w:val="4E7FD645"/>
    <w:rsid w:val="4E9D1594"/>
    <w:rsid w:val="4EBF4AED"/>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624E8A"/>
    <w:rsid w:val="51DF7224"/>
    <w:rsid w:val="521F3E4B"/>
    <w:rsid w:val="52EFBDB1"/>
    <w:rsid w:val="53DE26C8"/>
    <w:rsid w:val="53E7DABE"/>
    <w:rsid w:val="53EE158E"/>
    <w:rsid w:val="53FDFCAE"/>
    <w:rsid w:val="548B2661"/>
    <w:rsid w:val="54F115E0"/>
    <w:rsid w:val="55447A06"/>
    <w:rsid w:val="555BA0AF"/>
    <w:rsid w:val="557F36C1"/>
    <w:rsid w:val="55DF30E4"/>
    <w:rsid w:val="55FA15B7"/>
    <w:rsid w:val="562D8241"/>
    <w:rsid w:val="567F357A"/>
    <w:rsid w:val="567F53D9"/>
    <w:rsid w:val="56B5692E"/>
    <w:rsid w:val="56BEE398"/>
    <w:rsid w:val="57014352"/>
    <w:rsid w:val="573D63DA"/>
    <w:rsid w:val="576E940A"/>
    <w:rsid w:val="57AFC138"/>
    <w:rsid w:val="57BFE285"/>
    <w:rsid w:val="57D5B179"/>
    <w:rsid w:val="57DBE7AC"/>
    <w:rsid w:val="57DD41C0"/>
    <w:rsid w:val="57E70F57"/>
    <w:rsid w:val="57EF46D5"/>
    <w:rsid w:val="57EFA361"/>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AFF1B8"/>
    <w:rsid w:val="5BBBAF0A"/>
    <w:rsid w:val="5BD7D220"/>
    <w:rsid w:val="5BDDF1F8"/>
    <w:rsid w:val="5BF3A74E"/>
    <w:rsid w:val="5BF68CF6"/>
    <w:rsid w:val="5BF8AA04"/>
    <w:rsid w:val="5BFC5027"/>
    <w:rsid w:val="5BFD1224"/>
    <w:rsid w:val="5BFD3CB7"/>
    <w:rsid w:val="5BFDB7EC"/>
    <w:rsid w:val="5C6FBA19"/>
    <w:rsid w:val="5C7EB9DA"/>
    <w:rsid w:val="5C9B734C"/>
    <w:rsid w:val="5CD78333"/>
    <w:rsid w:val="5CEBCAD6"/>
    <w:rsid w:val="5CF3E376"/>
    <w:rsid w:val="5CFF2307"/>
    <w:rsid w:val="5D177A7A"/>
    <w:rsid w:val="5D7F530F"/>
    <w:rsid w:val="5D8CAEE6"/>
    <w:rsid w:val="5D953CD4"/>
    <w:rsid w:val="5DB3473A"/>
    <w:rsid w:val="5DBF23B5"/>
    <w:rsid w:val="5DC67B8B"/>
    <w:rsid w:val="5DC89EF4"/>
    <w:rsid w:val="5DCD2524"/>
    <w:rsid w:val="5DDB479A"/>
    <w:rsid w:val="5DED387C"/>
    <w:rsid w:val="5DF5385C"/>
    <w:rsid w:val="5DF7A785"/>
    <w:rsid w:val="5DFDEB58"/>
    <w:rsid w:val="5DFE02C1"/>
    <w:rsid w:val="5DFFFDD5"/>
    <w:rsid w:val="5E2FF403"/>
    <w:rsid w:val="5E336754"/>
    <w:rsid w:val="5E3B697E"/>
    <w:rsid w:val="5E60746C"/>
    <w:rsid w:val="5E7594B2"/>
    <w:rsid w:val="5E937489"/>
    <w:rsid w:val="5EBE7485"/>
    <w:rsid w:val="5EBFB65F"/>
    <w:rsid w:val="5ECB379A"/>
    <w:rsid w:val="5ED152C2"/>
    <w:rsid w:val="5EF7A60A"/>
    <w:rsid w:val="5EFAFDD7"/>
    <w:rsid w:val="5EFD709E"/>
    <w:rsid w:val="5EFEADE1"/>
    <w:rsid w:val="5EFF8954"/>
    <w:rsid w:val="5F1F1CEB"/>
    <w:rsid w:val="5F1F70DF"/>
    <w:rsid w:val="5F3EB388"/>
    <w:rsid w:val="5F3F32A1"/>
    <w:rsid w:val="5F3F4069"/>
    <w:rsid w:val="5F3FD55E"/>
    <w:rsid w:val="5F585F83"/>
    <w:rsid w:val="5F7D9EDD"/>
    <w:rsid w:val="5F7E2721"/>
    <w:rsid w:val="5F7E5599"/>
    <w:rsid w:val="5F9D7187"/>
    <w:rsid w:val="5FAA78F5"/>
    <w:rsid w:val="5FD9895F"/>
    <w:rsid w:val="5FDB01DB"/>
    <w:rsid w:val="5FDC4B56"/>
    <w:rsid w:val="5FE744AA"/>
    <w:rsid w:val="5FEB83AD"/>
    <w:rsid w:val="5FEEFD8E"/>
    <w:rsid w:val="5FEF519A"/>
    <w:rsid w:val="5FEF96F0"/>
    <w:rsid w:val="5FEFD330"/>
    <w:rsid w:val="5FF33712"/>
    <w:rsid w:val="5FF79CF0"/>
    <w:rsid w:val="5FF980EC"/>
    <w:rsid w:val="5FF98146"/>
    <w:rsid w:val="5FF999D4"/>
    <w:rsid w:val="5FFA2044"/>
    <w:rsid w:val="5FFA3473"/>
    <w:rsid w:val="5FFBE073"/>
    <w:rsid w:val="5FFC2FA4"/>
    <w:rsid w:val="5FFD8E6B"/>
    <w:rsid w:val="5FFDD2DA"/>
    <w:rsid w:val="5FFF5029"/>
    <w:rsid w:val="5FFFFC6E"/>
    <w:rsid w:val="617D4A6A"/>
    <w:rsid w:val="61B31169"/>
    <w:rsid w:val="61D35B82"/>
    <w:rsid w:val="62C73DF1"/>
    <w:rsid w:val="62CF0EFF"/>
    <w:rsid w:val="62FFDDCB"/>
    <w:rsid w:val="638377A8"/>
    <w:rsid w:val="63EB71E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28279"/>
    <w:rsid w:val="67DD8961"/>
    <w:rsid w:val="67DE850A"/>
    <w:rsid w:val="67EAE887"/>
    <w:rsid w:val="67FDC720"/>
    <w:rsid w:val="694D1DDC"/>
    <w:rsid w:val="69774823"/>
    <w:rsid w:val="697E3C46"/>
    <w:rsid w:val="69BC06BD"/>
    <w:rsid w:val="69FE0A5F"/>
    <w:rsid w:val="6A3D2095"/>
    <w:rsid w:val="6A4515FF"/>
    <w:rsid w:val="6A723F09"/>
    <w:rsid w:val="6A7D6FBC"/>
    <w:rsid w:val="6A860352"/>
    <w:rsid w:val="6A8B0F56"/>
    <w:rsid w:val="6ABF683F"/>
    <w:rsid w:val="6ABFCBE9"/>
    <w:rsid w:val="6AEC4A2D"/>
    <w:rsid w:val="6AF57D44"/>
    <w:rsid w:val="6B7BBC6F"/>
    <w:rsid w:val="6BBE8DC3"/>
    <w:rsid w:val="6BDB9361"/>
    <w:rsid w:val="6BDC5CA0"/>
    <w:rsid w:val="6BDCF144"/>
    <w:rsid w:val="6BDE3CD0"/>
    <w:rsid w:val="6BDFF9FD"/>
    <w:rsid w:val="6BE73003"/>
    <w:rsid w:val="6BEFAF24"/>
    <w:rsid w:val="6BEFFBC2"/>
    <w:rsid w:val="6BF3BB87"/>
    <w:rsid w:val="6BFD7552"/>
    <w:rsid w:val="6BFE00A3"/>
    <w:rsid w:val="6BFF6CCC"/>
    <w:rsid w:val="6CBB95F6"/>
    <w:rsid w:val="6CBCFB11"/>
    <w:rsid w:val="6CF6948C"/>
    <w:rsid w:val="6CF7D0E3"/>
    <w:rsid w:val="6CFEDE13"/>
    <w:rsid w:val="6CFFEDFD"/>
    <w:rsid w:val="6D57DC9A"/>
    <w:rsid w:val="6D5D17A2"/>
    <w:rsid w:val="6D6B4986"/>
    <w:rsid w:val="6D6E17C5"/>
    <w:rsid w:val="6D7F759F"/>
    <w:rsid w:val="6D7FA425"/>
    <w:rsid w:val="6DFB684D"/>
    <w:rsid w:val="6DFCE492"/>
    <w:rsid w:val="6DFD965B"/>
    <w:rsid w:val="6DFF3DA8"/>
    <w:rsid w:val="6DFF8FE4"/>
    <w:rsid w:val="6DFF93EE"/>
    <w:rsid w:val="6E182A45"/>
    <w:rsid w:val="6E4E3658"/>
    <w:rsid w:val="6E5969EA"/>
    <w:rsid w:val="6E65A335"/>
    <w:rsid w:val="6E72127E"/>
    <w:rsid w:val="6EB56785"/>
    <w:rsid w:val="6EBBEFC4"/>
    <w:rsid w:val="6EDF3A8D"/>
    <w:rsid w:val="6EEEA5EE"/>
    <w:rsid w:val="6EEF3DBB"/>
    <w:rsid w:val="6EEF5774"/>
    <w:rsid w:val="6EF1815E"/>
    <w:rsid w:val="6EF7BA2F"/>
    <w:rsid w:val="6EFEF699"/>
    <w:rsid w:val="6F2F60A1"/>
    <w:rsid w:val="6F5BAD55"/>
    <w:rsid w:val="6F5E201F"/>
    <w:rsid w:val="6F5ECC87"/>
    <w:rsid w:val="6F7723CE"/>
    <w:rsid w:val="6F7DEA2B"/>
    <w:rsid w:val="6F7E0090"/>
    <w:rsid w:val="6F7FF651"/>
    <w:rsid w:val="6F9A6F50"/>
    <w:rsid w:val="6F9B5ADC"/>
    <w:rsid w:val="6F9BDB6C"/>
    <w:rsid w:val="6F9D25AC"/>
    <w:rsid w:val="6F9FCFB9"/>
    <w:rsid w:val="6FA58BCC"/>
    <w:rsid w:val="6FAF19E1"/>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7E6E5"/>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369"/>
    <w:rsid w:val="72FFCF7B"/>
    <w:rsid w:val="73774FB1"/>
    <w:rsid w:val="737B0ED8"/>
    <w:rsid w:val="737EE920"/>
    <w:rsid w:val="73A7572A"/>
    <w:rsid w:val="73AB40F7"/>
    <w:rsid w:val="73B51EF9"/>
    <w:rsid w:val="73BB12E0"/>
    <w:rsid w:val="73D68846"/>
    <w:rsid w:val="73ED6581"/>
    <w:rsid w:val="73EFF68F"/>
    <w:rsid w:val="73F31CE6"/>
    <w:rsid w:val="73F67713"/>
    <w:rsid w:val="73FEF627"/>
    <w:rsid w:val="7474F750"/>
    <w:rsid w:val="7495FE01"/>
    <w:rsid w:val="74D487E0"/>
    <w:rsid w:val="75150BCE"/>
    <w:rsid w:val="754D1B9A"/>
    <w:rsid w:val="757D7A13"/>
    <w:rsid w:val="757DC1AF"/>
    <w:rsid w:val="758BCED1"/>
    <w:rsid w:val="75AC1E99"/>
    <w:rsid w:val="75B784BA"/>
    <w:rsid w:val="75BBBC97"/>
    <w:rsid w:val="75BFA760"/>
    <w:rsid w:val="75C441C0"/>
    <w:rsid w:val="75F16A70"/>
    <w:rsid w:val="75F6C1F4"/>
    <w:rsid w:val="75FAB8AE"/>
    <w:rsid w:val="75FE53C8"/>
    <w:rsid w:val="75FF384B"/>
    <w:rsid w:val="76206228"/>
    <w:rsid w:val="7639CDBB"/>
    <w:rsid w:val="763C6BA9"/>
    <w:rsid w:val="767D9B7C"/>
    <w:rsid w:val="767FD516"/>
    <w:rsid w:val="76BB9CA5"/>
    <w:rsid w:val="76CB8259"/>
    <w:rsid w:val="76EFB9C9"/>
    <w:rsid w:val="76FBD766"/>
    <w:rsid w:val="76FEFD5E"/>
    <w:rsid w:val="76FF95AE"/>
    <w:rsid w:val="7729B9CA"/>
    <w:rsid w:val="775F8ADC"/>
    <w:rsid w:val="776B273C"/>
    <w:rsid w:val="776EFD4D"/>
    <w:rsid w:val="777ED7C6"/>
    <w:rsid w:val="777F8A55"/>
    <w:rsid w:val="7789629F"/>
    <w:rsid w:val="7797CA11"/>
    <w:rsid w:val="779C1564"/>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DBB8B"/>
    <w:rsid w:val="77FE7B4F"/>
    <w:rsid w:val="77FF0D06"/>
    <w:rsid w:val="77FF5B7A"/>
    <w:rsid w:val="786C74ED"/>
    <w:rsid w:val="78AA05C8"/>
    <w:rsid w:val="78BFC3B0"/>
    <w:rsid w:val="78DF136F"/>
    <w:rsid w:val="78F74BF5"/>
    <w:rsid w:val="78FB78D2"/>
    <w:rsid w:val="78FBA2ED"/>
    <w:rsid w:val="78FD27C7"/>
    <w:rsid w:val="78FE5A63"/>
    <w:rsid w:val="791668EE"/>
    <w:rsid w:val="79516EBF"/>
    <w:rsid w:val="795E8D68"/>
    <w:rsid w:val="795F75BD"/>
    <w:rsid w:val="798FDD30"/>
    <w:rsid w:val="79AD4284"/>
    <w:rsid w:val="79BB5570"/>
    <w:rsid w:val="79BB5D66"/>
    <w:rsid w:val="79BE15F1"/>
    <w:rsid w:val="79D945A5"/>
    <w:rsid w:val="79DD9490"/>
    <w:rsid w:val="79DF37F9"/>
    <w:rsid w:val="79E99839"/>
    <w:rsid w:val="79F11DD0"/>
    <w:rsid w:val="79F346E7"/>
    <w:rsid w:val="79FBE1F7"/>
    <w:rsid w:val="79FF3494"/>
    <w:rsid w:val="7A9F2409"/>
    <w:rsid w:val="7AB7FBA4"/>
    <w:rsid w:val="7ABD431C"/>
    <w:rsid w:val="7AC92DCB"/>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777E4"/>
    <w:rsid w:val="7BB793CE"/>
    <w:rsid w:val="7BBA1DF7"/>
    <w:rsid w:val="7BBB13C9"/>
    <w:rsid w:val="7BBB924A"/>
    <w:rsid w:val="7BBF08EE"/>
    <w:rsid w:val="7BBF1625"/>
    <w:rsid w:val="7BBFFAA8"/>
    <w:rsid w:val="7BC3E1CB"/>
    <w:rsid w:val="7BD734A3"/>
    <w:rsid w:val="7BDD7B37"/>
    <w:rsid w:val="7BDDA73C"/>
    <w:rsid w:val="7BE44CF8"/>
    <w:rsid w:val="7BEA6A05"/>
    <w:rsid w:val="7BEB247B"/>
    <w:rsid w:val="7BEFE6DA"/>
    <w:rsid w:val="7BF3BF39"/>
    <w:rsid w:val="7BF5B9F7"/>
    <w:rsid w:val="7BF70AB0"/>
    <w:rsid w:val="7BF767AD"/>
    <w:rsid w:val="7BFA25E7"/>
    <w:rsid w:val="7BFC3C65"/>
    <w:rsid w:val="7BFE72B7"/>
    <w:rsid w:val="7BFEEFEC"/>
    <w:rsid w:val="7BFF41CF"/>
    <w:rsid w:val="7C1FED41"/>
    <w:rsid w:val="7C67BD8A"/>
    <w:rsid w:val="7C9E0C08"/>
    <w:rsid w:val="7CD098CE"/>
    <w:rsid w:val="7CDFF093"/>
    <w:rsid w:val="7CE42760"/>
    <w:rsid w:val="7CF5A78E"/>
    <w:rsid w:val="7CFEE297"/>
    <w:rsid w:val="7CFF5F62"/>
    <w:rsid w:val="7D1F3A6B"/>
    <w:rsid w:val="7D3B2FB6"/>
    <w:rsid w:val="7D57E2C2"/>
    <w:rsid w:val="7D75143C"/>
    <w:rsid w:val="7D7C255C"/>
    <w:rsid w:val="7D7F7CFD"/>
    <w:rsid w:val="7D7F7F4D"/>
    <w:rsid w:val="7DA39A1C"/>
    <w:rsid w:val="7DAF3E8B"/>
    <w:rsid w:val="7DBBB1D2"/>
    <w:rsid w:val="7DBDC376"/>
    <w:rsid w:val="7DBFBEF4"/>
    <w:rsid w:val="7DCCA112"/>
    <w:rsid w:val="7DDF7960"/>
    <w:rsid w:val="7DDF9BC5"/>
    <w:rsid w:val="7DDFF113"/>
    <w:rsid w:val="7DE5B451"/>
    <w:rsid w:val="7DEB9A91"/>
    <w:rsid w:val="7DEF78AE"/>
    <w:rsid w:val="7DF4A9F5"/>
    <w:rsid w:val="7DF5F05D"/>
    <w:rsid w:val="7DF74725"/>
    <w:rsid w:val="7DF790F9"/>
    <w:rsid w:val="7DF84455"/>
    <w:rsid w:val="7DF9B896"/>
    <w:rsid w:val="7DFA3791"/>
    <w:rsid w:val="7DFA7BD2"/>
    <w:rsid w:val="7DFB0C88"/>
    <w:rsid w:val="7DFB7837"/>
    <w:rsid w:val="7DFE5EBD"/>
    <w:rsid w:val="7DFEA849"/>
    <w:rsid w:val="7DFF289B"/>
    <w:rsid w:val="7DFF3F9C"/>
    <w:rsid w:val="7DFF8CEA"/>
    <w:rsid w:val="7DFFB292"/>
    <w:rsid w:val="7DFFB7A9"/>
    <w:rsid w:val="7DFFE009"/>
    <w:rsid w:val="7DFFE626"/>
    <w:rsid w:val="7DFFEF6C"/>
    <w:rsid w:val="7E07355D"/>
    <w:rsid w:val="7E131720"/>
    <w:rsid w:val="7E225D9D"/>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D0332"/>
    <w:rsid w:val="7EDF0B49"/>
    <w:rsid w:val="7EEA44C7"/>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532DA4"/>
    <w:rsid w:val="7F59FBAD"/>
    <w:rsid w:val="7F5A1869"/>
    <w:rsid w:val="7F5D4CA1"/>
    <w:rsid w:val="7F66564B"/>
    <w:rsid w:val="7F736BB3"/>
    <w:rsid w:val="7F759B80"/>
    <w:rsid w:val="7F7A0D5A"/>
    <w:rsid w:val="7F7D6F11"/>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262F"/>
    <w:rsid w:val="7FADB99B"/>
    <w:rsid w:val="7FAF0973"/>
    <w:rsid w:val="7FB7DD35"/>
    <w:rsid w:val="7FBC285B"/>
    <w:rsid w:val="7FBE3F1A"/>
    <w:rsid w:val="7FBF0F57"/>
    <w:rsid w:val="7FBF1CE7"/>
    <w:rsid w:val="7FBFE2FD"/>
    <w:rsid w:val="7FD232CF"/>
    <w:rsid w:val="7FD39406"/>
    <w:rsid w:val="7FD500EF"/>
    <w:rsid w:val="7FD5DB77"/>
    <w:rsid w:val="7FD71EF4"/>
    <w:rsid w:val="7FD7DCD4"/>
    <w:rsid w:val="7FDD30B5"/>
    <w:rsid w:val="7FDDDA05"/>
    <w:rsid w:val="7FDE0154"/>
    <w:rsid w:val="7FDF0374"/>
    <w:rsid w:val="7FDF62F6"/>
    <w:rsid w:val="7FDF6EEC"/>
    <w:rsid w:val="7FDFF71C"/>
    <w:rsid w:val="7FE1423F"/>
    <w:rsid w:val="7FE7D156"/>
    <w:rsid w:val="7FE81F85"/>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0A8D"/>
    <w:rsid w:val="7FF7841C"/>
    <w:rsid w:val="7FF79A2F"/>
    <w:rsid w:val="7FF7AD73"/>
    <w:rsid w:val="7FF7AE27"/>
    <w:rsid w:val="7FF95C95"/>
    <w:rsid w:val="7FFB0B36"/>
    <w:rsid w:val="7FFBB955"/>
    <w:rsid w:val="7FFBC8F2"/>
    <w:rsid w:val="7FFBE6EF"/>
    <w:rsid w:val="7FFD647B"/>
    <w:rsid w:val="7FFE2D43"/>
    <w:rsid w:val="7FFE6059"/>
    <w:rsid w:val="7FFE6B32"/>
    <w:rsid w:val="7FFEABF9"/>
    <w:rsid w:val="7FFEDEBC"/>
    <w:rsid w:val="7FFF38E2"/>
    <w:rsid w:val="7FFF4344"/>
    <w:rsid w:val="7FFF4553"/>
    <w:rsid w:val="7FFF7D41"/>
    <w:rsid w:val="7FFF950B"/>
    <w:rsid w:val="7FFFB338"/>
    <w:rsid w:val="7FFFB69F"/>
    <w:rsid w:val="7FFFE0A9"/>
    <w:rsid w:val="7FFFEF51"/>
    <w:rsid w:val="878BBF5A"/>
    <w:rsid w:val="89CF1D98"/>
    <w:rsid w:val="8BBF9311"/>
    <w:rsid w:val="8DFBC842"/>
    <w:rsid w:val="8ED7C19A"/>
    <w:rsid w:val="8EEEF1E8"/>
    <w:rsid w:val="8F738877"/>
    <w:rsid w:val="8F7E7D85"/>
    <w:rsid w:val="8FCFEC67"/>
    <w:rsid w:val="8FFB6887"/>
    <w:rsid w:val="8FFDBD1A"/>
    <w:rsid w:val="8FFFEB91"/>
    <w:rsid w:val="93B96D56"/>
    <w:rsid w:val="93DE452D"/>
    <w:rsid w:val="95B9AA5C"/>
    <w:rsid w:val="96DF0BAC"/>
    <w:rsid w:val="97BBDB9E"/>
    <w:rsid w:val="97FDE061"/>
    <w:rsid w:val="99B9F37C"/>
    <w:rsid w:val="9B6A78A1"/>
    <w:rsid w:val="9B7F74AA"/>
    <w:rsid w:val="9B9ECE6A"/>
    <w:rsid w:val="9BCF3212"/>
    <w:rsid w:val="9BD700FA"/>
    <w:rsid w:val="9BDAE751"/>
    <w:rsid w:val="9BFA4877"/>
    <w:rsid w:val="9BFDA9B9"/>
    <w:rsid w:val="9CDD68BD"/>
    <w:rsid w:val="9CFDB1E6"/>
    <w:rsid w:val="9D1D3CE9"/>
    <w:rsid w:val="9DBE0C4A"/>
    <w:rsid w:val="9DED8F43"/>
    <w:rsid w:val="9DF9C5D1"/>
    <w:rsid w:val="9DFBB23B"/>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A229E"/>
    <w:rsid w:val="ADFBC9D7"/>
    <w:rsid w:val="AE066B85"/>
    <w:rsid w:val="AE752BEC"/>
    <w:rsid w:val="AEF50F84"/>
    <w:rsid w:val="AEFA1BCF"/>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694E"/>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9FFB879"/>
    <w:rsid w:val="BAD603D9"/>
    <w:rsid w:val="BAEE8A21"/>
    <w:rsid w:val="BAEF907E"/>
    <w:rsid w:val="BAF9BF7C"/>
    <w:rsid w:val="BB7BF0F9"/>
    <w:rsid w:val="BB7D94EC"/>
    <w:rsid w:val="BBBC522F"/>
    <w:rsid w:val="BBDA4C2A"/>
    <w:rsid w:val="BBDE722F"/>
    <w:rsid w:val="BBEF346B"/>
    <w:rsid w:val="BBEFF16C"/>
    <w:rsid w:val="BBF74192"/>
    <w:rsid w:val="BBFFC53B"/>
    <w:rsid w:val="BCF70CED"/>
    <w:rsid w:val="BCFFFB96"/>
    <w:rsid w:val="BD3F42D7"/>
    <w:rsid w:val="BD4F02D5"/>
    <w:rsid w:val="BD7F915C"/>
    <w:rsid w:val="BDB98D7B"/>
    <w:rsid w:val="BDBD2207"/>
    <w:rsid w:val="BDBF922D"/>
    <w:rsid w:val="BDBFD108"/>
    <w:rsid w:val="BDD09CDB"/>
    <w:rsid w:val="BDD26E15"/>
    <w:rsid w:val="BDD3C732"/>
    <w:rsid w:val="BDED2E20"/>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89F54"/>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175FC02"/>
    <w:rsid w:val="C22D1432"/>
    <w:rsid w:val="C377D33E"/>
    <w:rsid w:val="C3817AF8"/>
    <w:rsid w:val="C6F79AA3"/>
    <w:rsid w:val="C6FF5552"/>
    <w:rsid w:val="C74F1025"/>
    <w:rsid w:val="C7A6E0C6"/>
    <w:rsid w:val="C7D5E229"/>
    <w:rsid w:val="C97B931B"/>
    <w:rsid w:val="C9F79D00"/>
    <w:rsid w:val="CADC6933"/>
    <w:rsid w:val="CAFAA37E"/>
    <w:rsid w:val="CB3F4CF6"/>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6FEB97"/>
    <w:rsid w:val="CF7BCA57"/>
    <w:rsid w:val="CF9FE00B"/>
    <w:rsid w:val="CFB3E3C7"/>
    <w:rsid w:val="CFB62C4F"/>
    <w:rsid w:val="CFB765EE"/>
    <w:rsid w:val="CFD4E29C"/>
    <w:rsid w:val="CFFD05AF"/>
    <w:rsid w:val="CFFF87B9"/>
    <w:rsid w:val="CFFFD98E"/>
    <w:rsid w:val="D0F8E025"/>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7D4576"/>
    <w:rsid w:val="D787430D"/>
    <w:rsid w:val="D79D7F56"/>
    <w:rsid w:val="D7A7460B"/>
    <w:rsid w:val="D7DF94DA"/>
    <w:rsid w:val="D7E7FDB1"/>
    <w:rsid w:val="D7EB2526"/>
    <w:rsid w:val="D7EBD1A5"/>
    <w:rsid w:val="D7F62A5C"/>
    <w:rsid w:val="D7F6EC94"/>
    <w:rsid w:val="D7FA72AD"/>
    <w:rsid w:val="D7FDE049"/>
    <w:rsid w:val="D7FF623E"/>
    <w:rsid w:val="D8FD8BAE"/>
    <w:rsid w:val="D9EFD876"/>
    <w:rsid w:val="D9F6D5BA"/>
    <w:rsid w:val="DA9DC0C0"/>
    <w:rsid w:val="DA9FB462"/>
    <w:rsid w:val="DACDB64B"/>
    <w:rsid w:val="DADB344B"/>
    <w:rsid w:val="DB370689"/>
    <w:rsid w:val="DB3F8FB7"/>
    <w:rsid w:val="DB5D723C"/>
    <w:rsid w:val="DB6FB61A"/>
    <w:rsid w:val="DB73D7DF"/>
    <w:rsid w:val="DB7920D3"/>
    <w:rsid w:val="DB7DAEAA"/>
    <w:rsid w:val="DBD34663"/>
    <w:rsid w:val="DBEAF5C3"/>
    <w:rsid w:val="DBEAFEFE"/>
    <w:rsid w:val="DBEB7774"/>
    <w:rsid w:val="DBFBF72A"/>
    <w:rsid w:val="DBFFA3A0"/>
    <w:rsid w:val="DBFFE62A"/>
    <w:rsid w:val="DCA61F6F"/>
    <w:rsid w:val="DCBE0BF0"/>
    <w:rsid w:val="DCEFDE86"/>
    <w:rsid w:val="DD36A020"/>
    <w:rsid w:val="DD7DD9E1"/>
    <w:rsid w:val="DD7F06CB"/>
    <w:rsid w:val="DD7F2E4B"/>
    <w:rsid w:val="DDDDC088"/>
    <w:rsid w:val="DDEBBDBE"/>
    <w:rsid w:val="DDEF4DF2"/>
    <w:rsid w:val="DDF7B4D3"/>
    <w:rsid w:val="DDF95F57"/>
    <w:rsid w:val="DDFCBE8A"/>
    <w:rsid w:val="DDFF957E"/>
    <w:rsid w:val="DE6F166E"/>
    <w:rsid w:val="DE7EE9F8"/>
    <w:rsid w:val="DE9B9269"/>
    <w:rsid w:val="DEED798E"/>
    <w:rsid w:val="DEEE2340"/>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EDD5D1"/>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5F8B2D"/>
    <w:rsid w:val="EA7A1829"/>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BF6C36"/>
    <w:rsid w:val="EBC76612"/>
    <w:rsid w:val="EBD7AB46"/>
    <w:rsid w:val="EBF5DABD"/>
    <w:rsid w:val="EBFF99F0"/>
    <w:rsid w:val="EC3F4107"/>
    <w:rsid w:val="EC78826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6AFA59"/>
    <w:rsid w:val="EE758774"/>
    <w:rsid w:val="EE8E1C73"/>
    <w:rsid w:val="EEAF253B"/>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CD90DD"/>
    <w:rsid w:val="EFD62B0C"/>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A25BA"/>
    <w:rsid w:val="F1BF1234"/>
    <w:rsid w:val="F1BFDF14"/>
    <w:rsid w:val="F1DFCCE8"/>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294D4"/>
    <w:rsid w:val="F3DB2C35"/>
    <w:rsid w:val="F3EB7093"/>
    <w:rsid w:val="F3F7F6B9"/>
    <w:rsid w:val="F3FE868E"/>
    <w:rsid w:val="F46DC9F9"/>
    <w:rsid w:val="F49B07CE"/>
    <w:rsid w:val="F4B95111"/>
    <w:rsid w:val="F4CA5E92"/>
    <w:rsid w:val="F4ED4C53"/>
    <w:rsid w:val="F4FDB1E4"/>
    <w:rsid w:val="F552A8DB"/>
    <w:rsid w:val="F56B5BAD"/>
    <w:rsid w:val="F5729ABB"/>
    <w:rsid w:val="F57F4DA8"/>
    <w:rsid w:val="F58FFD66"/>
    <w:rsid w:val="F5B9D0C9"/>
    <w:rsid w:val="F5BDD1EE"/>
    <w:rsid w:val="F5CF8F43"/>
    <w:rsid w:val="F5E7485D"/>
    <w:rsid w:val="F5E78F19"/>
    <w:rsid w:val="F5EBBEC7"/>
    <w:rsid w:val="F5F58577"/>
    <w:rsid w:val="F5F7717B"/>
    <w:rsid w:val="F5F7CC98"/>
    <w:rsid w:val="F5F908CE"/>
    <w:rsid w:val="F5F91F09"/>
    <w:rsid w:val="F5FE5C2F"/>
    <w:rsid w:val="F5FFBB49"/>
    <w:rsid w:val="F62D44B6"/>
    <w:rsid w:val="F66EB0EB"/>
    <w:rsid w:val="F6BF00C6"/>
    <w:rsid w:val="F6F5656B"/>
    <w:rsid w:val="F6FA9E45"/>
    <w:rsid w:val="F6FBD95B"/>
    <w:rsid w:val="F6FD14F3"/>
    <w:rsid w:val="F6FFD7B4"/>
    <w:rsid w:val="F71E64CF"/>
    <w:rsid w:val="F73D9369"/>
    <w:rsid w:val="F73FC669"/>
    <w:rsid w:val="F76E9065"/>
    <w:rsid w:val="F7751416"/>
    <w:rsid w:val="F77570B5"/>
    <w:rsid w:val="F7767906"/>
    <w:rsid w:val="F7792F0B"/>
    <w:rsid w:val="F78FE489"/>
    <w:rsid w:val="F79B70F7"/>
    <w:rsid w:val="F79F3EE3"/>
    <w:rsid w:val="F7A7BE7D"/>
    <w:rsid w:val="F7B63B30"/>
    <w:rsid w:val="F7B77A11"/>
    <w:rsid w:val="F7BBDB1B"/>
    <w:rsid w:val="F7BBF1CE"/>
    <w:rsid w:val="F7BD39CA"/>
    <w:rsid w:val="F7BD85E5"/>
    <w:rsid w:val="F7BEC53E"/>
    <w:rsid w:val="F7CB21F0"/>
    <w:rsid w:val="F7CFDD56"/>
    <w:rsid w:val="F7D72319"/>
    <w:rsid w:val="F7D9F7D4"/>
    <w:rsid w:val="F7E9353E"/>
    <w:rsid w:val="F7ED4F59"/>
    <w:rsid w:val="F7ED7240"/>
    <w:rsid w:val="F7EF7726"/>
    <w:rsid w:val="F7F32E55"/>
    <w:rsid w:val="F7F6422D"/>
    <w:rsid w:val="F7F696AC"/>
    <w:rsid w:val="F7FA51F0"/>
    <w:rsid w:val="F7FCA273"/>
    <w:rsid w:val="F7FE4367"/>
    <w:rsid w:val="F7FEBB66"/>
    <w:rsid w:val="F7FED789"/>
    <w:rsid w:val="F7FF14E5"/>
    <w:rsid w:val="F7FF49A9"/>
    <w:rsid w:val="F7FF5CC8"/>
    <w:rsid w:val="F7FFEAAB"/>
    <w:rsid w:val="F83DD696"/>
    <w:rsid w:val="F86F379F"/>
    <w:rsid w:val="F8BB73F4"/>
    <w:rsid w:val="F8DB69EF"/>
    <w:rsid w:val="F8F4F377"/>
    <w:rsid w:val="F8FC4D81"/>
    <w:rsid w:val="F95B1791"/>
    <w:rsid w:val="F967DB1B"/>
    <w:rsid w:val="F9761257"/>
    <w:rsid w:val="F9AF55C0"/>
    <w:rsid w:val="F9D3BAC4"/>
    <w:rsid w:val="F9DE2760"/>
    <w:rsid w:val="F9ED89BC"/>
    <w:rsid w:val="F9F7BAA1"/>
    <w:rsid w:val="F9FB7534"/>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7B68C"/>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AB3C23"/>
    <w:rsid w:val="FCDC0783"/>
    <w:rsid w:val="FCF7386F"/>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6A17D"/>
    <w:rsid w:val="FDF7CEDC"/>
    <w:rsid w:val="FDFB1A6C"/>
    <w:rsid w:val="FDFBE2EA"/>
    <w:rsid w:val="FDFC23C8"/>
    <w:rsid w:val="FDFE2CEC"/>
    <w:rsid w:val="FDFF3652"/>
    <w:rsid w:val="FE1E0770"/>
    <w:rsid w:val="FE3DA7DA"/>
    <w:rsid w:val="FE3FEC7B"/>
    <w:rsid w:val="FE51E2EF"/>
    <w:rsid w:val="FE59B8FC"/>
    <w:rsid w:val="FE5F61A1"/>
    <w:rsid w:val="FE5F66F2"/>
    <w:rsid w:val="FE6E154A"/>
    <w:rsid w:val="FE6EC4CD"/>
    <w:rsid w:val="FE7FD523"/>
    <w:rsid w:val="FE8358B1"/>
    <w:rsid w:val="FE8BA7E3"/>
    <w:rsid w:val="FE9EA054"/>
    <w:rsid w:val="FEAF6FD6"/>
    <w:rsid w:val="FEAFA5FE"/>
    <w:rsid w:val="FEBFBEB7"/>
    <w:rsid w:val="FED20F90"/>
    <w:rsid w:val="FED6F92A"/>
    <w:rsid w:val="FEDB726C"/>
    <w:rsid w:val="FEE79552"/>
    <w:rsid w:val="FEEF1E6E"/>
    <w:rsid w:val="FEEF70A3"/>
    <w:rsid w:val="FEF36EFC"/>
    <w:rsid w:val="FEF6CEFE"/>
    <w:rsid w:val="FEF77092"/>
    <w:rsid w:val="FEFA9585"/>
    <w:rsid w:val="FEFB2EB6"/>
    <w:rsid w:val="FEFC242C"/>
    <w:rsid w:val="FEFD9E63"/>
    <w:rsid w:val="FEFDD817"/>
    <w:rsid w:val="FEFF3F8E"/>
    <w:rsid w:val="FEFF60B4"/>
    <w:rsid w:val="FEFF70A4"/>
    <w:rsid w:val="FEFF7496"/>
    <w:rsid w:val="FEFF7F8E"/>
    <w:rsid w:val="FEFFA731"/>
    <w:rsid w:val="FF0F806E"/>
    <w:rsid w:val="FF1D69F2"/>
    <w:rsid w:val="FF2F0176"/>
    <w:rsid w:val="FF3A9D83"/>
    <w:rsid w:val="FF3F446D"/>
    <w:rsid w:val="FF4D0274"/>
    <w:rsid w:val="FF4FC386"/>
    <w:rsid w:val="FF577AD4"/>
    <w:rsid w:val="FF57BEB7"/>
    <w:rsid w:val="FF57BF75"/>
    <w:rsid w:val="FF5B3711"/>
    <w:rsid w:val="FF5D14AB"/>
    <w:rsid w:val="FF5D1C8A"/>
    <w:rsid w:val="FF5FC543"/>
    <w:rsid w:val="FF5FE587"/>
    <w:rsid w:val="FF67ABAB"/>
    <w:rsid w:val="FF7180DC"/>
    <w:rsid w:val="FF74F6A5"/>
    <w:rsid w:val="FF761D2B"/>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15A06"/>
    <w:rsid w:val="FF952D36"/>
    <w:rsid w:val="FF9F4B0B"/>
    <w:rsid w:val="FF9F5B82"/>
    <w:rsid w:val="FF9FC2BD"/>
    <w:rsid w:val="FFAB6C8F"/>
    <w:rsid w:val="FFAB7F1C"/>
    <w:rsid w:val="FFAEDC16"/>
    <w:rsid w:val="FFB3B41D"/>
    <w:rsid w:val="FFB5F89A"/>
    <w:rsid w:val="FFB67D11"/>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7C4"/>
    <w:rsid w:val="FFE78811"/>
    <w:rsid w:val="FFED5E70"/>
    <w:rsid w:val="FFEDD336"/>
    <w:rsid w:val="FFEDD7C6"/>
    <w:rsid w:val="FFEE288D"/>
    <w:rsid w:val="FFEF91AF"/>
    <w:rsid w:val="FFEFC1C4"/>
    <w:rsid w:val="FFEFE133"/>
    <w:rsid w:val="FFF38FB5"/>
    <w:rsid w:val="FFF5E6CB"/>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3">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40"/>
    <w:qFormat/>
    <w:uiPriority w:val="0"/>
    <w:rPr>
      <w:b/>
      <w:bCs/>
    </w:rPr>
  </w:style>
  <w:style w:type="paragraph" w:styleId="6">
    <w:name w:val="annotation text"/>
    <w:basedOn w:val="1"/>
    <w:link w:val="33"/>
    <w:qFormat/>
    <w:uiPriority w:val="0"/>
    <w:pPr>
      <w:jc w:val="left"/>
    </w:pPr>
  </w:style>
  <w:style w:type="paragraph" w:styleId="7">
    <w:name w:val="Normal Indent"/>
    <w:basedOn w:val="1"/>
    <w:qFormat/>
    <w:uiPriority w:val="0"/>
    <w:pPr>
      <w:spacing w:line="240" w:lineRule="atLeast"/>
      <w:ind w:firstLine="420" w:firstLineChars="200"/>
    </w:pPr>
    <w:rPr>
      <w:rFonts w:eastAsia="仿宋_GB2312"/>
      <w:spacing w:val="-6"/>
      <w:sz w:val="32"/>
      <w:szCs w:val="20"/>
    </w:rPr>
  </w:style>
  <w:style w:type="paragraph" w:styleId="8">
    <w:name w:val="Document Map"/>
    <w:basedOn w:val="1"/>
    <w:link w:val="58"/>
    <w:qFormat/>
    <w:uiPriority w:val="0"/>
    <w:pPr>
      <w:shd w:val="clear" w:color="auto" w:fill="000080"/>
    </w:pPr>
  </w:style>
  <w:style w:type="paragraph" w:styleId="9">
    <w:name w:val="Body Text"/>
    <w:basedOn w:val="1"/>
    <w:next w:val="10"/>
    <w:qFormat/>
    <w:uiPriority w:val="0"/>
    <w:rPr>
      <w:rFonts w:ascii="仿宋_GB2312" w:eastAsia="仿宋_GB2312"/>
      <w:sz w:val="30"/>
      <w:szCs w:val="20"/>
    </w:rPr>
  </w:style>
  <w:style w:type="paragraph" w:customStyle="1" w:styleId="10">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1">
    <w:name w:val="Body Text Indent"/>
    <w:basedOn w:val="1"/>
    <w:unhideWhenUsed/>
    <w:qFormat/>
    <w:uiPriority w:val="99"/>
    <w:pPr>
      <w:spacing w:after="120"/>
      <w:ind w:left="420" w:leftChars="200"/>
    </w:pPr>
  </w:style>
  <w:style w:type="paragraph" w:styleId="12">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3">
    <w:name w:val="Plain Text"/>
    <w:basedOn w:val="1"/>
    <w:qFormat/>
    <w:uiPriority w:val="0"/>
    <w:rPr>
      <w:rFonts w:ascii="宋体" w:hAnsi="Courier New" w:cs="Courier New"/>
      <w:szCs w:val="21"/>
    </w:rPr>
  </w:style>
  <w:style w:type="paragraph" w:styleId="14">
    <w:name w:val="Date"/>
    <w:basedOn w:val="1"/>
    <w:next w:val="1"/>
    <w:qFormat/>
    <w:uiPriority w:val="0"/>
    <w:rPr>
      <w:rFonts w:ascii="黑体" w:eastAsia="仿宋_GB2312"/>
      <w:sz w:val="32"/>
      <w:szCs w:val="20"/>
    </w:rPr>
  </w:style>
  <w:style w:type="paragraph" w:styleId="15">
    <w:name w:val="Balloon Text"/>
    <w:basedOn w:val="1"/>
    <w:link w:val="59"/>
    <w:qFormat/>
    <w:uiPriority w:val="0"/>
    <w:rPr>
      <w:sz w:val="18"/>
      <w:szCs w:val="18"/>
    </w:rPr>
  </w:style>
  <w:style w:type="paragraph" w:styleId="16">
    <w:name w:val="footer"/>
    <w:basedOn w:val="1"/>
    <w:link w:val="30"/>
    <w:qFormat/>
    <w:uiPriority w:val="0"/>
    <w:pPr>
      <w:tabs>
        <w:tab w:val="center" w:pos="4153"/>
        <w:tab w:val="right" w:pos="8306"/>
      </w:tabs>
      <w:snapToGrid w:val="0"/>
      <w:jc w:val="left"/>
    </w:pPr>
    <w:rPr>
      <w:sz w:val="18"/>
      <w:szCs w:val="18"/>
    </w:rPr>
  </w:style>
  <w:style w:type="paragraph" w:styleId="17">
    <w:name w:val="Body Text First Indent 2"/>
    <w:basedOn w:val="11"/>
    <w:unhideWhenUsed/>
    <w:qFormat/>
    <w:uiPriority w:val="99"/>
    <w:pPr>
      <w:ind w:firstLine="420" w:firstLineChars="200"/>
    </w:pPr>
  </w:style>
  <w:style w:type="paragraph" w:styleId="18">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widowControl/>
      <w:spacing w:after="100" w:line="259" w:lineRule="auto"/>
      <w:jc w:val="left"/>
    </w:pPr>
    <w:rPr>
      <w:rFonts w:ascii="Calibri" w:hAnsi="Calibri"/>
      <w:kern w:val="0"/>
      <w:sz w:val="22"/>
      <w:szCs w:val="22"/>
    </w:rPr>
  </w:style>
  <w:style w:type="paragraph" w:styleId="20">
    <w:name w:val="Body Text Indent 3"/>
    <w:basedOn w:val="1"/>
    <w:qFormat/>
    <w:uiPriority w:val="0"/>
    <w:pPr>
      <w:spacing w:after="120"/>
      <w:ind w:left="420" w:leftChars="200"/>
    </w:pPr>
    <w:rPr>
      <w:sz w:val="16"/>
      <w:szCs w:val="16"/>
    </w:rPr>
  </w:style>
  <w:style w:type="paragraph" w:styleId="21">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2">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character" w:styleId="24">
    <w:name w:val="page number"/>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954F72"/>
      <w:u w:val="single"/>
    </w:rPr>
  </w:style>
  <w:style w:type="character" w:styleId="26">
    <w:name w:val="Emphasis"/>
    <w:qFormat/>
    <w:uiPriority w:val="0"/>
    <w:rPr>
      <w:rFonts w:ascii="Times New Roman" w:hAnsi="Times New Roman" w:eastAsia="宋体" w:cs="Times New Roman"/>
      <w:i/>
      <w:iCs/>
    </w:rPr>
  </w:style>
  <w:style w:type="character" w:styleId="27">
    <w:name w:val="Hyperlink"/>
    <w:qFormat/>
    <w:uiPriority w:val="99"/>
    <w:rPr>
      <w:rFonts w:ascii="Times New Roman" w:hAnsi="Times New Roman" w:eastAsia="宋体" w:cs="Times New Roman"/>
      <w:color w:val="0563C1"/>
      <w:u w:val="single"/>
    </w:rPr>
  </w:style>
  <w:style w:type="character" w:styleId="28">
    <w:name w:val="annotation reference"/>
    <w:qFormat/>
    <w:uiPriority w:val="0"/>
    <w:rPr>
      <w:sz w:val="21"/>
    </w:rPr>
  </w:style>
  <w:style w:type="character" w:customStyle="1" w:styleId="30">
    <w:name w:val="页脚 字符"/>
    <w:link w:val="16"/>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2"/>
    <w:qFormat/>
    <w:uiPriority w:val="0"/>
    <w:rPr>
      <w:rFonts w:ascii="Times New Roman" w:hAnsi="Times New Roman" w:eastAsia="方正小标宋简体" w:cs="Times New Roman"/>
      <w:b/>
      <w:bCs/>
      <w:kern w:val="44"/>
      <w:sz w:val="36"/>
      <w:szCs w:val="44"/>
    </w:rPr>
  </w:style>
  <w:style w:type="character" w:customStyle="1" w:styleId="32">
    <w:name w:val="标题 2 字符"/>
    <w:link w:val="3"/>
    <w:qFormat/>
    <w:uiPriority w:val="0"/>
    <w:rPr>
      <w:rFonts w:ascii="宋体" w:hAnsi="宋体" w:eastAsia="宋体" w:cs="宋体"/>
      <w:b/>
      <w:bCs/>
      <w:sz w:val="30"/>
      <w:szCs w:val="36"/>
    </w:rPr>
  </w:style>
  <w:style w:type="character" w:customStyle="1" w:styleId="33">
    <w:name w:val="批注文字 字符"/>
    <w:link w:val="6"/>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4"/>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8"/>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5"/>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3"/>
    <w:link w:val="18"/>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3"/>
    <w:link w:val="8"/>
    <w:qFormat/>
    <w:uiPriority w:val="0"/>
    <w:rPr>
      <w:kern w:val="2"/>
      <w:sz w:val="21"/>
      <w:szCs w:val="24"/>
      <w:shd w:val="clear" w:color="auto" w:fill="000080"/>
    </w:rPr>
  </w:style>
  <w:style w:type="character" w:customStyle="1" w:styleId="59">
    <w:name w:val="批注框文本 字符"/>
    <w:basedOn w:val="23"/>
    <w:link w:val="15"/>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3"/>
    <w:qFormat/>
    <w:uiPriority w:val="0"/>
    <w:rPr>
      <w:rFonts w:hint="eastAsia" w:ascii="宋体" w:hAnsi="宋体" w:eastAsia="宋体" w:cs="宋体"/>
      <w:color w:val="000000"/>
      <w:sz w:val="22"/>
      <w:szCs w:val="22"/>
      <w:u w:val="none"/>
    </w:rPr>
  </w:style>
  <w:style w:type="character" w:customStyle="1" w:styleId="63">
    <w:name w:val="font11"/>
    <w:basedOn w:val="23"/>
    <w:qFormat/>
    <w:uiPriority w:val="0"/>
    <w:rPr>
      <w:rFonts w:hint="eastAsia" w:ascii="宋体" w:hAnsi="宋体" w:eastAsia="宋体" w:cs="宋体"/>
      <w:color w:val="C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128</Pages>
  <Words>124895</Words>
  <Characters>131914</Characters>
  <Lines>1186</Lines>
  <Paragraphs>334</Paragraphs>
  <TotalTime>260</TotalTime>
  <ScaleCrop>false</ScaleCrop>
  <LinksUpToDate>false</LinksUpToDate>
  <CharactersWithSpaces>134862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2022-09-08T10:35:00Z</dcterms:created>
  <dc:creator>张通</dc:creator>
  <cp:lastModifiedBy>Administrator</cp:lastModifiedBy>
  <cp:lastPrinted>2024-09-11T07:37:00Z</cp:lastPrinted>
  <dcterms:modified xsi:type="dcterms:W3CDTF">2026-01-27T06:23:52Z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124BE05945A608BAC113EA6786105068_43</vt:lpwstr>
  </property>
</Properties>
</file>