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A4A7E">
      <w:pPr>
        <w:pStyle w:val="7"/>
        <w:keepNext w:val="0"/>
        <w:keepLines w:val="0"/>
        <w:pageBreakBefore w:val="0"/>
        <w:widowControl w:val="0"/>
        <w:kinsoku/>
        <w:wordWrap/>
        <w:overflowPunct/>
        <w:topLinePunct w:val="0"/>
        <w:autoSpaceDE/>
        <w:autoSpaceDN/>
        <w:bidi w:val="0"/>
        <w:adjustRightInd/>
        <w:snapToGrid/>
        <w:spacing w:beforeAutospacing="0" w:after="0" w:afterAutospacing="0" w:line="240" w:lineRule="auto"/>
        <w:ind w:left="0" w:leftChars="0" w:right="0" w:rightChars="0" w:firstLine="0" w:firstLineChars="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eastAsia="zh-CN" w:bidi="ar"/>
        </w:rPr>
        <w:t>附件</w:t>
      </w:r>
      <w:r>
        <w:rPr>
          <w:rFonts w:hint="eastAsia" w:ascii="黑体" w:hAnsi="黑体" w:eastAsia="黑体" w:cs="黑体"/>
          <w:color w:val="000000"/>
          <w:kern w:val="0"/>
          <w:sz w:val="32"/>
          <w:szCs w:val="32"/>
          <w:lang w:val="en-US" w:eastAsia="zh-CN" w:bidi="ar"/>
        </w:rPr>
        <w:t>2</w:t>
      </w:r>
    </w:p>
    <w:p w14:paraId="23953F51">
      <w:pPr>
        <w:pStyle w:val="7"/>
        <w:keepNext w:val="0"/>
        <w:keepLines w:val="0"/>
        <w:pageBreakBefore w:val="0"/>
        <w:widowControl w:val="0"/>
        <w:kinsoku/>
        <w:wordWrap/>
        <w:overflowPunct/>
        <w:topLinePunct w:val="0"/>
        <w:autoSpaceDE/>
        <w:autoSpaceDN/>
        <w:bidi w:val="0"/>
        <w:adjustRightInd/>
        <w:snapToGrid/>
        <w:spacing w:beforeAutospacing="0" w:after="0" w:afterAutospacing="0" w:line="240" w:lineRule="auto"/>
        <w:ind w:left="0" w:leftChars="0" w:right="0" w:rightChars="0" w:firstLine="0" w:firstLineChars="0"/>
        <w:jc w:val="center"/>
        <w:textAlignment w:val="auto"/>
        <w:rPr>
          <w:rFonts w:hint="eastAsia" w:ascii="方正小标宋简体" w:hAnsi="方正小标宋简体" w:eastAsia="方正小标宋简体" w:cs="方正小标宋简体"/>
          <w:color w:val="000000"/>
          <w:kern w:val="0"/>
          <w:sz w:val="44"/>
          <w:szCs w:val="44"/>
          <w:lang w:eastAsia="zh-CN" w:bidi="ar"/>
        </w:rPr>
      </w:pPr>
      <w:r>
        <w:rPr>
          <w:rFonts w:hint="eastAsia" w:ascii="方正小标宋简体" w:hAnsi="方正小标宋简体" w:eastAsia="方正小标宋简体" w:cs="方正小标宋简体"/>
          <w:color w:val="000000"/>
          <w:kern w:val="0"/>
          <w:sz w:val="44"/>
          <w:szCs w:val="44"/>
          <w:lang w:eastAsia="zh-CN" w:bidi="ar"/>
        </w:rPr>
        <w:t>加快绿色低碳转型2026年行动计划</w:t>
      </w:r>
    </w:p>
    <w:tbl>
      <w:tblPr>
        <w:tblStyle w:val="11"/>
        <w:tblW w:w="14604" w:type="dxa"/>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8"/>
        <w:gridCol w:w="1328"/>
        <w:gridCol w:w="7799"/>
        <w:gridCol w:w="1365"/>
        <w:gridCol w:w="1725"/>
        <w:gridCol w:w="1749"/>
      </w:tblGrid>
      <w:tr w14:paraId="153BA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atLeast"/>
          <w:tblHeader/>
        </w:trPr>
        <w:tc>
          <w:tcPr>
            <w:tcW w:w="638" w:type="dxa"/>
            <w:noWrap w:val="0"/>
            <w:tcMar>
              <w:top w:w="15" w:type="dxa"/>
              <w:left w:w="15" w:type="dxa"/>
              <w:right w:w="15" w:type="dxa"/>
            </w:tcMar>
            <w:vAlign w:val="center"/>
          </w:tcPr>
          <w:p w14:paraId="505AA76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黑体" w:hAnsi="黑体" w:eastAsia="黑体" w:cs="黑体"/>
                <w:color w:val="000000"/>
                <w:sz w:val="21"/>
                <w:szCs w:val="21"/>
              </w:rPr>
            </w:pPr>
            <w:r>
              <w:rPr>
                <w:rFonts w:hint="eastAsia" w:ascii="黑体" w:hAnsi="黑体" w:eastAsia="黑体" w:cs="黑体"/>
                <w:color w:val="000000"/>
                <w:kern w:val="0"/>
                <w:sz w:val="21"/>
                <w:szCs w:val="21"/>
                <w:lang w:bidi="ar"/>
              </w:rPr>
              <w:t>序号</w:t>
            </w:r>
          </w:p>
        </w:tc>
        <w:tc>
          <w:tcPr>
            <w:tcW w:w="1328" w:type="dxa"/>
            <w:noWrap w:val="0"/>
            <w:tcMar>
              <w:top w:w="15" w:type="dxa"/>
              <w:left w:w="15" w:type="dxa"/>
              <w:right w:w="15" w:type="dxa"/>
            </w:tcMar>
            <w:vAlign w:val="center"/>
          </w:tcPr>
          <w:p w14:paraId="477777B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黑体" w:hAnsi="黑体" w:eastAsia="黑体" w:cs="黑体"/>
                <w:color w:val="000000"/>
                <w:sz w:val="21"/>
                <w:szCs w:val="21"/>
              </w:rPr>
            </w:pPr>
            <w:r>
              <w:rPr>
                <w:rFonts w:hint="eastAsia" w:ascii="黑体" w:hAnsi="黑体" w:eastAsia="黑体" w:cs="黑体"/>
                <w:color w:val="000000"/>
                <w:kern w:val="0"/>
                <w:sz w:val="21"/>
                <w:szCs w:val="21"/>
                <w:lang w:bidi="ar"/>
              </w:rPr>
              <w:t>重点任务</w:t>
            </w:r>
          </w:p>
        </w:tc>
        <w:tc>
          <w:tcPr>
            <w:tcW w:w="7799" w:type="dxa"/>
            <w:noWrap w:val="0"/>
            <w:tcMar>
              <w:top w:w="15" w:type="dxa"/>
              <w:left w:w="15" w:type="dxa"/>
              <w:right w:w="15" w:type="dxa"/>
            </w:tcMar>
            <w:vAlign w:val="center"/>
          </w:tcPr>
          <w:p w14:paraId="57492E3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黑体" w:hAnsi="黑体" w:eastAsia="黑体" w:cs="黑体"/>
                <w:color w:val="000000"/>
                <w:sz w:val="21"/>
                <w:szCs w:val="21"/>
              </w:rPr>
            </w:pPr>
            <w:r>
              <w:rPr>
                <w:rFonts w:hint="eastAsia" w:ascii="黑体" w:hAnsi="黑体" w:eastAsia="黑体" w:cs="黑体"/>
                <w:color w:val="000000"/>
                <w:kern w:val="0"/>
                <w:sz w:val="21"/>
                <w:szCs w:val="21"/>
                <w:lang w:bidi="ar"/>
              </w:rPr>
              <w:t>工作措施</w:t>
            </w:r>
          </w:p>
        </w:tc>
        <w:tc>
          <w:tcPr>
            <w:tcW w:w="1365" w:type="dxa"/>
            <w:noWrap w:val="0"/>
            <w:tcMar>
              <w:top w:w="15" w:type="dxa"/>
              <w:left w:w="15" w:type="dxa"/>
              <w:right w:w="15" w:type="dxa"/>
            </w:tcMar>
            <w:vAlign w:val="center"/>
          </w:tcPr>
          <w:p w14:paraId="6369470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黑体" w:hAnsi="黑体" w:eastAsia="黑体" w:cs="黑体"/>
                <w:color w:val="000000"/>
                <w:sz w:val="21"/>
                <w:szCs w:val="21"/>
              </w:rPr>
            </w:pPr>
            <w:r>
              <w:rPr>
                <w:rFonts w:hint="eastAsia" w:ascii="黑体" w:hAnsi="黑体" w:eastAsia="黑体" w:cs="黑体"/>
                <w:color w:val="000000"/>
                <w:kern w:val="0"/>
                <w:sz w:val="21"/>
                <w:szCs w:val="21"/>
                <w:lang w:bidi="ar"/>
              </w:rPr>
              <w:t>完成时限</w:t>
            </w:r>
          </w:p>
        </w:tc>
        <w:tc>
          <w:tcPr>
            <w:tcW w:w="1725" w:type="dxa"/>
            <w:noWrap w:val="0"/>
            <w:tcMar>
              <w:top w:w="15" w:type="dxa"/>
              <w:left w:w="15" w:type="dxa"/>
              <w:right w:w="15" w:type="dxa"/>
            </w:tcMar>
            <w:vAlign w:val="center"/>
          </w:tcPr>
          <w:p w14:paraId="06E2C7D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黑体" w:hAnsi="黑体" w:eastAsia="黑体" w:cs="黑体"/>
                <w:color w:val="000000"/>
                <w:sz w:val="21"/>
                <w:szCs w:val="21"/>
              </w:rPr>
            </w:pPr>
            <w:r>
              <w:rPr>
                <w:rFonts w:hint="eastAsia" w:ascii="黑体" w:hAnsi="黑体" w:eastAsia="黑体" w:cs="黑体"/>
                <w:color w:val="000000"/>
                <w:kern w:val="0"/>
                <w:sz w:val="21"/>
                <w:szCs w:val="21"/>
                <w:lang w:bidi="ar"/>
              </w:rPr>
              <w:t>牵头部门</w:t>
            </w:r>
          </w:p>
        </w:tc>
        <w:tc>
          <w:tcPr>
            <w:tcW w:w="1749" w:type="dxa"/>
            <w:noWrap w:val="0"/>
            <w:tcMar>
              <w:top w:w="15" w:type="dxa"/>
              <w:left w:w="15" w:type="dxa"/>
              <w:right w:w="15" w:type="dxa"/>
            </w:tcMar>
            <w:vAlign w:val="center"/>
          </w:tcPr>
          <w:p w14:paraId="04589D7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黑体" w:hAnsi="黑体" w:eastAsia="黑体" w:cs="黑体"/>
                <w:color w:val="000000"/>
                <w:sz w:val="21"/>
                <w:szCs w:val="21"/>
              </w:rPr>
            </w:pPr>
            <w:r>
              <w:rPr>
                <w:rFonts w:hint="eastAsia" w:ascii="黑体" w:hAnsi="黑体" w:eastAsia="黑体" w:cs="黑体"/>
                <w:color w:val="000000"/>
                <w:kern w:val="0"/>
                <w:sz w:val="21"/>
                <w:szCs w:val="21"/>
                <w:lang w:eastAsia="zh-CN" w:bidi="ar"/>
              </w:rPr>
              <w:t>责任</w:t>
            </w:r>
            <w:r>
              <w:rPr>
                <w:rFonts w:hint="eastAsia" w:ascii="黑体" w:hAnsi="黑体" w:eastAsia="黑体" w:cs="黑体"/>
                <w:color w:val="000000"/>
                <w:kern w:val="0"/>
                <w:sz w:val="21"/>
                <w:szCs w:val="21"/>
                <w:lang w:bidi="ar"/>
              </w:rPr>
              <w:t>单位</w:t>
            </w:r>
          </w:p>
        </w:tc>
      </w:tr>
      <w:tr w14:paraId="72E64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4604" w:type="dxa"/>
            <w:gridSpan w:val="6"/>
            <w:noWrap w:val="0"/>
            <w:tcMar>
              <w:top w:w="15" w:type="dxa"/>
              <w:left w:w="15" w:type="dxa"/>
              <w:right w:w="15" w:type="dxa"/>
            </w:tcMar>
            <w:vAlign w:val="center"/>
          </w:tcPr>
          <w:p w14:paraId="43447C3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黑体" w:hAnsi="黑体" w:eastAsia="黑体" w:cs="黑体"/>
                <w:color w:val="000000"/>
                <w:kern w:val="0"/>
                <w:sz w:val="21"/>
                <w:szCs w:val="21"/>
                <w:lang w:eastAsia="zh-CN" w:bidi="ar"/>
              </w:rPr>
            </w:pPr>
            <w:r>
              <w:rPr>
                <w:rFonts w:hint="eastAsia" w:ascii="黑体" w:hAnsi="黑体" w:eastAsia="黑体" w:cs="黑体"/>
                <w:color w:val="000000"/>
                <w:kern w:val="0"/>
                <w:sz w:val="32"/>
                <w:szCs w:val="32"/>
                <w:lang w:eastAsia="zh-CN" w:bidi="ar"/>
              </w:rPr>
              <w:t>一、</w:t>
            </w:r>
            <w:r>
              <w:rPr>
                <w:rFonts w:hint="eastAsia" w:ascii="黑体" w:hAnsi="黑体" w:eastAsia="黑体" w:cs="黑体"/>
                <w:color w:val="000000"/>
                <w:kern w:val="0"/>
                <w:sz w:val="32"/>
                <w:szCs w:val="32"/>
                <w:lang w:bidi="ar"/>
              </w:rPr>
              <w:t>应对气候变化</w:t>
            </w:r>
          </w:p>
        </w:tc>
      </w:tr>
      <w:tr w14:paraId="5A5B0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4604" w:type="dxa"/>
            <w:gridSpan w:val="6"/>
            <w:noWrap w:val="0"/>
            <w:tcMar>
              <w:top w:w="15" w:type="dxa"/>
              <w:left w:w="15" w:type="dxa"/>
              <w:right w:w="15" w:type="dxa"/>
            </w:tcMar>
            <w:vAlign w:val="center"/>
          </w:tcPr>
          <w:p w14:paraId="5C3640A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宋体" w:hAnsi="宋体" w:eastAsia="宋体" w:cs="宋体"/>
                <w:color w:val="000000"/>
                <w:sz w:val="21"/>
                <w:szCs w:val="21"/>
              </w:rPr>
            </w:pPr>
            <w:r>
              <w:rPr>
                <w:rFonts w:hint="eastAsia" w:ascii="黑体" w:hAnsi="黑体" w:eastAsia="黑体" w:cs="黑体"/>
                <w:color w:val="000000"/>
                <w:kern w:val="0"/>
                <w:sz w:val="24"/>
                <w:szCs w:val="24"/>
                <w:lang w:eastAsia="zh-CN" w:bidi="ar"/>
              </w:rPr>
              <w:t>（一）</w:t>
            </w:r>
            <w:r>
              <w:rPr>
                <w:rFonts w:hint="eastAsia" w:ascii="黑体" w:hAnsi="黑体" w:eastAsia="黑体" w:cs="黑体"/>
                <w:color w:val="000000"/>
                <w:kern w:val="0"/>
                <w:sz w:val="24"/>
                <w:szCs w:val="24"/>
                <w:lang w:bidi="ar"/>
              </w:rPr>
              <w:t>温室气体排放控制目标</w:t>
            </w:r>
          </w:p>
        </w:tc>
      </w:tr>
      <w:tr w14:paraId="36451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638" w:type="dxa"/>
            <w:noWrap w:val="0"/>
            <w:tcMar>
              <w:top w:w="15" w:type="dxa"/>
              <w:left w:w="15" w:type="dxa"/>
              <w:right w:w="15" w:type="dxa"/>
            </w:tcMar>
            <w:vAlign w:val="center"/>
          </w:tcPr>
          <w:p w14:paraId="2FD31B1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1</w:t>
            </w:r>
          </w:p>
        </w:tc>
        <w:tc>
          <w:tcPr>
            <w:tcW w:w="1328" w:type="dxa"/>
            <w:noWrap w:val="0"/>
            <w:tcMar>
              <w:top w:w="15" w:type="dxa"/>
              <w:left w:w="15" w:type="dxa"/>
              <w:right w:w="15" w:type="dxa"/>
            </w:tcMar>
            <w:vAlign w:val="center"/>
          </w:tcPr>
          <w:p w14:paraId="070C9F7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温室气体排放控制目标</w:t>
            </w:r>
          </w:p>
        </w:tc>
        <w:tc>
          <w:tcPr>
            <w:tcW w:w="7799" w:type="dxa"/>
            <w:noWrap w:val="0"/>
            <w:tcMar>
              <w:top w:w="15" w:type="dxa"/>
              <w:left w:w="15" w:type="dxa"/>
              <w:right w:w="15" w:type="dxa"/>
            </w:tcMar>
            <w:vAlign w:val="center"/>
          </w:tcPr>
          <w:p w14:paraId="0F8972BA">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全</w:t>
            </w:r>
            <w:r>
              <w:rPr>
                <w:rStyle w:val="13"/>
                <w:rFonts w:hint="eastAsia" w:ascii="仿宋_GB2312" w:hAnsi="仿宋_GB2312" w:eastAsia="仿宋_GB2312" w:cs="仿宋_GB2312"/>
                <w:color w:val="000000"/>
                <w:sz w:val="24"/>
                <w:szCs w:val="24"/>
                <w:lang w:bidi="ar"/>
              </w:rPr>
              <w:t>区碳排放强度完成同比下降目标</w:t>
            </w:r>
            <w:r>
              <w:rPr>
                <w:rStyle w:val="14"/>
                <w:rFonts w:hint="eastAsia" w:ascii="仿宋_GB2312" w:hAnsi="仿宋_GB2312" w:eastAsia="仿宋_GB2312" w:cs="仿宋_GB2312"/>
                <w:sz w:val="24"/>
                <w:szCs w:val="24"/>
                <w:lang w:bidi="ar"/>
              </w:rPr>
              <w:t>。</w:t>
            </w:r>
          </w:p>
        </w:tc>
        <w:tc>
          <w:tcPr>
            <w:tcW w:w="1365" w:type="dxa"/>
            <w:noWrap w:val="0"/>
            <w:tcMar>
              <w:top w:w="15" w:type="dxa"/>
              <w:left w:w="15" w:type="dxa"/>
              <w:right w:w="15" w:type="dxa"/>
            </w:tcMar>
            <w:vAlign w:val="center"/>
          </w:tcPr>
          <w:p w14:paraId="5650CC0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20C2139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区发改委</w:t>
            </w:r>
          </w:p>
          <w:p w14:paraId="1D8C26FF">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kern w:val="0"/>
                <w:sz w:val="24"/>
                <w:szCs w:val="24"/>
                <w:lang w:val="en-US" w:eastAsia="zh-CN" w:bidi="ar"/>
              </w:rPr>
              <w:t>区生态环境局</w:t>
            </w:r>
          </w:p>
        </w:tc>
        <w:tc>
          <w:tcPr>
            <w:tcW w:w="1749" w:type="dxa"/>
            <w:noWrap w:val="0"/>
            <w:tcMar>
              <w:top w:w="15" w:type="dxa"/>
              <w:left w:w="15" w:type="dxa"/>
              <w:right w:w="15" w:type="dxa"/>
            </w:tcMar>
            <w:vAlign w:val="center"/>
          </w:tcPr>
          <w:p w14:paraId="53908D0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575D90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4604" w:type="dxa"/>
            <w:gridSpan w:val="6"/>
            <w:noWrap w:val="0"/>
            <w:tcMar>
              <w:top w:w="15" w:type="dxa"/>
              <w:left w:w="15" w:type="dxa"/>
              <w:right w:w="15" w:type="dxa"/>
            </w:tcMar>
            <w:vAlign w:val="center"/>
          </w:tcPr>
          <w:p w14:paraId="024ABA3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宋体" w:hAnsi="宋体" w:eastAsia="宋体" w:cs="宋体"/>
                <w:color w:val="000000"/>
                <w:sz w:val="21"/>
                <w:szCs w:val="21"/>
              </w:rPr>
            </w:pPr>
            <w:r>
              <w:rPr>
                <w:rFonts w:hint="eastAsia" w:ascii="黑体" w:hAnsi="黑体" w:eastAsia="黑体" w:cs="黑体"/>
                <w:color w:val="000000"/>
                <w:kern w:val="0"/>
                <w:sz w:val="24"/>
                <w:szCs w:val="24"/>
                <w:lang w:eastAsia="zh-CN" w:bidi="ar"/>
              </w:rPr>
              <w:t>（二）</w:t>
            </w:r>
            <w:r>
              <w:rPr>
                <w:rFonts w:hint="eastAsia" w:ascii="黑体" w:hAnsi="黑体" w:eastAsia="黑体" w:cs="黑体"/>
                <w:color w:val="000000"/>
                <w:kern w:val="0"/>
                <w:sz w:val="24"/>
                <w:szCs w:val="24"/>
                <w:lang w:bidi="ar"/>
              </w:rPr>
              <w:t>完善应对气候变化综合管理体系</w:t>
            </w:r>
          </w:p>
        </w:tc>
      </w:tr>
      <w:tr w14:paraId="6F7463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restart"/>
            <w:noWrap w:val="0"/>
            <w:tcMar>
              <w:top w:w="15" w:type="dxa"/>
              <w:left w:w="15" w:type="dxa"/>
              <w:right w:w="15" w:type="dxa"/>
            </w:tcMar>
            <w:vAlign w:val="center"/>
          </w:tcPr>
          <w:p w14:paraId="07C78F8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0"/>
                <w:sz w:val="24"/>
                <w:szCs w:val="24"/>
                <w:lang w:val="en-US" w:eastAsia="zh-CN" w:bidi="ar"/>
              </w:rPr>
              <w:t>2</w:t>
            </w:r>
          </w:p>
        </w:tc>
        <w:tc>
          <w:tcPr>
            <w:tcW w:w="1328" w:type="dxa"/>
            <w:vMerge w:val="restart"/>
            <w:noWrap w:val="0"/>
            <w:tcMar>
              <w:top w:w="15" w:type="dxa"/>
              <w:left w:w="15" w:type="dxa"/>
              <w:right w:w="15" w:type="dxa"/>
            </w:tcMar>
            <w:vAlign w:val="center"/>
          </w:tcPr>
          <w:p w14:paraId="2660A0D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0"/>
                <w:sz w:val="24"/>
                <w:szCs w:val="24"/>
                <w:lang w:bidi="ar"/>
              </w:rPr>
              <w:t>构建碳排放双控制度体系</w:t>
            </w:r>
          </w:p>
        </w:tc>
        <w:tc>
          <w:tcPr>
            <w:tcW w:w="7799" w:type="dxa"/>
            <w:noWrap w:val="0"/>
            <w:tcMar>
              <w:top w:w="15" w:type="dxa"/>
              <w:left w:w="15" w:type="dxa"/>
              <w:right w:w="15" w:type="dxa"/>
            </w:tcMar>
            <w:vAlign w:val="center"/>
          </w:tcPr>
          <w:p w14:paraId="09F3230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细化研究制定重点领域、重点区域碳达峰碳中和相关行动方案</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推动建立碳排放预算管理制度。</w:t>
            </w:r>
          </w:p>
        </w:tc>
        <w:tc>
          <w:tcPr>
            <w:tcW w:w="1365" w:type="dxa"/>
            <w:noWrap w:val="0"/>
            <w:tcMar>
              <w:top w:w="15" w:type="dxa"/>
              <w:left w:w="15" w:type="dxa"/>
              <w:right w:w="15" w:type="dxa"/>
            </w:tcMar>
            <w:vAlign w:val="center"/>
          </w:tcPr>
          <w:p w14:paraId="6724F47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6C2FC85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区发改委</w:t>
            </w:r>
          </w:p>
        </w:tc>
        <w:tc>
          <w:tcPr>
            <w:tcW w:w="1749" w:type="dxa"/>
            <w:noWrap w:val="0"/>
            <w:tcMar>
              <w:top w:w="15" w:type="dxa"/>
              <w:left w:w="15" w:type="dxa"/>
              <w:right w:w="15" w:type="dxa"/>
            </w:tcMar>
            <w:vAlign w:val="center"/>
          </w:tcPr>
          <w:p w14:paraId="079FCE3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59DF0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638" w:type="dxa"/>
            <w:vMerge w:val="continue"/>
            <w:noWrap w:val="0"/>
            <w:tcMar>
              <w:top w:w="15" w:type="dxa"/>
              <w:left w:w="15" w:type="dxa"/>
              <w:right w:w="15" w:type="dxa"/>
            </w:tcMar>
            <w:vAlign w:val="center"/>
          </w:tcPr>
          <w:p w14:paraId="34FA066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sz w:val="24"/>
                <w:szCs w:val="24"/>
              </w:rPr>
            </w:pPr>
          </w:p>
        </w:tc>
        <w:tc>
          <w:tcPr>
            <w:tcW w:w="1328" w:type="dxa"/>
            <w:vMerge w:val="continue"/>
            <w:noWrap w:val="0"/>
            <w:tcMar>
              <w:top w:w="15" w:type="dxa"/>
              <w:left w:w="15" w:type="dxa"/>
              <w:right w:w="15" w:type="dxa"/>
            </w:tcMar>
            <w:vAlign w:val="top"/>
          </w:tcPr>
          <w:p w14:paraId="6289195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5658FF5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配合市级部门</w:t>
            </w:r>
            <w:r>
              <w:rPr>
                <w:rFonts w:hint="eastAsia" w:ascii="仿宋_GB2312" w:hAnsi="仿宋_GB2312" w:eastAsia="仿宋_GB2312" w:cs="仿宋_GB2312"/>
                <w:color w:val="000000"/>
                <w:kern w:val="0"/>
                <w:sz w:val="24"/>
                <w:szCs w:val="24"/>
                <w:highlight w:val="none"/>
                <w:lang w:bidi="ar"/>
              </w:rPr>
              <w:t>开展酒店等重点产品和服务碳足迹核算方法研究和碳足迹数据库建设。</w:t>
            </w:r>
            <w:r>
              <w:rPr>
                <w:rFonts w:hint="eastAsia" w:ascii="仿宋_GB2312" w:hAnsi="仿宋_GB2312" w:eastAsia="仿宋_GB2312" w:cs="仿宋_GB2312"/>
                <w:color w:val="000000"/>
                <w:kern w:val="0"/>
                <w:sz w:val="24"/>
                <w:szCs w:val="24"/>
                <w:highlight w:val="none"/>
                <w:lang w:eastAsia="zh-CN" w:bidi="ar"/>
              </w:rPr>
              <w:t>配合市级部门</w:t>
            </w:r>
            <w:r>
              <w:rPr>
                <w:rFonts w:hint="eastAsia" w:ascii="仿宋_GB2312" w:hAnsi="仿宋_GB2312" w:eastAsia="仿宋_GB2312" w:cs="仿宋_GB2312"/>
                <w:color w:val="000000"/>
                <w:kern w:val="0"/>
                <w:sz w:val="24"/>
                <w:szCs w:val="24"/>
                <w:highlight w:val="none"/>
                <w:lang w:bidi="ar"/>
              </w:rPr>
              <w:t>推进计算机类产品碳足迹认证试点。</w:t>
            </w:r>
          </w:p>
        </w:tc>
        <w:tc>
          <w:tcPr>
            <w:tcW w:w="1365" w:type="dxa"/>
            <w:noWrap w:val="0"/>
            <w:tcMar>
              <w:top w:w="15" w:type="dxa"/>
              <w:left w:w="15" w:type="dxa"/>
              <w:right w:w="15" w:type="dxa"/>
            </w:tcMar>
            <w:vAlign w:val="center"/>
          </w:tcPr>
          <w:p w14:paraId="1E2255E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7E9C9F9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区发改委</w:t>
            </w:r>
          </w:p>
          <w:p w14:paraId="10DECB7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区生态环境局</w:t>
            </w:r>
          </w:p>
          <w:p w14:paraId="534DE6C4">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区市场监管局</w:t>
            </w:r>
          </w:p>
        </w:tc>
        <w:tc>
          <w:tcPr>
            <w:tcW w:w="1749" w:type="dxa"/>
            <w:noWrap w:val="0"/>
            <w:tcMar>
              <w:top w:w="15" w:type="dxa"/>
              <w:left w:w="15" w:type="dxa"/>
              <w:right w:w="15" w:type="dxa"/>
            </w:tcMar>
            <w:vAlign w:val="center"/>
          </w:tcPr>
          <w:p w14:paraId="16EAB98B">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val="en-US" w:eastAsia="zh-CN" w:bidi="ar"/>
              </w:rPr>
              <w:t>区经信局</w:t>
            </w:r>
          </w:p>
        </w:tc>
      </w:tr>
      <w:tr w14:paraId="16497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638" w:type="dxa"/>
            <w:vMerge w:val="continue"/>
            <w:noWrap w:val="0"/>
            <w:tcMar>
              <w:top w:w="15" w:type="dxa"/>
              <w:left w:w="15" w:type="dxa"/>
              <w:right w:w="15" w:type="dxa"/>
            </w:tcMar>
            <w:vAlign w:val="center"/>
          </w:tcPr>
          <w:p w14:paraId="05A937E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2"/>
                <w:sz w:val="24"/>
                <w:szCs w:val="24"/>
                <w:lang w:val="en-US" w:eastAsia="zh-CN" w:bidi="ar-SA"/>
              </w:rPr>
            </w:pPr>
          </w:p>
        </w:tc>
        <w:tc>
          <w:tcPr>
            <w:tcW w:w="1328" w:type="dxa"/>
            <w:vMerge w:val="continue"/>
            <w:noWrap w:val="0"/>
            <w:tcMar>
              <w:top w:w="15" w:type="dxa"/>
              <w:left w:w="15" w:type="dxa"/>
              <w:right w:w="15" w:type="dxa"/>
            </w:tcMar>
            <w:vAlign w:val="center"/>
          </w:tcPr>
          <w:p w14:paraId="6B492A4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2"/>
                <w:sz w:val="24"/>
                <w:szCs w:val="24"/>
                <w:lang w:val="en-US" w:eastAsia="zh-CN" w:bidi="ar-SA"/>
              </w:rPr>
            </w:pPr>
          </w:p>
        </w:tc>
        <w:tc>
          <w:tcPr>
            <w:tcW w:w="7799" w:type="dxa"/>
            <w:noWrap w:val="0"/>
            <w:tcMar>
              <w:top w:w="15" w:type="dxa"/>
              <w:left w:w="15" w:type="dxa"/>
              <w:right w:w="15" w:type="dxa"/>
            </w:tcMar>
            <w:vAlign w:val="center"/>
          </w:tcPr>
          <w:p w14:paraId="6E56CCC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在建设项目环境影响评价中开展碳排放评价，鼓励对甲烷、氧化亚氮等非二氧化碳温室气体开展核算评价，控制新建项目温室气体排放水平。</w:t>
            </w:r>
          </w:p>
        </w:tc>
        <w:tc>
          <w:tcPr>
            <w:tcW w:w="1365" w:type="dxa"/>
            <w:noWrap w:val="0"/>
            <w:tcMar>
              <w:top w:w="15" w:type="dxa"/>
              <w:left w:w="15" w:type="dxa"/>
              <w:right w:w="15" w:type="dxa"/>
            </w:tcMar>
            <w:vAlign w:val="center"/>
          </w:tcPr>
          <w:p w14:paraId="113F082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6CD9686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val="en-US" w:eastAsia="zh-CN" w:bidi="ar"/>
              </w:rPr>
              <w:t>区生态环境局</w:t>
            </w:r>
          </w:p>
        </w:tc>
        <w:tc>
          <w:tcPr>
            <w:tcW w:w="1749" w:type="dxa"/>
            <w:noWrap w:val="0"/>
            <w:tcMar>
              <w:top w:w="15" w:type="dxa"/>
              <w:left w:w="15" w:type="dxa"/>
              <w:right w:w="15" w:type="dxa"/>
            </w:tcMar>
            <w:vAlign w:val="center"/>
          </w:tcPr>
          <w:p w14:paraId="4494176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r>
      <w:tr w14:paraId="5BEA5B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638" w:type="dxa"/>
            <w:noWrap w:val="0"/>
            <w:tcMar>
              <w:top w:w="15" w:type="dxa"/>
              <w:left w:w="15" w:type="dxa"/>
              <w:right w:w="15" w:type="dxa"/>
            </w:tcMar>
            <w:vAlign w:val="center"/>
          </w:tcPr>
          <w:p w14:paraId="6CE113A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3</w:t>
            </w:r>
          </w:p>
        </w:tc>
        <w:tc>
          <w:tcPr>
            <w:tcW w:w="1328" w:type="dxa"/>
            <w:noWrap w:val="0"/>
            <w:tcMar>
              <w:top w:w="15" w:type="dxa"/>
              <w:left w:w="15" w:type="dxa"/>
              <w:right w:w="15" w:type="dxa"/>
            </w:tcMar>
            <w:vAlign w:val="center"/>
          </w:tcPr>
          <w:p w14:paraId="0EB2B43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完善碳排放权交易体系</w:t>
            </w:r>
          </w:p>
        </w:tc>
        <w:tc>
          <w:tcPr>
            <w:tcW w:w="7799" w:type="dxa"/>
            <w:noWrap w:val="0"/>
            <w:tcMar>
              <w:top w:w="15" w:type="dxa"/>
              <w:left w:w="15" w:type="dxa"/>
              <w:right w:w="15" w:type="dxa"/>
            </w:tcMar>
            <w:vAlign w:val="center"/>
          </w:tcPr>
          <w:p w14:paraId="7D9F439A">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组织</w:t>
            </w:r>
            <w:r>
              <w:rPr>
                <w:rFonts w:hint="eastAsia" w:ascii="仿宋_GB2312" w:hAnsi="仿宋_GB2312" w:eastAsia="仿宋_GB2312" w:cs="仿宋_GB2312"/>
                <w:color w:val="000000"/>
                <w:kern w:val="0"/>
                <w:sz w:val="24"/>
                <w:szCs w:val="24"/>
                <w:lang w:bidi="ar"/>
              </w:rPr>
              <w:t>重点碳排放单位和一般报告单位</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完成碳排放配额发放和清缴</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鼓励重点排放单位主动披露碳排放信息。</w:t>
            </w:r>
          </w:p>
        </w:tc>
        <w:tc>
          <w:tcPr>
            <w:tcW w:w="1365" w:type="dxa"/>
            <w:noWrap w:val="0"/>
            <w:tcMar>
              <w:top w:w="15" w:type="dxa"/>
              <w:left w:w="15" w:type="dxa"/>
              <w:right w:w="15" w:type="dxa"/>
            </w:tcMar>
            <w:vAlign w:val="center"/>
          </w:tcPr>
          <w:p w14:paraId="3B0228E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609C33D3">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区生态环境局</w:t>
            </w:r>
          </w:p>
        </w:tc>
        <w:tc>
          <w:tcPr>
            <w:tcW w:w="1749" w:type="dxa"/>
            <w:noWrap w:val="0"/>
            <w:tcMar>
              <w:top w:w="15" w:type="dxa"/>
              <w:left w:w="15" w:type="dxa"/>
              <w:right w:w="15" w:type="dxa"/>
            </w:tcMar>
            <w:vAlign w:val="center"/>
          </w:tcPr>
          <w:p w14:paraId="1AB0943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p>
          <w:p w14:paraId="2403D1D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r>
      <w:tr w14:paraId="35645B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5" w:hRule="atLeast"/>
        </w:trPr>
        <w:tc>
          <w:tcPr>
            <w:tcW w:w="638" w:type="dxa"/>
            <w:noWrap w:val="0"/>
            <w:tcMar>
              <w:top w:w="15" w:type="dxa"/>
              <w:left w:w="15" w:type="dxa"/>
              <w:right w:w="15" w:type="dxa"/>
            </w:tcMar>
            <w:vAlign w:val="center"/>
          </w:tcPr>
          <w:p w14:paraId="2813C8C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4</w:t>
            </w:r>
          </w:p>
        </w:tc>
        <w:tc>
          <w:tcPr>
            <w:tcW w:w="1328" w:type="dxa"/>
            <w:noWrap w:val="0"/>
            <w:tcMar>
              <w:top w:w="15" w:type="dxa"/>
              <w:left w:w="15" w:type="dxa"/>
              <w:right w:w="15" w:type="dxa"/>
            </w:tcMar>
            <w:vAlign w:val="center"/>
          </w:tcPr>
          <w:p w14:paraId="39F3F9D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开展</w:t>
            </w:r>
            <w:r>
              <w:rPr>
                <w:rFonts w:hint="eastAsia" w:ascii="仿宋_GB2312" w:hAnsi="仿宋_GB2312" w:eastAsia="仿宋_GB2312" w:cs="仿宋_GB2312"/>
                <w:color w:val="000000"/>
                <w:kern w:val="0"/>
                <w:sz w:val="24"/>
                <w:szCs w:val="24"/>
                <w:lang w:val="en-US" w:eastAsia="zh-CN" w:bidi="ar"/>
              </w:rPr>
              <w:t>优秀</w:t>
            </w:r>
            <w:r>
              <w:rPr>
                <w:rFonts w:hint="eastAsia" w:ascii="仿宋_GB2312" w:hAnsi="仿宋_GB2312" w:eastAsia="仿宋_GB2312" w:cs="仿宋_GB2312"/>
                <w:color w:val="000000"/>
                <w:kern w:val="0"/>
                <w:sz w:val="24"/>
                <w:szCs w:val="24"/>
                <w:lang w:bidi="ar"/>
              </w:rPr>
              <w:t>低碳</w:t>
            </w:r>
            <w:r>
              <w:rPr>
                <w:rFonts w:hint="eastAsia" w:ascii="仿宋_GB2312" w:hAnsi="仿宋_GB2312" w:eastAsia="仿宋_GB2312" w:cs="仿宋_GB2312"/>
                <w:color w:val="000000"/>
                <w:kern w:val="0"/>
                <w:sz w:val="24"/>
                <w:szCs w:val="24"/>
                <w:lang w:eastAsia="zh-CN" w:bidi="ar"/>
              </w:rPr>
              <w:t>项目征集</w:t>
            </w:r>
            <w:r>
              <w:rPr>
                <w:rFonts w:hint="eastAsia" w:ascii="仿宋_GB2312" w:hAnsi="仿宋_GB2312" w:eastAsia="仿宋_GB2312" w:cs="仿宋_GB2312"/>
                <w:color w:val="000000"/>
                <w:kern w:val="0"/>
                <w:sz w:val="24"/>
                <w:szCs w:val="24"/>
                <w:lang w:bidi="ar"/>
              </w:rPr>
              <w:t>推广</w:t>
            </w:r>
          </w:p>
        </w:tc>
        <w:tc>
          <w:tcPr>
            <w:tcW w:w="7799" w:type="dxa"/>
            <w:noWrap w:val="0"/>
            <w:tcMar>
              <w:top w:w="15" w:type="dxa"/>
              <w:left w:w="15" w:type="dxa"/>
              <w:right w:w="15" w:type="dxa"/>
            </w:tcMar>
            <w:vAlign w:val="center"/>
          </w:tcPr>
          <w:p w14:paraId="005258B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持续征集推广先进低碳技术应用项目，加大储能、绿电、碳捕集及利用等低碳技术开发</w:t>
            </w:r>
            <w:r>
              <w:rPr>
                <w:rFonts w:hint="eastAsia" w:ascii="仿宋_GB2312" w:hAnsi="仿宋_GB2312" w:eastAsia="仿宋_GB2312" w:cs="仿宋_GB2312"/>
                <w:color w:val="000000"/>
                <w:kern w:val="0"/>
                <w:sz w:val="24"/>
                <w:szCs w:val="24"/>
                <w:lang w:val="en-US" w:eastAsia="zh-CN" w:bidi="ar"/>
              </w:rPr>
              <w:t>应用</w:t>
            </w:r>
            <w:r>
              <w:rPr>
                <w:rFonts w:hint="eastAsia" w:ascii="仿宋_GB2312" w:hAnsi="仿宋_GB2312" w:eastAsia="仿宋_GB2312" w:cs="仿宋_GB2312"/>
                <w:color w:val="000000"/>
                <w:kern w:val="0"/>
                <w:sz w:val="24"/>
                <w:szCs w:val="24"/>
                <w:lang w:bidi="ar"/>
              </w:rPr>
              <w:t>；持续打造一批低碳领跑者、气候友好型区域，引领绿色低碳发展方式转型。</w:t>
            </w:r>
          </w:p>
        </w:tc>
        <w:tc>
          <w:tcPr>
            <w:tcW w:w="1365" w:type="dxa"/>
            <w:noWrap w:val="0"/>
            <w:tcMar>
              <w:top w:w="15" w:type="dxa"/>
              <w:left w:w="15" w:type="dxa"/>
              <w:right w:w="15" w:type="dxa"/>
            </w:tcMar>
            <w:vAlign w:val="center"/>
          </w:tcPr>
          <w:p w14:paraId="0CEAFEC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4A0B1D3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生态环境局</w:t>
            </w:r>
          </w:p>
        </w:tc>
        <w:tc>
          <w:tcPr>
            <w:tcW w:w="1749" w:type="dxa"/>
            <w:noWrap w:val="0"/>
            <w:tcMar>
              <w:top w:w="15" w:type="dxa"/>
              <w:left w:w="15" w:type="dxa"/>
              <w:right w:w="15" w:type="dxa"/>
            </w:tcMar>
            <w:vAlign w:val="center"/>
          </w:tcPr>
          <w:p w14:paraId="2C070B5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区经信局</w:t>
            </w:r>
          </w:p>
          <w:p w14:paraId="3EB840D1">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区发改委</w:t>
            </w:r>
          </w:p>
          <w:p w14:paraId="29D04D60">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区规自分局</w:t>
            </w:r>
          </w:p>
          <w:p w14:paraId="2716B221">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区城管委</w:t>
            </w:r>
          </w:p>
          <w:p w14:paraId="22E58B4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各镇街</w:t>
            </w:r>
          </w:p>
        </w:tc>
      </w:tr>
      <w:tr w14:paraId="388D1B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4604" w:type="dxa"/>
            <w:gridSpan w:val="6"/>
            <w:noWrap w:val="0"/>
            <w:tcMar>
              <w:top w:w="15" w:type="dxa"/>
              <w:left w:w="15" w:type="dxa"/>
              <w:right w:w="15" w:type="dxa"/>
            </w:tcMar>
            <w:vAlign w:val="center"/>
          </w:tcPr>
          <w:p w14:paraId="05471C4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宋体" w:hAnsi="宋体" w:eastAsia="宋体" w:cs="宋体"/>
                <w:color w:val="000000"/>
                <w:sz w:val="21"/>
                <w:szCs w:val="21"/>
              </w:rPr>
            </w:pPr>
            <w:r>
              <w:rPr>
                <w:rFonts w:hint="eastAsia" w:ascii="黑体" w:hAnsi="黑体" w:eastAsia="黑体" w:cs="黑体"/>
                <w:color w:val="000000"/>
                <w:kern w:val="0"/>
                <w:sz w:val="24"/>
                <w:szCs w:val="24"/>
                <w:lang w:eastAsia="zh-CN" w:bidi="ar"/>
              </w:rPr>
              <w:t>（三）</w:t>
            </w:r>
            <w:r>
              <w:rPr>
                <w:rFonts w:hint="eastAsia" w:ascii="黑体" w:hAnsi="黑体" w:eastAsia="黑体" w:cs="黑体"/>
                <w:color w:val="000000"/>
                <w:kern w:val="0"/>
                <w:sz w:val="24"/>
                <w:szCs w:val="24"/>
                <w:lang w:bidi="ar"/>
              </w:rPr>
              <w:t>深入推进重点领域温室气体排放控制</w:t>
            </w:r>
          </w:p>
        </w:tc>
      </w:tr>
      <w:tr w14:paraId="040A63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638" w:type="dxa"/>
            <w:vMerge w:val="restart"/>
            <w:noWrap w:val="0"/>
            <w:tcMar>
              <w:top w:w="15" w:type="dxa"/>
              <w:left w:w="15" w:type="dxa"/>
              <w:right w:w="15" w:type="dxa"/>
            </w:tcMar>
            <w:vAlign w:val="center"/>
          </w:tcPr>
          <w:p w14:paraId="5344D6E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5</w:t>
            </w:r>
          </w:p>
        </w:tc>
        <w:tc>
          <w:tcPr>
            <w:tcW w:w="1328" w:type="dxa"/>
            <w:vMerge w:val="restart"/>
            <w:noWrap w:val="0"/>
            <w:tcMar>
              <w:top w:w="15" w:type="dxa"/>
              <w:left w:w="15" w:type="dxa"/>
              <w:right w:w="15" w:type="dxa"/>
            </w:tcMar>
            <w:vAlign w:val="center"/>
          </w:tcPr>
          <w:p w14:paraId="304347C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推进能源</w:t>
            </w:r>
            <w:r>
              <w:rPr>
                <w:rFonts w:hint="eastAsia" w:ascii="仿宋_GB2312" w:hAnsi="仿宋_GB2312" w:eastAsia="仿宋_GB2312" w:cs="仿宋_GB2312"/>
                <w:color w:val="000000"/>
                <w:kern w:val="0"/>
                <w:sz w:val="24"/>
                <w:szCs w:val="24"/>
                <w:lang w:bidi="ar"/>
              </w:rPr>
              <w:br w:type="textWrapping"/>
            </w:r>
            <w:r>
              <w:rPr>
                <w:rFonts w:hint="eastAsia" w:ascii="仿宋_GB2312" w:hAnsi="仿宋_GB2312" w:eastAsia="仿宋_GB2312" w:cs="仿宋_GB2312"/>
                <w:color w:val="000000"/>
                <w:kern w:val="0"/>
                <w:sz w:val="24"/>
                <w:szCs w:val="24"/>
                <w:lang w:bidi="ar"/>
              </w:rPr>
              <w:t>低碳化</w:t>
            </w:r>
          </w:p>
          <w:p w14:paraId="01A1EF2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发展</w:t>
            </w:r>
          </w:p>
        </w:tc>
        <w:tc>
          <w:tcPr>
            <w:tcW w:w="7799" w:type="dxa"/>
            <w:noWrap w:val="0"/>
            <w:tcMar>
              <w:top w:w="15" w:type="dxa"/>
              <w:left w:w="15" w:type="dxa"/>
              <w:right w:w="15" w:type="dxa"/>
            </w:tcMar>
            <w:vAlign w:val="center"/>
          </w:tcPr>
          <w:p w14:paraId="117D6F5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大力开展能源节约和能效提升</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严控化石能源消费总量</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highlight w:val="none"/>
                <w:lang w:bidi="ar"/>
              </w:rPr>
              <w:t>天然气消费量控制</w:t>
            </w:r>
            <w:r>
              <w:rPr>
                <w:rFonts w:hint="eastAsia" w:ascii="仿宋_GB2312" w:hAnsi="仿宋_GB2312" w:eastAsia="仿宋_GB2312" w:cs="仿宋_GB2312"/>
                <w:color w:val="000000"/>
                <w:kern w:val="0"/>
                <w:sz w:val="24"/>
                <w:szCs w:val="24"/>
                <w:highlight w:val="none"/>
                <w:lang w:eastAsia="zh-CN" w:bidi="ar"/>
              </w:rPr>
              <w:t>达到市级要求</w:t>
            </w:r>
            <w:r>
              <w:rPr>
                <w:rFonts w:hint="eastAsia" w:ascii="仿宋_GB2312" w:hAnsi="仿宋_GB2312" w:eastAsia="仿宋_GB2312" w:cs="仿宋_GB2312"/>
                <w:color w:val="000000"/>
                <w:kern w:val="0"/>
                <w:sz w:val="24"/>
                <w:szCs w:val="24"/>
                <w:lang w:bidi="ar"/>
              </w:rPr>
              <w:t>。</w:t>
            </w:r>
          </w:p>
        </w:tc>
        <w:tc>
          <w:tcPr>
            <w:tcW w:w="1365" w:type="dxa"/>
            <w:noWrap w:val="0"/>
            <w:tcMar>
              <w:top w:w="15" w:type="dxa"/>
              <w:left w:w="15" w:type="dxa"/>
              <w:right w:w="15" w:type="dxa"/>
            </w:tcMar>
            <w:vAlign w:val="center"/>
          </w:tcPr>
          <w:p w14:paraId="12913D7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61D7C6E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区发改委</w:t>
            </w:r>
          </w:p>
          <w:p w14:paraId="3937075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区城管委</w:t>
            </w:r>
          </w:p>
        </w:tc>
        <w:tc>
          <w:tcPr>
            <w:tcW w:w="1749" w:type="dxa"/>
            <w:noWrap w:val="0"/>
            <w:tcMar>
              <w:top w:w="15" w:type="dxa"/>
              <w:left w:w="15" w:type="dxa"/>
              <w:right w:w="15" w:type="dxa"/>
            </w:tcMar>
            <w:vAlign w:val="center"/>
          </w:tcPr>
          <w:p w14:paraId="7656FE3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0E806D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 w:hRule="atLeast"/>
        </w:trPr>
        <w:tc>
          <w:tcPr>
            <w:tcW w:w="638" w:type="dxa"/>
            <w:vMerge w:val="continue"/>
            <w:noWrap w:val="0"/>
            <w:tcMar>
              <w:top w:w="15" w:type="dxa"/>
              <w:left w:w="15" w:type="dxa"/>
              <w:right w:w="15" w:type="dxa"/>
            </w:tcMar>
            <w:vAlign w:val="center"/>
          </w:tcPr>
          <w:p w14:paraId="7AD901E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1328" w:type="dxa"/>
            <w:vMerge w:val="continue"/>
            <w:noWrap w:val="0"/>
            <w:tcMar>
              <w:top w:w="15" w:type="dxa"/>
              <w:left w:w="15" w:type="dxa"/>
              <w:right w:w="15" w:type="dxa"/>
            </w:tcMar>
            <w:vAlign w:val="center"/>
          </w:tcPr>
          <w:p w14:paraId="4F4879E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7799" w:type="dxa"/>
            <w:noWrap w:val="0"/>
            <w:tcMar>
              <w:top w:w="15" w:type="dxa"/>
              <w:left w:w="15" w:type="dxa"/>
              <w:right w:w="15" w:type="dxa"/>
            </w:tcMar>
            <w:vAlign w:val="center"/>
          </w:tcPr>
          <w:p w14:paraId="7D0EBA2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落实本市可再生能源替代方案</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新增能源消费优先由可再生能源提供</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可再生能源消费占比达到</w:t>
            </w:r>
            <w:r>
              <w:rPr>
                <w:rFonts w:hint="eastAsia" w:ascii="仿宋_GB2312" w:hAnsi="仿宋_GB2312" w:eastAsia="仿宋_GB2312" w:cs="仿宋_GB2312"/>
                <w:color w:val="000000"/>
                <w:kern w:val="0"/>
                <w:sz w:val="24"/>
                <w:szCs w:val="24"/>
                <w:lang w:val="en-US" w:eastAsia="zh-CN" w:bidi="ar"/>
              </w:rPr>
              <w:t>市级目标要求</w:t>
            </w:r>
            <w:r>
              <w:rPr>
                <w:rFonts w:hint="eastAsia" w:ascii="仿宋_GB2312" w:hAnsi="仿宋_GB2312" w:eastAsia="仿宋_GB2312" w:cs="仿宋_GB2312"/>
                <w:color w:val="000000"/>
                <w:kern w:val="0"/>
                <w:sz w:val="24"/>
                <w:szCs w:val="24"/>
                <w:lang w:bidi="ar"/>
              </w:rPr>
              <w:t>。</w:t>
            </w:r>
          </w:p>
        </w:tc>
        <w:tc>
          <w:tcPr>
            <w:tcW w:w="1365" w:type="dxa"/>
            <w:noWrap w:val="0"/>
            <w:tcMar>
              <w:top w:w="15" w:type="dxa"/>
              <w:left w:w="15" w:type="dxa"/>
              <w:right w:w="15" w:type="dxa"/>
            </w:tcMar>
            <w:vAlign w:val="center"/>
          </w:tcPr>
          <w:p w14:paraId="6D808DC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149A7EE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区发改委</w:t>
            </w:r>
          </w:p>
        </w:tc>
        <w:tc>
          <w:tcPr>
            <w:tcW w:w="1749" w:type="dxa"/>
            <w:noWrap w:val="0"/>
            <w:tcMar>
              <w:top w:w="15" w:type="dxa"/>
              <w:left w:w="15" w:type="dxa"/>
              <w:right w:w="15" w:type="dxa"/>
            </w:tcMar>
            <w:vAlign w:val="center"/>
          </w:tcPr>
          <w:p w14:paraId="42F68BE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19543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638" w:type="dxa"/>
            <w:vMerge w:val="continue"/>
            <w:noWrap w:val="0"/>
            <w:tcMar>
              <w:top w:w="15" w:type="dxa"/>
              <w:left w:w="15" w:type="dxa"/>
              <w:right w:w="15" w:type="dxa"/>
            </w:tcMar>
            <w:vAlign w:val="center"/>
          </w:tcPr>
          <w:p w14:paraId="19448E1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1328" w:type="dxa"/>
            <w:vMerge w:val="continue"/>
            <w:noWrap w:val="0"/>
            <w:tcMar>
              <w:top w:w="15" w:type="dxa"/>
              <w:left w:w="15" w:type="dxa"/>
              <w:right w:w="15" w:type="dxa"/>
            </w:tcMar>
            <w:vAlign w:val="center"/>
          </w:tcPr>
          <w:p w14:paraId="4EB480F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7799" w:type="dxa"/>
            <w:noWrap w:val="0"/>
            <w:tcMar>
              <w:top w:w="15" w:type="dxa"/>
              <w:left w:w="15" w:type="dxa"/>
              <w:right w:w="15" w:type="dxa"/>
            </w:tcMar>
            <w:vAlign w:val="center"/>
          </w:tcPr>
          <w:p w14:paraId="285A848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highlight w:val="none"/>
                <w:lang w:bidi="ar"/>
              </w:rPr>
              <w:t>大力发展本地光伏、</w:t>
            </w:r>
            <w:r>
              <w:rPr>
                <w:rFonts w:hint="eastAsia" w:ascii="仿宋_GB2312" w:hAnsi="仿宋_GB2312" w:eastAsia="仿宋_GB2312" w:cs="仿宋_GB2312"/>
                <w:color w:val="000000"/>
                <w:kern w:val="0"/>
                <w:sz w:val="24"/>
                <w:szCs w:val="24"/>
                <w:highlight w:val="none"/>
                <w:lang w:val="en-US" w:eastAsia="zh-CN" w:bidi="ar"/>
              </w:rPr>
              <w:t>水能等可再生能源</w:t>
            </w:r>
            <w:r>
              <w:rPr>
                <w:rFonts w:hint="eastAsia" w:ascii="仿宋_GB2312" w:hAnsi="仿宋_GB2312" w:eastAsia="仿宋_GB2312" w:cs="仿宋_GB2312"/>
                <w:color w:val="000000"/>
                <w:kern w:val="0"/>
                <w:sz w:val="24"/>
                <w:szCs w:val="24"/>
                <w:highlight w:val="none"/>
                <w:lang w:bidi="ar"/>
              </w:rPr>
              <w:t>，本地可再生能源发电装机容量达到</w:t>
            </w:r>
            <w:r>
              <w:rPr>
                <w:rFonts w:hint="eastAsia" w:ascii="仿宋_GB2312" w:hAnsi="仿宋_GB2312" w:eastAsia="仿宋_GB2312" w:cs="仿宋_GB2312"/>
                <w:color w:val="000000"/>
                <w:kern w:val="0"/>
                <w:sz w:val="24"/>
                <w:szCs w:val="24"/>
                <w:highlight w:val="none"/>
                <w:lang w:eastAsia="zh-CN" w:bidi="ar"/>
              </w:rPr>
              <w:t>市级要求</w:t>
            </w:r>
            <w:r>
              <w:rPr>
                <w:rFonts w:hint="eastAsia" w:ascii="仿宋_GB2312" w:hAnsi="仿宋_GB2312" w:eastAsia="仿宋_GB2312" w:cs="仿宋_GB2312"/>
                <w:color w:val="000000"/>
                <w:kern w:val="0"/>
                <w:sz w:val="24"/>
                <w:szCs w:val="24"/>
                <w:highlight w:val="none"/>
                <w:lang w:bidi="ar"/>
              </w:rPr>
              <w:t>。积极扩大绿色电力应用规模。</w:t>
            </w:r>
          </w:p>
        </w:tc>
        <w:tc>
          <w:tcPr>
            <w:tcW w:w="1365" w:type="dxa"/>
            <w:noWrap w:val="0"/>
            <w:tcMar>
              <w:top w:w="15" w:type="dxa"/>
              <w:left w:w="15" w:type="dxa"/>
              <w:right w:w="15" w:type="dxa"/>
            </w:tcMar>
            <w:vAlign w:val="center"/>
          </w:tcPr>
          <w:p w14:paraId="1F979CB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646CEBF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区发改委</w:t>
            </w:r>
          </w:p>
          <w:p w14:paraId="79335165">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区城管委</w:t>
            </w:r>
          </w:p>
          <w:p w14:paraId="61FA946A">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区生态环境局</w:t>
            </w:r>
          </w:p>
        </w:tc>
        <w:tc>
          <w:tcPr>
            <w:tcW w:w="1749" w:type="dxa"/>
            <w:noWrap w:val="0"/>
            <w:tcMar>
              <w:top w:w="15" w:type="dxa"/>
              <w:left w:w="15" w:type="dxa"/>
              <w:right w:w="15" w:type="dxa"/>
            </w:tcMar>
            <w:vAlign w:val="center"/>
          </w:tcPr>
          <w:p w14:paraId="7296CE23">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3D448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38" w:type="dxa"/>
            <w:vMerge w:val="restart"/>
            <w:noWrap w:val="0"/>
            <w:tcMar>
              <w:top w:w="15" w:type="dxa"/>
              <w:left w:w="15" w:type="dxa"/>
              <w:right w:w="15" w:type="dxa"/>
            </w:tcMar>
            <w:vAlign w:val="center"/>
          </w:tcPr>
          <w:p w14:paraId="0EDDFF0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6</w:t>
            </w:r>
          </w:p>
        </w:tc>
        <w:tc>
          <w:tcPr>
            <w:tcW w:w="1328" w:type="dxa"/>
            <w:vMerge w:val="restart"/>
            <w:noWrap w:val="0"/>
            <w:tcMar>
              <w:top w:w="15" w:type="dxa"/>
              <w:left w:w="15" w:type="dxa"/>
              <w:right w:w="15" w:type="dxa"/>
            </w:tcMar>
            <w:vAlign w:val="center"/>
          </w:tcPr>
          <w:p w14:paraId="28AC0BE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构建绿色低碳产业体系</w:t>
            </w:r>
          </w:p>
        </w:tc>
        <w:tc>
          <w:tcPr>
            <w:tcW w:w="7799" w:type="dxa"/>
            <w:noWrap w:val="0"/>
            <w:tcMar>
              <w:top w:w="15" w:type="dxa"/>
              <w:left w:w="15" w:type="dxa"/>
              <w:right w:w="15" w:type="dxa"/>
            </w:tcMar>
            <w:vAlign w:val="center"/>
          </w:tcPr>
          <w:p w14:paraId="2F984FCA">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b w:val="0"/>
                <w:bCs w:val="0"/>
                <w:sz w:val="24"/>
                <w:highlight w:val="none"/>
              </w:rPr>
            </w:pPr>
            <w:r>
              <w:rPr>
                <w:rFonts w:hint="eastAsia" w:ascii="仿宋_GB2312" w:hAnsi="仿宋_GB2312" w:eastAsia="仿宋_GB2312" w:cs="仿宋_GB2312"/>
                <w:b w:val="0"/>
                <w:bCs w:val="0"/>
                <w:sz w:val="24"/>
                <w:highlight w:val="none"/>
              </w:rPr>
              <w:t>大力发展循环经济，构建循环型产业体系。提升资源综合利用能力</w:t>
            </w:r>
            <w:r>
              <w:rPr>
                <w:rFonts w:hint="eastAsia" w:ascii="仿宋_GB2312" w:hAnsi="仿宋_GB2312" w:eastAsia="仿宋_GB2312" w:cs="仿宋_GB2312"/>
                <w:b w:val="0"/>
                <w:bCs w:val="0"/>
                <w:sz w:val="24"/>
                <w:highlight w:val="none"/>
                <w:lang w:eastAsia="zh-CN"/>
              </w:rPr>
              <w:t>，</w:t>
            </w:r>
            <w:r>
              <w:rPr>
                <w:rFonts w:hint="eastAsia" w:ascii="仿宋_GB2312" w:hAnsi="仿宋_GB2312" w:eastAsia="仿宋_GB2312" w:cs="仿宋_GB2312"/>
                <w:b w:val="0"/>
                <w:bCs w:val="0"/>
                <w:sz w:val="24"/>
                <w:highlight w:val="none"/>
              </w:rPr>
              <w:t>生活垃圾资源化利用率达80%以上。</w:t>
            </w:r>
          </w:p>
          <w:p w14:paraId="0A50A32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b w:val="0"/>
                <w:bCs w:val="0"/>
                <w:kern w:val="0"/>
                <w:sz w:val="24"/>
                <w:szCs w:val="24"/>
                <w:highlight w:val="none"/>
                <w:lang w:eastAsia="zh-CN" w:bidi="ar"/>
              </w:rPr>
              <w:t>积极开展零碳园区建设，推动产业园区低碳升级改造。</w:t>
            </w:r>
          </w:p>
        </w:tc>
        <w:tc>
          <w:tcPr>
            <w:tcW w:w="1365" w:type="dxa"/>
            <w:noWrap w:val="0"/>
            <w:tcMar>
              <w:top w:w="15" w:type="dxa"/>
              <w:left w:w="15" w:type="dxa"/>
              <w:right w:w="15" w:type="dxa"/>
            </w:tcMar>
            <w:vAlign w:val="center"/>
          </w:tcPr>
          <w:p w14:paraId="76145D5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年底前</w:t>
            </w:r>
          </w:p>
        </w:tc>
        <w:tc>
          <w:tcPr>
            <w:tcW w:w="1725" w:type="dxa"/>
            <w:noWrap w:val="0"/>
            <w:tcMar>
              <w:top w:w="15" w:type="dxa"/>
              <w:left w:w="15" w:type="dxa"/>
              <w:right w:w="15" w:type="dxa"/>
            </w:tcMar>
            <w:vAlign w:val="center"/>
          </w:tcPr>
          <w:p w14:paraId="1D61BFB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区城管委</w:t>
            </w:r>
          </w:p>
          <w:p w14:paraId="21F325DD">
            <w:pPr>
              <w:widowControl/>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区发改委</w:t>
            </w:r>
          </w:p>
        </w:tc>
        <w:tc>
          <w:tcPr>
            <w:tcW w:w="1749" w:type="dxa"/>
            <w:noWrap w:val="0"/>
            <w:tcMar>
              <w:top w:w="15" w:type="dxa"/>
              <w:left w:w="15" w:type="dxa"/>
              <w:right w:w="15" w:type="dxa"/>
            </w:tcMar>
            <w:vAlign w:val="center"/>
          </w:tcPr>
          <w:p w14:paraId="5A3DA84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7C61B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continue"/>
            <w:noWrap w:val="0"/>
            <w:tcMar>
              <w:top w:w="15" w:type="dxa"/>
              <w:left w:w="15" w:type="dxa"/>
              <w:right w:w="15" w:type="dxa"/>
            </w:tcMar>
            <w:vAlign w:val="center"/>
          </w:tcPr>
          <w:p w14:paraId="3B3D9EF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1328" w:type="dxa"/>
            <w:vMerge w:val="continue"/>
            <w:noWrap w:val="0"/>
            <w:tcMar>
              <w:top w:w="15" w:type="dxa"/>
              <w:left w:w="15" w:type="dxa"/>
              <w:right w:w="15" w:type="dxa"/>
            </w:tcMar>
            <w:vAlign w:val="center"/>
          </w:tcPr>
          <w:p w14:paraId="6746AFC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7799" w:type="dxa"/>
            <w:noWrap w:val="0"/>
            <w:tcMar>
              <w:top w:w="15" w:type="dxa"/>
              <w:left w:w="15" w:type="dxa"/>
              <w:right w:w="15" w:type="dxa"/>
            </w:tcMar>
            <w:vAlign w:val="center"/>
          </w:tcPr>
          <w:p w14:paraId="16F7B6A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严格落实</w:t>
            </w:r>
            <w:r>
              <w:rPr>
                <w:rFonts w:hint="eastAsia" w:ascii="仿宋_GB2312" w:hAnsi="仿宋_GB2312" w:eastAsia="仿宋_GB2312" w:cs="仿宋_GB2312"/>
                <w:color w:val="000000"/>
                <w:kern w:val="0"/>
                <w:sz w:val="24"/>
                <w:szCs w:val="24"/>
                <w:lang w:bidi="ar"/>
              </w:rPr>
              <w:t>新建</w:t>
            </w:r>
            <w:r>
              <w:rPr>
                <w:rFonts w:hint="eastAsia" w:ascii="仿宋_GB2312" w:hAnsi="仿宋_GB2312" w:eastAsia="仿宋_GB2312" w:cs="仿宋_GB2312"/>
                <w:color w:val="000000"/>
                <w:kern w:val="0"/>
                <w:sz w:val="24"/>
                <w:szCs w:val="24"/>
                <w:lang w:val="en-US" w:eastAsia="zh-CN" w:bidi="ar"/>
              </w:rPr>
              <w:t>数据</w:t>
            </w:r>
            <w:r>
              <w:rPr>
                <w:rFonts w:hint="eastAsia" w:ascii="仿宋_GB2312" w:hAnsi="仿宋_GB2312" w:eastAsia="仿宋_GB2312" w:cs="仿宋_GB2312"/>
                <w:color w:val="000000"/>
                <w:kern w:val="0"/>
                <w:sz w:val="24"/>
                <w:szCs w:val="24"/>
                <w:lang w:bidi="ar"/>
              </w:rPr>
              <w:t>中心能效标准，持续</w:t>
            </w:r>
            <w:r>
              <w:rPr>
                <w:rFonts w:hint="eastAsia" w:ascii="仿宋_GB2312" w:hAnsi="仿宋_GB2312" w:eastAsia="仿宋_GB2312" w:cs="仿宋_GB2312"/>
                <w:color w:val="000000"/>
                <w:kern w:val="0"/>
                <w:sz w:val="24"/>
                <w:szCs w:val="24"/>
                <w:lang w:val="en-US" w:eastAsia="zh-CN" w:bidi="ar"/>
              </w:rPr>
              <w:t>推动数据</w:t>
            </w:r>
            <w:r>
              <w:rPr>
                <w:rFonts w:hint="eastAsia" w:ascii="仿宋_GB2312" w:hAnsi="仿宋_GB2312" w:eastAsia="仿宋_GB2312" w:cs="仿宋_GB2312"/>
                <w:color w:val="000000"/>
                <w:kern w:val="0"/>
                <w:sz w:val="24"/>
                <w:szCs w:val="24"/>
                <w:lang w:bidi="ar"/>
              </w:rPr>
              <w:t>中心节能降碳改造。</w:t>
            </w:r>
            <w:r>
              <w:rPr>
                <w:rFonts w:hint="eastAsia" w:ascii="仿宋_GB2312" w:hAnsi="仿宋_GB2312" w:eastAsia="仿宋_GB2312" w:cs="仿宋_GB2312"/>
                <w:color w:val="000000"/>
                <w:kern w:val="0"/>
                <w:sz w:val="24"/>
                <w:szCs w:val="24"/>
                <w:lang w:val="en-US" w:eastAsia="zh-CN" w:bidi="ar"/>
              </w:rPr>
              <w:t>新建或改扩建数据中心绿电占比超过60%。</w:t>
            </w:r>
          </w:p>
        </w:tc>
        <w:tc>
          <w:tcPr>
            <w:tcW w:w="1365" w:type="dxa"/>
            <w:noWrap w:val="0"/>
            <w:tcMar>
              <w:top w:w="15" w:type="dxa"/>
              <w:left w:w="15" w:type="dxa"/>
              <w:right w:w="15" w:type="dxa"/>
            </w:tcMar>
            <w:vAlign w:val="center"/>
          </w:tcPr>
          <w:p w14:paraId="4DD0D13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1B0D2C1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区经信局</w:t>
            </w:r>
          </w:p>
          <w:p w14:paraId="20041929">
            <w:pPr>
              <w:widowControl/>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szCs w:val="24"/>
                <w:lang w:val="en-US" w:eastAsia="zh-CN" w:bidi="ar"/>
              </w:rPr>
              <w:t>区发改委</w:t>
            </w:r>
          </w:p>
        </w:tc>
        <w:tc>
          <w:tcPr>
            <w:tcW w:w="1749" w:type="dxa"/>
            <w:noWrap w:val="0"/>
            <w:tcMar>
              <w:top w:w="15" w:type="dxa"/>
              <w:left w:w="15" w:type="dxa"/>
              <w:right w:w="15" w:type="dxa"/>
            </w:tcMar>
            <w:vAlign w:val="center"/>
          </w:tcPr>
          <w:p w14:paraId="5D245C0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19DF0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restart"/>
            <w:noWrap w:val="0"/>
            <w:tcMar>
              <w:top w:w="15" w:type="dxa"/>
              <w:left w:w="15" w:type="dxa"/>
              <w:right w:w="15" w:type="dxa"/>
            </w:tcMar>
            <w:vAlign w:val="center"/>
          </w:tcPr>
          <w:p w14:paraId="47E49FE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7</w:t>
            </w:r>
          </w:p>
        </w:tc>
        <w:tc>
          <w:tcPr>
            <w:tcW w:w="1328" w:type="dxa"/>
            <w:vMerge w:val="restart"/>
            <w:noWrap w:val="0"/>
            <w:tcMar>
              <w:top w:w="15" w:type="dxa"/>
              <w:left w:w="15" w:type="dxa"/>
              <w:right w:w="15" w:type="dxa"/>
            </w:tcMar>
            <w:vAlign w:val="center"/>
          </w:tcPr>
          <w:p w14:paraId="5CEC304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推进建筑领域低碳化</w:t>
            </w:r>
          </w:p>
        </w:tc>
        <w:tc>
          <w:tcPr>
            <w:tcW w:w="7799" w:type="dxa"/>
            <w:noWrap w:val="0"/>
            <w:tcMar>
              <w:top w:w="15" w:type="dxa"/>
              <w:left w:w="15" w:type="dxa"/>
              <w:right w:w="15" w:type="dxa"/>
            </w:tcMar>
            <w:vAlign w:val="center"/>
          </w:tcPr>
          <w:p w14:paraId="660DA47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实施建筑全生命周期碳排放管控，推动建筑领域碳排放得到有效控制。</w:t>
            </w:r>
          </w:p>
        </w:tc>
        <w:tc>
          <w:tcPr>
            <w:tcW w:w="1365" w:type="dxa"/>
            <w:noWrap w:val="0"/>
            <w:tcMar>
              <w:top w:w="15" w:type="dxa"/>
              <w:left w:w="15" w:type="dxa"/>
              <w:right w:w="15" w:type="dxa"/>
            </w:tcMar>
            <w:vAlign w:val="center"/>
          </w:tcPr>
          <w:p w14:paraId="403CD3A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年底前</w:t>
            </w:r>
          </w:p>
        </w:tc>
        <w:tc>
          <w:tcPr>
            <w:tcW w:w="1725" w:type="dxa"/>
            <w:noWrap w:val="0"/>
            <w:tcMar>
              <w:top w:w="15" w:type="dxa"/>
              <w:left w:w="15" w:type="dxa"/>
              <w:right w:w="15" w:type="dxa"/>
            </w:tcMar>
            <w:vAlign w:val="center"/>
          </w:tcPr>
          <w:p w14:paraId="6BAFCF8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区住建委</w:t>
            </w:r>
          </w:p>
        </w:tc>
        <w:tc>
          <w:tcPr>
            <w:tcW w:w="1749" w:type="dxa"/>
            <w:noWrap w:val="0"/>
            <w:tcMar>
              <w:top w:w="15" w:type="dxa"/>
              <w:left w:w="15" w:type="dxa"/>
              <w:right w:w="15" w:type="dxa"/>
            </w:tcMar>
            <w:vAlign w:val="center"/>
          </w:tcPr>
          <w:p w14:paraId="24CDA32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bidi="ar"/>
              </w:rPr>
              <w:t>——</w:t>
            </w:r>
          </w:p>
        </w:tc>
      </w:tr>
      <w:tr w14:paraId="2638D4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3" w:hRule="atLeast"/>
        </w:trPr>
        <w:tc>
          <w:tcPr>
            <w:tcW w:w="638" w:type="dxa"/>
            <w:vMerge w:val="continue"/>
            <w:noWrap w:val="0"/>
            <w:tcMar>
              <w:top w:w="15" w:type="dxa"/>
              <w:left w:w="15" w:type="dxa"/>
              <w:right w:w="15" w:type="dxa"/>
            </w:tcMar>
            <w:vAlign w:val="center"/>
          </w:tcPr>
          <w:p w14:paraId="7EFF498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p>
        </w:tc>
        <w:tc>
          <w:tcPr>
            <w:tcW w:w="1328" w:type="dxa"/>
            <w:vMerge w:val="continue"/>
            <w:noWrap w:val="0"/>
            <w:tcMar>
              <w:top w:w="15" w:type="dxa"/>
              <w:left w:w="15" w:type="dxa"/>
              <w:right w:w="15" w:type="dxa"/>
            </w:tcMar>
            <w:vAlign w:val="center"/>
          </w:tcPr>
          <w:p w14:paraId="341D763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p>
        </w:tc>
        <w:tc>
          <w:tcPr>
            <w:tcW w:w="7799" w:type="dxa"/>
            <w:noWrap w:val="0"/>
            <w:tcMar>
              <w:top w:w="15" w:type="dxa"/>
              <w:left w:w="15" w:type="dxa"/>
              <w:right w:w="15" w:type="dxa"/>
            </w:tcMar>
            <w:vAlign w:val="center"/>
          </w:tcPr>
          <w:p w14:paraId="0552E52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提高城镇新建建筑中绿色建材应用比例，推动新建建筑执行绿色建筑星级标准，</w:t>
            </w:r>
            <w:r>
              <w:rPr>
                <w:rStyle w:val="13"/>
                <w:rFonts w:hint="eastAsia" w:ascii="仿宋_GB2312" w:hAnsi="仿宋_GB2312" w:eastAsia="仿宋_GB2312" w:cs="仿宋_GB2312"/>
                <w:color w:val="000000"/>
                <w:sz w:val="24"/>
                <w:szCs w:val="24"/>
                <w:highlight w:val="none"/>
                <w:lang w:eastAsia="zh-CN" w:bidi="ar"/>
              </w:rPr>
              <w:t>推进大型公共建筑能效分级，鼓励普通公共建筑参与能效分级，结合城市更新，持续推进公共建筑节能绿色化改造</w:t>
            </w:r>
            <w:r>
              <w:rPr>
                <w:rStyle w:val="13"/>
                <w:rFonts w:hint="eastAsia" w:ascii="仿宋_GB2312" w:hAnsi="仿宋_GB2312" w:eastAsia="仿宋_GB2312" w:cs="仿宋_GB2312"/>
                <w:color w:val="000000"/>
                <w:sz w:val="24"/>
                <w:szCs w:val="24"/>
                <w:highlight w:val="none"/>
                <w:lang w:bidi="ar"/>
              </w:rPr>
              <w:t>。</w:t>
            </w:r>
            <w:r>
              <w:rPr>
                <w:rStyle w:val="13"/>
                <w:rFonts w:hint="eastAsia" w:ascii="仿宋_GB2312" w:hAnsi="仿宋_GB2312" w:eastAsia="仿宋_GB2312" w:cs="仿宋_GB2312"/>
                <w:color w:val="000000"/>
                <w:sz w:val="24"/>
                <w:szCs w:val="24"/>
                <w:highlight w:val="none"/>
                <w:lang w:eastAsia="zh-CN" w:bidi="ar"/>
              </w:rPr>
              <w:t>全面推广装配式建筑。</w:t>
            </w:r>
            <w:r>
              <w:rPr>
                <w:rFonts w:hint="eastAsia" w:ascii="仿宋_GB2312" w:hAnsi="仿宋_GB2312" w:eastAsia="仿宋_GB2312" w:cs="仿宋_GB2312"/>
                <w:color w:val="000000"/>
                <w:kern w:val="0"/>
                <w:sz w:val="24"/>
                <w:szCs w:val="24"/>
                <w:highlight w:val="none"/>
                <w:lang w:bidi="ar"/>
              </w:rPr>
              <w:t>开展建筑用能电力替代行动，</w:t>
            </w:r>
            <w:r>
              <w:rPr>
                <w:rFonts w:hint="eastAsia" w:ascii="仿宋_GB2312" w:hAnsi="仿宋_GB2312" w:eastAsia="仿宋_GB2312" w:cs="仿宋_GB2312"/>
                <w:color w:val="000000"/>
                <w:kern w:val="0"/>
                <w:sz w:val="24"/>
                <w:szCs w:val="24"/>
                <w:highlight w:val="none"/>
                <w:lang w:eastAsia="zh-CN" w:bidi="ar"/>
              </w:rPr>
              <w:t>推进建筑光伏一体化建设</w:t>
            </w:r>
            <w:r>
              <w:rPr>
                <w:rFonts w:hint="eastAsia" w:ascii="仿宋_GB2312" w:hAnsi="仿宋_GB2312" w:eastAsia="仿宋_GB2312" w:cs="仿宋_GB2312"/>
                <w:color w:val="000000"/>
                <w:kern w:val="0"/>
                <w:sz w:val="24"/>
                <w:szCs w:val="24"/>
                <w:highlight w:val="none"/>
                <w:lang w:bidi="ar"/>
              </w:rPr>
              <w:t>。</w:t>
            </w:r>
          </w:p>
        </w:tc>
        <w:tc>
          <w:tcPr>
            <w:tcW w:w="1365" w:type="dxa"/>
            <w:noWrap w:val="0"/>
            <w:tcMar>
              <w:top w:w="15" w:type="dxa"/>
              <w:left w:w="15" w:type="dxa"/>
              <w:right w:w="15" w:type="dxa"/>
            </w:tcMar>
            <w:vAlign w:val="center"/>
          </w:tcPr>
          <w:p w14:paraId="7C7615A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年底前</w:t>
            </w:r>
          </w:p>
        </w:tc>
        <w:tc>
          <w:tcPr>
            <w:tcW w:w="1725" w:type="dxa"/>
            <w:noWrap w:val="0"/>
            <w:tcMar>
              <w:top w:w="15" w:type="dxa"/>
              <w:left w:w="15" w:type="dxa"/>
              <w:right w:w="15" w:type="dxa"/>
            </w:tcMar>
            <w:vAlign w:val="center"/>
          </w:tcPr>
          <w:p w14:paraId="1DD935C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区住建委</w:t>
            </w:r>
          </w:p>
          <w:p w14:paraId="1C77975F">
            <w:pPr>
              <w:pStyle w:val="4"/>
              <w:jc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区规自分局</w:t>
            </w:r>
          </w:p>
        </w:tc>
        <w:tc>
          <w:tcPr>
            <w:tcW w:w="1749" w:type="dxa"/>
            <w:noWrap w:val="0"/>
            <w:tcMar>
              <w:top w:w="15" w:type="dxa"/>
              <w:left w:w="15" w:type="dxa"/>
              <w:right w:w="15" w:type="dxa"/>
            </w:tcMar>
            <w:vAlign w:val="center"/>
          </w:tcPr>
          <w:p w14:paraId="2E661FA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59D2D7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8" w:hRule="atLeast"/>
        </w:trPr>
        <w:tc>
          <w:tcPr>
            <w:tcW w:w="638" w:type="dxa"/>
            <w:vMerge w:val="continue"/>
            <w:noWrap w:val="0"/>
            <w:tcMar>
              <w:top w:w="15" w:type="dxa"/>
              <w:left w:w="15" w:type="dxa"/>
              <w:right w:w="15" w:type="dxa"/>
            </w:tcMar>
            <w:vAlign w:val="center"/>
          </w:tcPr>
          <w:p w14:paraId="1452730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p>
        </w:tc>
        <w:tc>
          <w:tcPr>
            <w:tcW w:w="1328" w:type="dxa"/>
            <w:vMerge w:val="continue"/>
            <w:noWrap w:val="0"/>
            <w:tcMar>
              <w:top w:w="15" w:type="dxa"/>
              <w:left w:w="15" w:type="dxa"/>
              <w:right w:w="15" w:type="dxa"/>
            </w:tcMar>
            <w:vAlign w:val="center"/>
          </w:tcPr>
          <w:p w14:paraId="28B671C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p>
        </w:tc>
        <w:tc>
          <w:tcPr>
            <w:tcW w:w="7799" w:type="dxa"/>
            <w:noWrap w:val="0"/>
            <w:tcMar>
              <w:top w:w="15" w:type="dxa"/>
              <w:left w:w="15" w:type="dxa"/>
              <w:right w:w="15" w:type="dxa"/>
            </w:tcMar>
            <w:vAlign w:val="center"/>
          </w:tcPr>
          <w:p w14:paraId="7FE1558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Style w:val="14"/>
                <w:rFonts w:hint="eastAsia" w:ascii="仿宋_GB2312" w:hAnsi="仿宋_GB2312" w:eastAsia="仿宋_GB2312" w:cs="仿宋_GB2312"/>
                <w:sz w:val="24"/>
                <w:szCs w:val="24"/>
                <w:highlight w:val="none"/>
                <w:lang w:bidi="ar"/>
              </w:rPr>
            </w:pPr>
            <w:r>
              <w:rPr>
                <w:rFonts w:hint="eastAsia" w:ascii="仿宋_GB2312" w:hAnsi="仿宋_GB2312" w:eastAsia="仿宋_GB2312" w:cs="仿宋_GB2312"/>
                <w:color w:val="000000"/>
                <w:kern w:val="0"/>
                <w:sz w:val="24"/>
                <w:szCs w:val="24"/>
                <w:highlight w:val="none"/>
                <w:lang w:bidi="ar"/>
              </w:rPr>
              <w:t>推动供热系统绿色低碳转型，大力发展可再生能源供热</w:t>
            </w:r>
            <w:r>
              <w:rPr>
                <w:rFonts w:hint="eastAsia" w:ascii="仿宋_GB2312" w:hAnsi="仿宋_GB2312" w:eastAsia="仿宋_GB2312" w:cs="仿宋_GB2312"/>
                <w:color w:val="auto"/>
                <w:kern w:val="0"/>
                <w:sz w:val="24"/>
                <w:szCs w:val="24"/>
                <w:highlight w:val="none"/>
                <w:lang w:bidi="ar"/>
              </w:rPr>
              <w:t>，全</w:t>
            </w:r>
            <w:r>
              <w:rPr>
                <w:rFonts w:hint="eastAsia" w:ascii="仿宋_GB2312" w:hAnsi="仿宋_GB2312" w:eastAsia="仿宋_GB2312" w:cs="仿宋_GB2312"/>
                <w:color w:val="auto"/>
                <w:kern w:val="0"/>
                <w:sz w:val="24"/>
                <w:szCs w:val="24"/>
                <w:highlight w:val="none"/>
                <w:lang w:val="en-US" w:eastAsia="zh-CN" w:bidi="ar"/>
              </w:rPr>
              <w:t>区</w:t>
            </w:r>
            <w:r>
              <w:rPr>
                <w:rFonts w:hint="eastAsia" w:ascii="仿宋_GB2312" w:hAnsi="仿宋_GB2312" w:eastAsia="仿宋_GB2312" w:cs="仿宋_GB2312"/>
                <w:color w:val="auto"/>
                <w:kern w:val="0"/>
                <w:sz w:val="24"/>
                <w:szCs w:val="24"/>
                <w:highlight w:val="none"/>
                <w:lang w:bidi="ar"/>
              </w:rPr>
              <w:t>可再生能源供热面积占比达</w:t>
            </w:r>
            <w:r>
              <w:rPr>
                <w:rFonts w:hint="eastAsia" w:ascii="仿宋_GB2312" w:hAnsi="仿宋_GB2312" w:eastAsia="仿宋_GB2312" w:cs="仿宋_GB2312"/>
                <w:color w:val="auto"/>
                <w:kern w:val="0"/>
                <w:sz w:val="24"/>
                <w:szCs w:val="24"/>
                <w:highlight w:val="none"/>
                <w:lang w:val="en-US" w:eastAsia="zh-CN" w:bidi="ar"/>
              </w:rPr>
              <w:t>2</w:t>
            </w:r>
            <w:r>
              <w:rPr>
                <w:rFonts w:hint="eastAsia" w:ascii="仿宋_GB2312" w:hAnsi="仿宋_GB2312" w:eastAsia="仿宋_GB2312" w:cs="仿宋_GB2312"/>
                <w:color w:val="auto"/>
                <w:kern w:val="0"/>
                <w:sz w:val="24"/>
                <w:szCs w:val="24"/>
                <w:highlight w:val="none"/>
                <w:lang w:bidi="ar"/>
              </w:rPr>
              <w:t>%以上。</w:t>
            </w:r>
            <w:r>
              <w:rPr>
                <w:rFonts w:hint="eastAsia" w:ascii="仿宋_GB2312" w:hAnsi="仿宋_GB2312" w:eastAsia="仿宋_GB2312" w:cs="仿宋_GB2312"/>
                <w:color w:val="000000"/>
                <w:kern w:val="0"/>
                <w:sz w:val="24"/>
                <w:szCs w:val="24"/>
                <w:highlight w:val="none"/>
                <w:lang w:bidi="ar"/>
              </w:rPr>
              <w:t>鼓励再生水厂、污水处理厂周边地区</w:t>
            </w:r>
            <w:r>
              <w:rPr>
                <w:rFonts w:hint="eastAsia" w:ascii="仿宋_GB2312" w:hAnsi="仿宋_GB2312" w:eastAsia="仿宋_GB2312" w:cs="仿宋_GB2312"/>
                <w:color w:val="000000"/>
                <w:kern w:val="0"/>
                <w:sz w:val="24"/>
                <w:szCs w:val="24"/>
                <w:highlight w:val="none"/>
                <w:lang w:eastAsia="zh-CN" w:bidi="ar"/>
              </w:rPr>
              <w:t>，</w:t>
            </w:r>
            <w:r>
              <w:rPr>
                <w:rFonts w:hint="eastAsia" w:ascii="仿宋_GB2312" w:hAnsi="仿宋_GB2312" w:eastAsia="仿宋_GB2312" w:cs="仿宋_GB2312"/>
                <w:color w:val="000000"/>
                <w:kern w:val="0"/>
                <w:sz w:val="24"/>
                <w:szCs w:val="24"/>
                <w:highlight w:val="none"/>
                <w:lang w:bidi="ar"/>
              </w:rPr>
              <w:t>优先采用再生水</w:t>
            </w:r>
            <w:r>
              <w:rPr>
                <w:rFonts w:hint="eastAsia" w:ascii="仿宋_GB2312" w:hAnsi="仿宋_GB2312" w:eastAsia="仿宋_GB2312" w:cs="仿宋_GB2312"/>
                <w:color w:val="000000"/>
                <w:kern w:val="0"/>
                <w:sz w:val="24"/>
                <w:szCs w:val="24"/>
                <w:highlight w:val="none"/>
                <w:lang w:eastAsia="zh-CN" w:bidi="ar"/>
              </w:rPr>
              <w:t>（</w:t>
            </w:r>
            <w:r>
              <w:rPr>
                <w:rFonts w:hint="eastAsia" w:ascii="仿宋_GB2312" w:hAnsi="仿宋_GB2312" w:eastAsia="仿宋_GB2312" w:cs="仿宋_GB2312"/>
                <w:color w:val="000000"/>
                <w:kern w:val="0"/>
                <w:sz w:val="24"/>
                <w:szCs w:val="24"/>
                <w:highlight w:val="none"/>
                <w:lang w:bidi="ar"/>
              </w:rPr>
              <w:t>污水</w:t>
            </w:r>
            <w:r>
              <w:rPr>
                <w:rFonts w:hint="eastAsia" w:ascii="仿宋_GB2312" w:hAnsi="仿宋_GB2312" w:eastAsia="仿宋_GB2312" w:cs="仿宋_GB2312"/>
                <w:color w:val="000000"/>
                <w:kern w:val="0"/>
                <w:sz w:val="24"/>
                <w:szCs w:val="24"/>
                <w:highlight w:val="none"/>
                <w:lang w:eastAsia="zh-CN" w:bidi="ar"/>
              </w:rPr>
              <w:t>）</w:t>
            </w:r>
            <w:r>
              <w:rPr>
                <w:rFonts w:hint="eastAsia" w:ascii="仿宋_GB2312" w:hAnsi="仿宋_GB2312" w:eastAsia="仿宋_GB2312" w:cs="仿宋_GB2312"/>
                <w:color w:val="000000"/>
                <w:kern w:val="0"/>
                <w:sz w:val="24"/>
                <w:szCs w:val="24"/>
                <w:highlight w:val="none"/>
                <w:lang w:bidi="ar"/>
              </w:rPr>
              <w:t>热泵系统供暖。推动</w:t>
            </w:r>
            <w:r>
              <w:rPr>
                <w:rFonts w:hint="eastAsia" w:ascii="仿宋_GB2312" w:hAnsi="仿宋_GB2312" w:eastAsia="仿宋_GB2312" w:cs="仿宋_GB2312"/>
                <w:color w:val="000000"/>
                <w:kern w:val="0"/>
                <w:sz w:val="24"/>
                <w:szCs w:val="24"/>
                <w:highlight w:val="none"/>
                <w:lang w:val="en-US" w:eastAsia="zh-CN" w:bidi="ar"/>
              </w:rPr>
              <w:t>算力</w:t>
            </w:r>
            <w:r>
              <w:rPr>
                <w:rFonts w:hint="eastAsia" w:ascii="仿宋_GB2312" w:hAnsi="仿宋_GB2312" w:eastAsia="仿宋_GB2312" w:cs="仿宋_GB2312"/>
                <w:color w:val="000000"/>
                <w:kern w:val="0"/>
                <w:sz w:val="24"/>
                <w:szCs w:val="24"/>
                <w:highlight w:val="none"/>
                <w:lang w:bidi="ar"/>
              </w:rPr>
              <w:t>中心、垃圾焚烧厂等余热回收利用。</w:t>
            </w:r>
          </w:p>
        </w:tc>
        <w:tc>
          <w:tcPr>
            <w:tcW w:w="1365" w:type="dxa"/>
            <w:noWrap w:val="0"/>
            <w:tcMar>
              <w:top w:w="15" w:type="dxa"/>
              <w:left w:w="15" w:type="dxa"/>
              <w:right w:w="15" w:type="dxa"/>
            </w:tcMar>
            <w:vAlign w:val="center"/>
          </w:tcPr>
          <w:p w14:paraId="33CECFD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年底前</w:t>
            </w:r>
          </w:p>
        </w:tc>
        <w:tc>
          <w:tcPr>
            <w:tcW w:w="1725" w:type="dxa"/>
            <w:noWrap w:val="0"/>
            <w:tcMar>
              <w:top w:w="15" w:type="dxa"/>
              <w:left w:w="15" w:type="dxa"/>
              <w:right w:w="15" w:type="dxa"/>
            </w:tcMar>
            <w:vAlign w:val="center"/>
          </w:tcPr>
          <w:p w14:paraId="65DCD0FA">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b w:val="0"/>
                <w:bCs w:val="0"/>
                <w:sz w:val="24"/>
                <w:highlight w:val="none"/>
                <w:lang w:val="en-US" w:eastAsia="zh-CN"/>
              </w:rPr>
            </w:pPr>
            <w:r>
              <w:rPr>
                <w:rFonts w:hint="eastAsia" w:ascii="仿宋_GB2312" w:hAnsi="仿宋_GB2312" w:eastAsia="仿宋_GB2312" w:cs="仿宋_GB2312"/>
                <w:b w:val="0"/>
                <w:bCs w:val="0"/>
                <w:sz w:val="24"/>
                <w:highlight w:val="none"/>
                <w:lang w:val="en-US" w:eastAsia="zh-CN"/>
              </w:rPr>
              <w:t>区城管委</w:t>
            </w:r>
          </w:p>
          <w:p w14:paraId="7AA60B87">
            <w:pPr>
              <w:pStyle w:val="4"/>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b w:val="0"/>
                <w:bCs w:val="0"/>
                <w:sz w:val="24"/>
                <w:highlight w:val="none"/>
                <w:lang w:val="en-US" w:eastAsia="zh-CN"/>
              </w:rPr>
            </w:pPr>
            <w:r>
              <w:rPr>
                <w:rFonts w:hint="eastAsia" w:ascii="仿宋_GB2312" w:hAnsi="仿宋_GB2312" w:eastAsia="仿宋_GB2312" w:cs="仿宋_GB2312"/>
                <w:b w:val="0"/>
                <w:bCs w:val="0"/>
                <w:sz w:val="24"/>
                <w:highlight w:val="none"/>
                <w:lang w:val="en-US" w:eastAsia="zh-CN"/>
              </w:rPr>
              <w:t>区发改委</w:t>
            </w:r>
          </w:p>
          <w:p w14:paraId="18F55D37">
            <w:pPr>
              <w:jc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区水务局</w:t>
            </w:r>
          </w:p>
        </w:tc>
        <w:tc>
          <w:tcPr>
            <w:tcW w:w="1749" w:type="dxa"/>
            <w:noWrap w:val="0"/>
            <w:tcMar>
              <w:top w:w="15" w:type="dxa"/>
              <w:left w:w="15" w:type="dxa"/>
              <w:right w:w="15" w:type="dxa"/>
            </w:tcMar>
            <w:vAlign w:val="center"/>
          </w:tcPr>
          <w:p w14:paraId="18A5A7D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kern w:val="0"/>
                <w:sz w:val="24"/>
                <w:szCs w:val="24"/>
                <w:highlight w:val="none"/>
                <w:lang w:bidi="ar"/>
              </w:rPr>
              <w:t>——</w:t>
            </w:r>
          </w:p>
        </w:tc>
      </w:tr>
      <w:tr w14:paraId="059296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38" w:type="dxa"/>
            <w:noWrap w:val="0"/>
            <w:tcMar>
              <w:top w:w="15" w:type="dxa"/>
              <w:left w:w="15" w:type="dxa"/>
              <w:right w:w="15" w:type="dxa"/>
            </w:tcMar>
            <w:vAlign w:val="center"/>
          </w:tcPr>
          <w:p w14:paraId="589D4BD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8</w:t>
            </w:r>
          </w:p>
        </w:tc>
        <w:tc>
          <w:tcPr>
            <w:tcW w:w="1328" w:type="dxa"/>
            <w:noWrap w:val="0"/>
            <w:tcMar>
              <w:top w:w="15" w:type="dxa"/>
              <w:left w:w="15" w:type="dxa"/>
              <w:right w:w="15" w:type="dxa"/>
            </w:tcMar>
            <w:vAlign w:val="center"/>
          </w:tcPr>
          <w:p w14:paraId="549296D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加强城市绿色交通体系建设</w:t>
            </w:r>
          </w:p>
        </w:tc>
        <w:tc>
          <w:tcPr>
            <w:tcW w:w="7799" w:type="dxa"/>
            <w:noWrap w:val="0"/>
            <w:tcMar>
              <w:top w:w="15" w:type="dxa"/>
              <w:left w:w="15" w:type="dxa"/>
              <w:right w:w="15" w:type="dxa"/>
            </w:tcMar>
            <w:vAlign w:val="center"/>
          </w:tcPr>
          <w:p w14:paraId="26651C9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坚持慢行优先、公交优先、绿色优先。</w:t>
            </w:r>
          </w:p>
        </w:tc>
        <w:tc>
          <w:tcPr>
            <w:tcW w:w="1365" w:type="dxa"/>
            <w:noWrap w:val="0"/>
            <w:tcMar>
              <w:top w:w="15" w:type="dxa"/>
              <w:left w:w="15" w:type="dxa"/>
              <w:right w:w="15" w:type="dxa"/>
            </w:tcMar>
            <w:vAlign w:val="center"/>
          </w:tcPr>
          <w:p w14:paraId="21E499C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598727C0">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kern w:val="0"/>
                <w:sz w:val="24"/>
                <w:szCs w:val="24"/>
                <w:lang w:val="en-US" w:eastAsia="zh-CN" w:bidi="ar"/>
              </w:rPr>
              <w:t>区交通局</w:t>
            </w:r>
          </w:p>
        </w:tc>
        <w:tc>
          <w:tcPr>
            <w:tcW w:w="1749" w:type="dxa"/>
            <w:noWrap w:val="0"/>
            <w:tcMar>
              <w:top w:w="15" w:type="dxa"/>
              <w:left w:w="15" w:type="dxa"/>
              <w:right w:w="15" w:type="dxa"/>
            </w:tcMar>
            <w:vAlign w:val="center"/>
          </w:tcPr>
          <w:p w14:paraId="4B29DDA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6F9A46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638" w:type="dxa"/>
            <w:vMerge w:val="restart"/>
            <w:noWrap w:val="0"/>
            <w:tcMar>
              <w:top w:w="15" w:type="dxa"/>
              <w:left w:w="15" w:type="dxa"/>
              <w:right w:w="15" w:type="dxa"/>
            </w:tcMar>
            <w:vAlign w:val="center"/>
          </w:tcPr>
          <w:p w14:paraId="0BFF6E3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9</w:t>
            </w:r>
          </w:p>
        </w:tc>
        <w:tc>
          <w:tcPr>
            <w:tcW w:w="1328" w:type="dxa"/>
            <w:vMerge w:val="restart"/>
            <w:noWrap w:val="0"/>
            <w:tcMar>
              <w:top w:w="15" w:type="dxa"/>
              <w:left w:w="15" w:type="dxa"/>
              <w:right w:w="15" w:type="dxa"/>
            </w:tcMar>
            <w:vAlign w:val="center"/>
          </w:tcPr>
          <w:p w14:paraId="2C12C08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控制非二氧化碳温室气体排放</w:t>
            </w:r>
          </w:p>
        </w:tc>
        <w:tc>
          <w:tcPr>
            <w:tcW w:w="7799" w:type="dxa"/>
            <w:noWrap w:val="0"/>
            <w:tcMar>
              <w:top w:w="15" w:type="dxa"/>
              <w:left w:w="15" w:type="dxa"/>
              <w:right w:w="15" w:type="dxa"/>
            </w:tcMar>
            <w:vAlign w:val="center"/>
          </w:tcPr>
          <w:p w14:paraId="6E24F0D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严格控制废弃物处置、污水处理、农业、能源等领域甲烷排放</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kern w:val="0"/>
                <w:sz w:val="24"/>
                <w:szCs w:val="24"/>
                <w:lang w:bidi="ar"/>
              </w:rPr>
              <w:t>促进甲烷资源化利用。</w:t>
            </w:r>
          </w:p>
        </w:tc>
        <w:tc>
          <w:tcPr>
            <w:tcW w:w="1365" w:type="dxa"/>
            <w:noWrap w:val="0"/>
            <w:tcMar>
              <w:top w:w="15" w:type="dxa"/>
              <w:left w:w="15" w:type="dxa"/>
              <w:right w:w="15" w:type="dxa"/>
            </w:tcMar>
            <w:vAlign w:val="center"/>
          </w:tcPr>
          <w:p w14:paraId="4D56838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7F900CA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生态环境局</w:t>
            </w:r>
          </w:p>
        </w:tc>
        <w:tc>
          <w:tcPr>
            <w:tcW w:w="1749" w:type="dxa"/>
            <w:noWrap w:val="0"/>
            <w:tcMar>
              <w:top w:w="15" w:type="dxa"/>
              <w:left w:w="15" w:type="dxa"/>
              <w:right w:w="15" w:type="dxa"/>
            </w:tcMar>
            <w:vAlign w:val="center"/>
          </w:tcPr>
          <w:p w14:paraId="5866DE2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区城管委</w:t>
            </w:r>
          </w:p>
          <w:p w14:paraId="352ECB95">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区水务局</w:t>
            </w:r>
          </w:p>
          <w:p w14:paraId="3290444C">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区农业农村局</w:t>
            </w:r>
          </w:p>
        </w:tc>
      </w:tr>
      <w:tr w14:paraId="5C478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638" w:type="dxa"/>
            <w:vMerge w:val="continue"/>
            <w:noWrap w:val="0"/>
            <w:tcMar>
              <w:top w:w="15" w:type="dxa"/>
              <w:left w:w="15" w:type="dxa"/>
              <w:right w:w="15" w:type="dxa"/>
            </w:tcMar>
            <w:vAlign w:val="center"/>
          </w:tcPr>
          <w:p w14:paraId="6134382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p>
        </w:tc>
        <w:tc>
          <w:tcPr>
            <w:tcW w:w="1328" w:type="dxa"/>
            <w:vMerge w:val="continue"/>
            <w:noWrap w:val="0"/>
            <w:tcMar>
              <w:top w:w="15" w:type="dxa"/>
              <w:left w:w="15" w:type="dxa"/>
              <w:right w:w="15" w:type="dxa"/>
            </w:tcMar>
            <w:vAlign w:val="center"/>
          </w:tcPr>
          <w:p w14:paraId="5512B03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p>
        </w:tc>
        <w:tc>
          <w:tcPr>
            <w:tcW w:w="7799" w:type="dxa"/>
            <w:noWrap w:val="0"/>
            <w:tcMar>
              <w:top w:w="15" w:type="dxa"/>
              <w:left w:w="15" w:type="dxa"/>
              <w:right w:w="15" w:type="dxa"/>
            </w:tcMar>
            <w:vAlign w:val="center"/>
          </w:tcPr>
          <w:p w14:paraId="05A6C17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配合市级部门</w:t>
            </w:r>
            <w:r>
              <w:rPr>
                <w:rFonts w:hint="eastAsia" w:ascii="仿宋_GB2312" w:hAnsi="仿宋_GB2312" w:eastAsia="仿宋_GB2312" w:cs="仿宋_GB2312"/>
                <w:color w:val="000000"/>
                <w:kern w:val="0"/>
                <w:sz w:val="24"/>
                <w:szCs w:val="24"/>
                <w:lang w:bidi="ar"/>
              </w:rPr>
              <w:t>推动相关企业开展非二氧化碳温室气体数据管理及填报</w:t>
            </w:r>
            <w:r>
              <w:rPr>
                <w:rFonts w:hint="eastAsia" w:ascii="仿宋_GB2312" w:hAnsi="仿宋_GB2312" w:eastAsia="仿宋_GB2312" w:cs="仿宋_GB2312"/>
                <w:color w:val="000000"/>
                <w:kern w:val="0"/>
                <w:sz w:val="24"/>
                <w:szCs w:val="24"/>
                <w:lang w:val="en-US" w:eastAsia="zh-CN" w:bidi="ar"/>
              </w:rPr>
              <w:t>工</w:t>
            </w:r>
            <w:r>
              <w:rPr>
                <w:rFonts w:hint="eastAsia" w:ascii="仿宋_GB2312" w:hAnsi="仿宋_GB2312" w:eastAsia="仿宋_GB2312" w:cs="仿宋_GB2312"/>
                <w:color w:val="000000"/>
                <w:kern w:val="0"/>
                <w:sz w:val="24"/>
                <w:szCs w:val="24"/>
                <w:lang w:bidi="ar"/>
              </w:rPr>
              <w:t>作。</w:t>
            </w:r>
          </w:p>
        </w:tc>
        <w:tc>
          <w:tcPr>
            <w:tcW w:w="1365" w:type="dxa"/>
            <w:noWrap w:val="0"/>
            <w:tcMar>
              <w:top w:w="15" w:type="dxa"/>
              <w:left w:w="15" w:type="dxa"/>
              <w:right w:w="15" w:type="dxa"/>
            </w:tcMar>
            <w:vAlign w:val="center"/>
          </w:tcPr>
          <w:p w14:paraId="12588A8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730ACB3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sz w:val="24"/>
                <w:szCs w:val="24"/>
                <w:lang w:val="en-US" w:eastAsia="zh-CN"/>
              </w:rPr>
              <w:t>区生态环境局</w:t>
            </w:r>
          </w:p>
        </w:tc>
        <w:tc>
          <w:tcPr>
            <w:tcW w:w="1749" w:type="dxa"/>
            <w:noWrap w:val="0"/>
            <w:tcMar>
              <w:top w:w="15" w:type="dxa"/>
              <w:left w:w="15" w:type="dxa"/>
              <w:right w:w="15" w:type="dxa"/>
            </w:tcMar>
            <w:vAlign w:val="center"/>
          </w:tcPr>
          <w:p w14:paraId="7D59143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r>
      <w:tr w14:paraId="2A531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4604" w:type="dxa"/>
            <w:gridSpan w:val="6"/>
            <w:noWrap w:val="0"/>
            <w:tcMar>
              <w:top w:w="15" w:type="dxa"/>
              <w:left w:w="15" w:type="dxa"/>
              <w:right w:w="15" w:type="dxa"/>
            </w:tcMar>
            <w:vAlign w:val="center"/>
          </w:tcPr>
          <w:p w14:paraId="65C60FE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宋体" w:hAnsi="宋体" w:eastAsia="宋体" w:cs="宋体"/>
                <w:color w:val="000000"/>
                <w:kern w:val="0"/>
                <w:sz w:val="21"/>
                <w:szCs w:val="21"/>
                <w:lang w:bidi="ar"/>
              </w:rPr>
            </w:pPr>
            <w:r>
              <w:rPr>
                <w:rFonts w:hint="eastAsia" w:ascii="黑体" w:hAnsi="黑体" w:eastAsia="黑体" w:cs="黑体"/>
                <w:color w:val="000000"/>
                <w:kern w:val="0"/>
                <w:sz w:val="24"/>
                <w:szCs w:val="24"/>
                <w:lang w:eastAsia="zh-CN" w:bidi="ar"/>
              </w:rPr>
              <w:t>（四）</w:t>
            </w:r>
            <w:r>
              <w:rPr>
                <w:rFonts w:hint="eastAsia" w:ascii="黑体" w:hAnsi="黑体" w:eastAsia="黑体" w:cs="黑体"/>
                <w:color w:val="000000"/>
                <w:kern w:val="0"/>
                <w:sz w:val="24"/>
                <w:szCs w:val="24"/>
                <w:lang w:bidi="ar"/>
              </w:rPr>
              <w:t>加强城市气候适应性建设</w:t>
            </w:r>
          </w:p>
        </w:tc>
      </w:tr>
      <w:tr w14:paraId="03385B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38" w:type="dxa"/>
            <w:vMerge w:val="restart"/>
            <w:noWrap w:val="0"/>
            <w:tcMar>
              <w:top w:w="15" w:type="dxa"/>
              <w:left w:w="15" w:type="dxa"/>
              <w:right w:w="15" w:type="dxa"/>
            </w:tcMar>
            <w:vAlign w:val="center"/>
          </w:tcPr>
          <w:p w14:paraId="314F55D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kern w:val="0"/>
                <w:sz w:val="24"/>
                <w:szCs w:val="24"/>
                <w:lang w:val="en-US" w:eastAsia="zh-CN" w:bidi="ar"/>
              </w:rPr>
              <w:t>10</w:t>
            </w:r>
          </w:p>
        </w:tc>
        <w:tc>
          <w:tcPr>
            <w:tcW w:w="1328" w:type="dxa"/>
            <w:vMerge w:val="restart"/>
            <w:noWrap w:val="0"/>
            <w:tcMar>
              <w:top w:w="15" w:type="dxa"/>
              <w:left w:w="15" w:type="dxa"/>
              <w:right w:w="15" w:type="dxa"/>
            </w:tcMar>
            <w:vAlign w:val="center"/>
          </w:tcPr>
          <w:p w14:paraId="1F4C29E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深化适应气候变化基础能力建设</w:t>
            </w:r>
          </w:p>
        </w:tc>
        <w:tc>
          <w:tcPr>
            <w:tcW w:w="7799" w:type="dxa"/>
            <w:noWrap w:val="0"/>
            <w:tcMar>
              <w:top w:w="15" w:type="dxa"/>
              <w:left w:w="15" w:type="dxa"/>
              <w:right w:w="15" w:type="dxa"/>
            </w:tcMar>
            <w:vAlign w:val="center"/>
          </w:tcPr>
          <w:p w14:paraId="0F3A426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推动落实《北京市适应气候变化行动方案》《北京市气候变化健康适应行动实施方案</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val="en-US" w:eastAsia="zh-CN" w:bidi="ar"/>
              </w:rPr>
              <w:t>2025—2030年</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传播城市适应气候变化理念。</w:t>
            </w:r>
          </w:p>
        </w:tc>
        <w:tc>
          <w:tcPr>
            <w:tcW w:w="1365" w:type="dxa"/>
            <w:noWrap w:val="0"/>
            <w:tcMar>
              <w:top w:w="15" w:type="dxa"/>
              <w:left w:w="15" w:type="dxa"/>
              <w:right w:w="15" w:type="dxa"/>
            </w:tcMar>
            <w:vAlign w:val="center"/>
          </w:tcPr>
          <w:p w14:paraId="5F5E700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218C36E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生态环境局</w:t>
            </w:r>
            <w:r>
              <w:rPr>
                <w:rFonts w:hint="eastAsia" w:ascii="仿宋_GB2312" w:hAnsi="仿宋_GB2312" w:eastAsia="仿宋_GB2312" w:cs="仿宋_GB2312"/>
                <w:color w:val="000000"/>
                <w:kern w:val="0"/>
                <w:sz w:val="24"/>
                <w:szCs w:val="24"/>
                <w:lang w:bidi="ar"/>
              </w:rPr>
              <w:br w:type="textWrapping"/>
            </w: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卫健委</w:t>
            </w:r>
          </w:p>
        </w:tc>
        <w:tc>
          <w:tcPr>
            <w:tcW w:w="1749" w:type="dxa"/>
            <w:noWrap w:val="0"/>
            <w:tcMar>
              <w:top w:w="15" w:type="dxa"/>
              <w:left w:w="15" w:type="dxa"/>
              <w:right w:w="15" w:type="dxa"/>
            </w:tcMar>
            <w:vAlign w:val="center"/>
          </w:tcPr>
          <w:p w14:paraId="079548F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各镇街</w:t>
            </w:r>
          </w:p>
        </w:tc>
      </w:tr>
      <w:tr w14:paraId="6C597C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7" w:hRule="atLeast"/>
        </w:trPr>
        <w:tc>
          <w:tcPr>
            <w:tcW w:w="638" w:type="dxa"/>
            <w:vMerge w:val="continue"/>
            <w:noWrap w:val="0"/>
            <w:tcMar>
              <w:top w:w="15" w:type="dxa"/>
              <w:left w:w="15" w:type="dxa"/>
              <w:right w:w="15" w:type="dxa"/>
            </w:tcMar>
            <w:vAlign w:val="center"/>
          </w:tcPr>
          <w:p w14:paraId="6684FA2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p>
        </w:tc>
        <w:tc>
          <w:tcPr>
            <w:tcW w:w="1328" w:type="dxa"/>
            <w:vMerge w:val="continue"/>
            <w:noWrap w:val="0"/>
            <w:tcMar>
              <w:top w:w="15" w:type="dxa"/>
              <w:left w:w="15" w:type="dxa"/>
              <w:right w:w="15" w:type="dxa"/>
            </w:tcMar>
            <w:vAlign w:val="center"/>
          </w:tcPr>
          <w:p w14:paraId="4B8D479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p>
        </w:tc>
        <w:tc>
          <w:tcPr>
            <w:tcW w:w="7799" w:type="dxa"/>
            <w:noWrap w:val="0"/>
            <w:tcMar>
              <w:top w:w="15" w:type="dxa"/>
              <w:left w:w="15" w:type="dxa"/>
              <w:right w:w="15" w:type="dxa"/>
            </w:tcMar>
            <w:vAlign w:val="center"/>
          </w:tcPr>
          <w:p w14:paraId="6C0988C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bidi="ar"/>
              </w:rPr>
              <w:t>提升监测预警能力，健全气象监测和自然灾害预警系统，进一步提高短时临近气象预报精准度，加大重点区域的精准预测预警开展城市气候变化影响和风险评估工作</w:t>
            </w:r>
            <w:r>
              <w:rPr>
                <w:rFonts w:hint="eastAsia" w:ascii="仿宋_GB2312" w:hAnsi="仿宋_GB2312" w:eastAsia="仿宋_GB2312" w:cs="仿宋_GB2312"/>
                <w:color w:val="000000"/>
                <w:kern w:val="0"/>
                <w:sz w:val="24"/>
                <w:szCs w:val="24"/>
                <w:lang w:eastAsia="zh-CN" w:bidi="ar"/>
              </w:rPr>
              <w:t>。</w:t>
            </w:r>
          </w:p>
        </w:tc>
        <w:tc>
          <w:tcPr>
            <w:tcW w:w="1365" w:type="dxa"/>
            <w:noWrap w:val="0"/>
            <w:tcMar>
              <w:top w:w="15" w:type="dxa"/>
              <w:left w:w="15" w:type="dxa"/>
              <w:right w:w="15" w:type="dxa"/>
            </w:tcMar>
            <w:vAlign w:val="center"/>
          </w:tcPr>
          <w:p w14:paraId="3667A21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5BE324D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气象局</w:t>
            </w:r>
          </w:p>
          <w:p w14:paraId="456DE033">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生态环境局</w:t>
            </w:r>
          </w:p>
        </w:tc>
        <w:tc>
          <w:tcPr>
            <w:tcW w:w="1749" w:type="dxa"/>
            <w:noWrap w:val="0"/>
            <w:tcMar>
              <w:top w:w="15" w:type="dxa"/>
              <w:left w:w="15" w:type="dxa"/>
              <w:right w:w="15" w:type="dxa"/>
            </w:tcMar>
            <w:vAlign w:val="center"/>
          </w:tcPr>
          <w:p w14:paraId="6BCDD68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r>
      <w:tr w14:paraId="330EF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noWrap w:val="0"/>
            <w:tcMar>
              <w:top w:w="15" w:type="dxa"/>
              <w:left w:w="15" w:type="dxa"/>
              <w:right w:w="15" w:type="dxa"/>
            </w:tcMar>
            <w:vAlign w:val="center"/>
          </w:tcPr>
          <w:p w14:paraId="19A9461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kern w:val="0"/>
                <w:sz w:val="24"/>
                <w:szCs w:val="24"/>
                <w:lang w:val="en-US" w:eastAsia="zh-CN" w:bidi="ar"/>
              </w:rPr>
              <w:t>11</w:t>
            </w:r>
          </w:p>
        </w:tc>
        <w:tc>
          <w:tcPr>
            <w:tcW w:w="1328" w:type="dxa"/>
            <w:noWrap w:val="0"/>
            <w:tcMar>
              <w:top w:w="15" w:type="dxa"/>
              <w:left w:w="15" w:type="dxa"/>
              <w:right w:w="15" w:type="dxa"/>
            </w:tcMar>
            <w:vAlign w:val="center"/>
          </w:tcPr>
          <w:p w14:paraId="52D6604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强化重点领域气候韧性</w:t>
            </w:r>
          </w:p>
        </w:tc>
        <w:tc>
          <w:tcPr>
            <w:tcW w:w="7799" w:type="dxa"/>
            <w:noWrap w:val="0"/>
            <w:tcMar>
              <w:top w:w="15" w:type="dxa"/>
              <w:left w:w="15" w:type="dxa"/>
              <w:right w:w="15" w:type="dxa"/>
            </w:tcMar>
            <w:vAlign w:val="center"/>
          </w:tcPr>
          <w:p w14:paraId="6BD3525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将适应气候变化理念融入城市规划，在国土空间规划制定完善中充分考虑气候因素。</w:t>
            </w:r>
          </w:p>
          <w:p w14:paraId="5EAD34A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Style w:val="14"/>
                <w:rFonts w:hint="eastAsia" w:ascii="仿宋_GB2312" w:hAnsi="仿宋_GB2312" w:eastAsia="仿宋_GB2312" w:cs="仿宋_GB2312"/>
                <w:sz w:val="24"/>
                <w:szCs w:val="24"/>
                <w:lang w:bidi="ar"/>
              </w:rPr>
            </w:pPr>
            <w:r>
              <w:rPr>
                <w:rFonts w:hint="eastAsia" w:ascii="仿宋_GB2312" w:hAnsi="仿宋_GB2312" w:eastAsia="仿宋_GB2312" w:cs="仿宋_GB2312"/>
                <w:color w:val="000000"/>
                <w:kern w:val="0"/>
                <w:sz w:val="24"/>
                <w:szCs w:val="24"/>
                <w:lang w:bidi="ar"/>
              </w:rPr>
              <w:t>持续开展海绵城市建设</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建成区海绵城市达标面积比例达到</w:t>
            </w:r>
            <w:r>
              <w:rPr>
                <w:rStyle w:val="13"/>
                <w:rFonts w:hint="eastAsia" w:ascii="仿宋_GB2312" w:hAnsi="仿宋_GB2312" w:eastAsia="仿宋_GB2312" w:cs="仿宋_GB2312"/>
                <w:color w:val="000000"/>
                <w:sz w:val="24"/>
                <w:szCs w:val="24"/>
                <w:lang w:bidi="ar"/>
              </w:rPr>
              <w:t>4</w:t>
            </w:r>
            <w:r>
              <w:rPr>
                <w:rStyle w:val="13"/>
                <w:rFonts w:hint="eastAsia" w:ascii="仿宋_GB2312" w:hAnsi="仿宋_GB2312" w:eastAsia="仿宋_GB2312" w:cs="仿宋_GB2312"/>
                <w:color w:val="000000"/>
                <w:sz w:val="24"/>
                <w:szCs w:val="24"/>
                <w:lang w:val="en-US" w:eastAsia="zh-CN" w:bidi="ar"/>
              </w:rPr>
              <w:t>4</w:t>
            </w:r>
            <w:r>
              <w:rPr>
                <w:rStyle w:val="13"/>
                <w:rFonts w:hint="eastAsia" w:ascii="仿宋_GB2312" w:hAnsi="仿宋_GB2312" w:eastAsia="仿宋_GB2312" w:cs="仿宋_GB2312"/>
                <w:color w:val="000000"/>
                <w:sz w:val="24"/>
                <w:szCs w:val="24"/>
                <w:lang w:bidi="ar"/>
              </w:rPr>
              <w:t>%</w:t>
            </w:r>
            <w:r>
              <w:rPr>
                <w:rStyle w:val="14"/>
                <w:rFonts w:hint="eastAsia" w:ascii="仿宋_GB2312" w:hAnsi="仿宋_GB2312" w:eastAsia="仿宋_GB2312" w:cs="仿宋_GB2312"/>
                <w:sz w:val="24"/>
                <w:szCs w:val="24"/>
                <w:lang w:bidi="ar"/>
              </w:rPr>
              <w:t>。</w:t>
            </w:r>
          </w:p>
          <w:p w14:paraId="4788BD06">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强化应急预案和部门联动工作机制</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做好极端天气事件应对。</w:t>
            </w:r>
          </w:p>
          <w:p w14:paraId="0403795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持续提升能源、基础设施、生态系统、农业等重点领域适应气候变化能力。</w:t>
            </w:r>
          </w:p>
        </w:tc>
        <w:tc>
          <w:tcPr>
            <w:tcW w:w="1365" w:type="dxa"/>
            <w:noWrap w:val="0"/>
            <w:tcMar>
              <w:top w:w="15" w:type="dxa"/>
              <w:left w:w="15" w:type="dxa"/>
              <w:right w:w="15" w:type="dxa"/>
            </w:tcMar>
            <w:vAlign w:val="center"/>
          </w:tcPr>
          <w:p w14:paraId="1B9028BA">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45549AD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区规自分局</w:t>
            </w:r>
          </w:p>
          <w:p w14:paraId="3B341E8A">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区水务局</w:t>
            </w:r>
          </w:p>
          <w:p w14:paraId="4A4850D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区应急局</w:t>
            </w:r>
          </w:p>
          <w:p w14:paraId="2D5A1F1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农业农村局</w:t>
            </w:r>
          </w:p>
          <w:p w14:paraId="17749A3C">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区城管委</w:t>
            </w:r>
          </w:p>
        </w:tc>
        <w:tc>
          <w:tcPr>
            <w:tcW w:w="1749" w:type="dxa"/>
            <w:noWrap w:val="0"/>
            <w:tcMar>
              <w:top w:w="15" w:type="dxa"/>
              <w:left w:w="15" w:type="dxa"/>
              <w:right w:w="15" w:type="dxa"/>
            </w:tcMar>
            <w:vAlign w:val="center"/>
          </w:tcPr>
          <w:p w14:paraId="6C3D1F3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w:t>
            </w:r>
          </w:p>
        </w:tc>
      </w:tr>
      <w:tr w14:paraId="35B6F6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638" w:type="dxa"/>
            <w:noWrap w:val="0"/>
            <w:tcMar>
              <w:top w:w="15" w:type="dxa"/>
              <w:left w:w="15" w:type="dxa"/>
              <w:right w:w="15" w:type="dxa"/>
            </w:tcMar>
            <w:vAlign w:val="center"/>
          </w:tcPr>
          <w:p w14:paraId="0795B85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12</w:t>
            </w:r>
          </w:p>
        </w:tc>
        <w:tc>
          <w:tcPr>
            <w:tcW w:w="1328" w:type="dxa"/>
            <w:noWrap w:val="0"/>
            <w:tcMar>
              <w:top w:w="15" w:type="dxa"/>
              <w:left w:w="15" w:type="dxa"/>
              <w:right w:w="15" w:type="dxa"/>
            </w:tcMar>
            <w:vAlign w:val="center"/>
          </w:tcPr>
          <w:p w14:paraId="6A4B79A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加强重点区域气候适应能力</w:t>
            </w:r>
          </w:p>
        </w:tc>
        <w:tc>
          <w:tcPr>
            <w:tcW w:w="7799" w:type="dxa"/>
            <w:noWrap w:val="0"/>
            <w:tcMar>
              <w:top w:w="15" w:type="dxa"/>
              <w:left w:w="15" w:type="dxa"/>
              <w:right w:w="15" w:type="dxa"/>
            </w:tcMar>
            <w:vAlign w:val="center"/>
          </w:tcPr>
          <w:p w14:paraId="1C5F655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kern w:val="0"/>
                <w:sz w:val="24"/>
                <w:szCs w:val="24"/>
                <w:lang w:bidi="ar"/>
              </w:rPr>
              <w:t>持续推动门头沟区气候适应型城市试点建设。提升重点敏感区域适应能力，推动一批适应气候变化工程项目建设。</w:t>
            </w:r>
            <w:r>
              <w:rPr>
                <w:rFonts w:hint="eastAsia" w:ascii="仿宋_GB2312" w:hAnsi="仿宋_GB2312" w:eastAsia="仿宋_GB2312" w:cs="仿宋_GB2312"/>
                <w:color w:val="000000"/>
                <w:kern w:val="0"/>
                <w:sz w:val="24"/>
                <w:szCs w:val="24"/>
                <w:lang w:val="en-US" w:eastAsia="zh-CN" w:bidi="ar"/>
              </w:rPr>
              <w:t xml:space="preserve"> </w:t>
            </w:r>
          </w:p>
        </w:tc>
        <w:tc>
          <w:tcPr>
            <w:tcW w:w="1365" w:type="dxa"/>
            <w:noWrap w:val="0"/>
            <w:tcMar>
              <w:top w:w="15" w:type="dxa"/>
              <w:left w:w="15" w:type="dxa"/>
              <w:right w:w="15" w:type="dxa"/>
            </w:tcMar>
            <w:vAlign w:val="center"/>
          </w:tcPr>
          <w:p w14:paraId="73D5381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年底前</w:t>
            </w:r>
          </w:p>
        </w:tc>
        <w:tc>
          <w:tcPr>
            <w:tcW w:w="1725" w:type="dxa"/>
            <w:noWrap w:val="0"/>
            <w:tcMar>
              <w:top w:w="15" w:type="dxa"/>
              <w:left w:w="15" w:type="dxa"/>
              <w:right w:w="15" w:type="dxa"/>
            </w:tcMar>
            <w:vAlign w:val="center"/>
          </w:tcPr>
          <w:p w14:paraId="7F8E194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区生态环境局</w:t>
            </w:r>
          </w:p>
        </w:tc>
        <w:tc>
          <w:tcPr>
            <w:tcW w:w="1749" w:type="dxa"/>
            <w:noWrap w:val="0"/>
            <w:tcMar>
              <w:top w:w="15" w:type="dxa"/>
              <w:left w:w="15" w:type="dxa"/>
              <w:right w:w="15" w:type="dxa"/>
            </w:tcMar>
            <w:vAlign w:val="center"/>
          </w:tcPr>
          <w:p w14:paraId="51F5AE3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4AB60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14604" w:type="dxa"/>
            <w:gridSpan w:val="6"/>
            <w:noWrap w:val="0"/>
            <w:tcMar>
              <w:top w:w="15" w:type="dxa"/>
              <w:left w:w="15" w:type="dxa"/>
              <w:right w:w="15" w:type="dxa"/>
            </w:tcMar>
            <w:vAlign w:val="center"/>
          </w:tcPr>
          <w:p w14:paraId="6142BA2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宋体" w:hAnsi="宋体" w:eastAsia="宋体" w:cs="宋体"/>
                <w:color w:val="000000"/>
                <w:sz w:val="21"/>
                <w:szCs w:val="21"/>
              </w:rPr>
            </w:pPr>
            <w:r>
              <w:rPr>
                <w:rFonts w:hint="eastAsia" w:ascii="黑体" w:hAnsi="黑体" w:eastAsia="黑体" w:cs="黑体"/>
                <w:color w:val="000000"/>
                <w:kern w:val="0"/>
                <w:sz w:val="24"/>
                <w:szCs w:val="24"/>
                <w:lang w:eastAsia="zh-CN" w:bidi="ar"/>
              </w:rPr>
              <w:t>（五）</w:t>
            </w:r>
            <w:r>
              <w:rPr>
                <w:rFonts w:hint="eastAsia" w:ascii="黑体" w:hAnsi="黑体" w:eastAsia="黑体" w:cs="黑体"/>
                <w:color w:val="000000"/>
                <w:kern w:val="0"/>
                <w:sz w:val="24"/>
                <w:szCs w:val="24"/>
                <w:lang w:bidi="ar"/>
              </w:rPr>
              <w:t>强化综合保障和能力建设</w:t>
            </w:r>
          </w:p>
        </w:tc>
      </w:tr>
      <w:tr w14:paraId="2DDE5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38" w:type="dxa"/>
            <w:vMerge w:val="restart"/>
            <w:noWrap w:val="0"/>
            <w:tcMar>
              <w:top w:w="15" w:type="dxa"/>
              <w:left w:w="15" w:type="dxa"/>
              <w:right w:w="15" w:type="dxa"/>
            </w:tcMar>
            <w:vAlign w:val="center"/>
          </w:tcPr>
          <w:p w14:paraId="6F54072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kern w:val="0"/>
                <w:sz w:val="24"/>
                <w:szCs w:val="24"/>
                <w:lang w:val="en-US" w:eastAsia="zh-CN" w:bidi="ar"/>
              </w:rPr>
              <w:t>13</w:t>
            </w:r>
          </w:p>
        </w:tc>
        <w:tc>
          <w:tcPr>
            <w:tcW w:w="1328" w:type="dxa"/>
            <w:vMerge w:val="restart"/>
            <w:noWrap w:val="0"/>
            <w:tcMar>
              <w:top w:w="15" w:type="dxa"/>
              <w:left w:w="15" w:type="dxa"/>
              <w:right w:w="15" w:type="dxa"/>
            </w:tcMar>
            <w:vAlign w:val="center"/>
          </w:tcPr>
          <w:p w14:paraId="127AB767">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加强统计核算能力建设</w:t>
            </w:r>
          </w:p>
        </w:tc>
        <w:tc>
          <w:tcPr>
            <w:tcW w:w="7799" w:type="dxa"/>
            <w:noWrap w:val="0"/>
            <w:tcMar>
              <w:top w:w="15" w:type="dxa"/>
              <w:left w:w="15" w:type="dxa"/>
              <w:right w:w="15" w:type="dxa"/>
            </w:tcMar>
            <w:vAlign w:val="center"/>
          </w:tcPr>
          <w:p w14:paraId="4FDBFAD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按照全市统一部署，</w:t>
            </w:r>
            <w:r>
              <w:rPr>
                <w:rFonts w:hint="eastAsia" w:ascii="仿宋_GB2312" w:hAnsi="仿宋_GB2312" w:eastAsia="仿宋_GB2312" w:cs="仿宋_GB2312"/>
                <w:color w:val="000000"/>
                <w:kern w:val="0"/>
                <w:sz w:val="24"/>
                <w:szCs w:val="24"/>
                <w:lang w:bidi="ar"/>
              </w:rPr>
              <w:t>规范编制近3年区级温室气体</w:t>
            </w:r>
            <w:r>
              <w:rPr>
                <w:rFonts w:hint="eastAsia" w:ascii="仿宋_GB2312" w:hAnsi="仿宋_GB2312" w:eastAsia="仿宋_GB2312" w:cs="仿宋_GB2312"/>
                <w:color w:val="000000"/>
                <w:kern w:val="0"/>
                <w:sz w:val="24"/>
                <w:szCs w:val="24"/>
                <w:lang w:eastAsia="zh-CN" w:bidi="ar"/>
              </w:rPr>
              <w:t>排放</w:t>
            </w:r>
            <w:r>
              <w:rPr>
                <w:rFonts w:hint="eastAsia" w:ascii="仿宋_GB2312" w:hAnsi="仿宋_GB2312" w:eastAsia="仿宋_GB2312" w:cs="仿宋_GB2312"/>
                <w:color w:val="000000"/>
                <w:kern w:val="0"/>
                <w:sz w:val="24"/>
                <w:szCs w:val="24"/>
                <w:lang w:bidi="ar"/>
              </w:rPr>
              <w:t>清单。</w:t>
            </w:r>
          </w:p>
        </w:tc>
        <w:tc>
          <w:tcPr>
            <w:tcW w:w="1365" w:type="dxa"/>
            <w:noWrap w:val="0"/>
            <w:tcMar>
              <w:top w:w="15" w:type="dxa"/>
              <w:left w:w="15" w:type="dxa"/>
              <w:right w:w="15" w:type="dxa"/>
            </w:tcMar>
            <w:vAlign w:val="center"/>
          </w:tcPr>
          <w:p w14:paraId="35AF0A9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0CAA1F9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val="en-US" w:eastAsia="zh-CN" w:bidi="ar"/>
              </w:rPr>
              <w:t>区生态环境局</w:t>
            </w:r>
          </w:p>
        </w:tc>
        <w:tc>
          <w:tcPr>
            <w:tcW w:w="1749" w:type="dxa"/>
            <w:noWrap w:val="0"/>
            <w:tcMar>
              <w:top w:w="15" w:type="dxa"/>
              <w:left w:w="15" w:type="dxa"/>
              <w:right w:w="15" w:type="dxa"/>
            </w:tcMar>
            <w:vAlign w:val="center"/>
          </w:tcPr>
          <w:p w14:paraId="7944DEA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w:t>
            </w:r>
          </w:p>
        </w:tc>
      </w:tr>
      <w:tr w14:paraId="271F97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8" w:hRule="atLeast"/>
        </w:trPr>
        <w:tc>
          <w:tcPr>
            <w:tcW w:w="638" w:type="dxa"/>
            <w:vMerge w:val="continue"/>
            <w:noWrap w:val="0"/>
            <w:tcMar>
              <w:top w:w="15" w:type="dxa"/>
              <w:left w:w="15" w:type="dxa"/>
              <w:right w:w="15" w:type="dxa"/>
            </w:tcMar>
            <w:vAlign w:val="center"/>
          </w:tcPr>
          <w:p w14:paraId="1B3DF02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1328" w:type="dxa"/>
            <w:vMerge w:val="continue"/>
            <w:noWrap w:val="0"/>
            <w:tcMar>
              <w:top w:w="15" w:type="dxa"/>
              <w:left w:w="15" w:type="dxa"/>
              <w:right w:w="15" w:type="dxa"/>
            </w:tcMar>
            <w:vAlign w:val="center"/>
          </w:tcPr>
          <w:p w14:paraId="6E65EC1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rPr>
            </w:pPr>
          </w:p>
        </w:tc>
        <w:tc>
          <w:tcPr>
            <w:tcW w:w="7799" w:type="dxa"/>
            <w:noWrap w:val="0"/>
            <w:tcMar>
              <w:top w:w="15" w:type="dxa"/>
              <w:left w:w="15" w:type="dxa"/>
              <w:right w:w="15" w:type="dxa"/>
            </w:tcMar>
            <w:vAlign w:val="center"/>
          </w:tcPr>
          <w:p w14:paraId="5201322C">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夯实碳排放核算数据基础</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加强</w:t>
            </w:r>
            <w:r>
              <w:rPr>
                <w:rFonts w:hint="eastAsia" w:ascii="仿宋_GB2312" w:hAnsi="仿宋_GB2312" w:eastAsia="仿宋_GB2312" w:cs="仿宋_GB2312"/>
                <w:color w:val="000000"/>
                <w:kern w:val="0"/>
                <w:sz w:val="24"/>
                <w:szCs w:val="24"/>
                <w:lang w:val="en-US" w:eastAsia="zh-CN" w:bidi="ar"/>
              </w:rPr>
              <w:t>全</w:t>
            </w:r>
            <w:r>
              <w:rPr>
                <w:rFonts w:hint="eastAsia" w:ascii="仿宋_GB2312" w:hAnsi="仿宋_GB2312" w:eastAsia="仿宋_GB2312" w:cs="仿宋_GB2312"/>
                <w:color w:val="000000"/>
                <w:kern w:val="0"/>
                <w:sz w:val="24"/>
                <w:szCs w:val="24"/>
                <w:lang w:bidi="ar"/>
              </w:rPr>
              <w:t>区碳排放形势分析会商。</w:t>
            </w:r>
          </w:p>
        </w:tc>
        <w:tc>
          <w:tcPr>
            <w:tcW w:w="1365" w:type="dxa"/>
            <w:noWrap w:val="0"/>
            <w:tcMar>
              <w:top w:w="15" w:type="dxa"/>
              <w:left w:w="15" w:type="dxa"/>
              <w:right w:w="15" w:type="dxa"/>
            </w:tcMar>
            <w:vAlign w:val="center"/>
          </w:tcPr>
          <w:p w14:paraId="3C0A30F5">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bidi="ar"/>
              </w:rPr>
              <w:t>年底前</w:t>
            </w:r>
          </w:p>
        </w:tc>
        <w:tc>
          <w:tcPr>
            <w:tcW w:w="1725" w:type="dxa"/>
            <w:noWrap w:val="0"/>
            <w:tcMar>
              <w:top w:w="15" w:type="dxa"/>
              <w:left w:w="15" w:type="dxa"/>
              <w:right w:w="15" w:type="dxa"/>
            </w:tcMar>
            <w:vAlign w:val="center"/>
          </w:tcPr>
          <w:p w14:paraId="25661FC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highlight w:val="none"/>
                <w:lang w:bidi="ar"/>
              </w:rPr>
              <w:t>统计局</w:t>
            </w:r>
          </w:p>
          <w:p w14:paraId="68B250B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生态环境局</w:t>
            </w:r>
          </w:p>
          <w:p w14:paraId="7D8A91A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val="en-US" w:eastAsia="zh-CN" w:bidi="ar"/>
              </w:rPr>
              <w:t>区</w:t>
            </w:r>
            <w:r>
              <w:rPr>
                <w:rFonts w:hint="eastAsia" w:ascii="仿宋_GB2312" w:hAnsi="仿宋_GB2312" w:eastAsia="仿宋_GB2312" w:cs="仿宋_GB2312"/>
                <w:color w:val="000000"/>
                <w:kern w:val="0"/>
                <w:sz w:val="24"/>
                <w:szCs w:val="24"/>
                <w:lang w:bidi="ar"/>
              </w:rPr>
              <w:t>发改委</w:t>
            </w:r>
          </w:p>
          <w:p w14:paraId="6EE2DCA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lang w:val="en-US" w:eastAsia="zh-CN" w:bidi="ar"/>
              </w:rPr>
              <w:t>区城管委</w:t>
            </w:r>
          </w:p>
        </w:tc>
        <w:tc>
          <w:tcPr>
            <w:tcW w:w="1749" w:type="dxa"/>
            <w:noWrap w:val="0"/>
            <w:tcMar>
              <w:top w:w="15" w:type="dxa"/>
              <w:left w:w="15" w:type="dxa"/>
              <w:right w:w="15" w:type="dxa"/>
            </w:tcMar>
            <w:vAlign w:val="center"/>
          </w:tcPr>
          <w:p w14:paraId="58D662D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kern w:val="0"/>
                <w:sz w:val="24"/>
                <w:szCs w:val="24"/>
                <w:lang w:bidi="ar"/>
              </w:rPr>
              <w:t>——</w:t>
            </w:r>
          </w:p>
        </w:tc>
      </w:tr>
      <w:tr w14:paraId="5A1309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8" w:hRule="atLeast"/>
        </w:trPr>
        <w:tc>
          <w:tcPr>
            <w:tcW w:w="638" w:type="dxa"/>
            <w:noWrap w:val="0"/>
            <w:tcMar>
              <w:top w:w="15" w:type="dxa"/>
              <w:left w:w="15" w:type="dxa"/>
              <w:right w:w="15" w:type="dxa"/>
            </w:tcMar>
            <w:vAlign w:val="center"/>
          </w:tcPr>
          <w:p w14:paraId="0CAAD53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14</w:t>
            </w:r>
          </w:p>
        </w:tc>
        <w:tc>
          <w:tcPr>
            <w:tcW w:w="1328" w:type="dxa"/>
            <w:noWrap w:val="0"/>
            <w:tcMar>
              <w:top w:w="15" w:type="dxa"/>
              <w:left w:w="15" w:type="dxa"/>
              <w:right w:w="15" w:type="dxa"/>
            </w:tcMar>
            <w:vAlign w:val="center"/>
          </w:tcPr>
          <w:p w14:paraId="22EFF2F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强化应对</w:t>
            </w:r>
          </w:p>
          <w:p w14:paraId="0CCCE4A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气候变化</w:t>
            </w:r>
          </w:p>
          <w:p w14:paraId="621F87C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政策支持</w:t>
            </w:r>
          </w:p>
        </w:tc>
        <w:tc>
          <w:tcPr>
            <w:tcW w:w="7799" w:type="dxa"/>
            <w:noWrap w:val="0"/>
            <w:tcMar>
              <w:top w:w="15" w:type="dxa"/>
              <w:left w:w="15" w:type="dxa"/>
              <w:right w:w="15" w:type="dxa"/>
            </w:tcMar>
            <w:vAlign w:val="center"/>
          </w:tcPr>
          <w:p w14:paraId="0F2DE50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积极争取对减缓和适应气候变化重大项目的资金支持。加大对低碳项目资金支持，鼓励先进低碳技术研发推广和项目建设。</w:t>
            </w:r>
          </w:p>
        </w:tc>
        <w:tc>
          <w:tcPr>
            <w:tcW w:w="1365" w:type="dxa"/>
            <w:noWrap w:val="0"/>
            <w:tcMar>
              <w:top w:w="15" w:type="dxa"/>
              <w:left w:w="15" w:type="dxa"/>
              <w:right w:w="15" w:type="dxa"/>
            </w:tcMar>
            <w:vAlign w:val="center"/>
          </w:tcPr>
          <w:p w14:paraId="1A8EC9B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长期实施</w:t>
            </w:r>
          </w:p>
        </w:tc>
        <w:tc>
          <w:tcPr>
            <w:tcW w:w="1725" w:type="dxa"/>
            <w:noWrap w:val="0"/>
            <w:tcMar>
              <w:top w:w="15" w:type="dxa"/>
              <w:left w:w="15" w:type="dxa"/>
              <w:right w:w="15" w:type="dxa"/>
            </w:tcMar>
            <w:vAlign w:val="center"/>
          </w:tcPr>
          <w:p w14:paraId="50FB800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区发改委</w:t>
            </w:r>
          </w:p>
          <w:p w14:paraId="7E288BF3">
            <w:pPr>
              <w:widowControl/>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区生态环境局</w:t>
            </w:r>
          </w:p>
          <w:p w14:paraId="7AA053CB">
            <w:pPr>
              <w:widowControl/>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区经信局</w:t>
            </w:r>
          </w:p>
          <w:p w14:paraId="041B93C5">
            <w:pPr>
              <w:widowControl/>
              <w:jc w:val="center"/>
              <w:textAlignment w:val="center"/>
              <w:rPr>
                <w:rFonts w:hint="eastAsia"/>
                <w:lang w:val="en-US" w:eastAsia="zh-CN"/>
              </w:rPr>
            </w:pPr>
            <w:r>
              <w:rPr>
                <w:rFonts w:hint="eastAsia" w:ascii="仿宋_GB2312" w:hAnsi="仿宋_GB2312" w:eastAsia="仿宋_GB2312" w:cs="仿宋_GB2312"/>
                <w:color w:val="000000"/>
                <w:kern w:val="0"/>
                <w:sz w:val="24"/>
                <w:szCs w:val="24"/>
                <w:lang w:val="en-US" w:eastAsia="zh-CN" w:bidi="ar"/>
              </w:rPr>
              <w:t>区财政局</w:t>
            </w:r>
          </w:p>
        </w:tc>
        <w:tc>
          <w:tcPr>
            <w:tcW w:w="1749" w:type="dxa"/>
            <w:noWrap w:val="0"/>
            <w:tcMar>
              <w:top w:w="15" w:type="dxa"/>
              <w:left w:w="15" w:type="dxa"/>
              <w:right w:w="15" w:type="dxa"/>
            </w:tcMar>
            <w:vAlign w:val="center"/>
          </w:tcPr>
          <w:p w14:paraId="2D5BB273">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bidi="ar"/>
              </w:rPr>
              <w:t>——</w:t>
            </w:r>
          </w:p>
        </w:tc>
      </w:tr>
      <w:tr w14:paraId="6B3E3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14604" w:type="dxa"/>
            <w:gridSpan w:val="6"/>
            <w:noWrap w:val="0"/>
            <w:tcMar>
              <w:top w:w="15" w:type="dxa"/>
              <w:left w:w="15" w:type="dxa"/>
              <w:right w:w="15" w:type="dxa"/>
            </w:tcMar>
            <w:vAlign w:val="center"/>
          </w:tcPr>
          <w:p w14:paraId="5A69063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宋体" w:hAnsi="宋体" w:eastAsia="宋体" w:cs="宋体"/>
                <w:color w:val="000000"/>
                <w:sz w:val="21"/>
                <w:szCs w:val="21"/>
                <w:lang w:eastAsia="zh-CN"/>
              </w:rPr>
            </w:pPr>
            <w:r>
              <w:rPr>
                <w:rFonts w:hint="eastAsia" w:ascii="黑体" w:hAnsi="黑体" w:eastAsia="黑体" w:cs="黑体"/>
                <w:color w:val="auto"/>
                <w:kern w:val="0"/>
                <w:sz w:val="32"/>
                <w:szCs w:val="32"/>
                <w:highlight w:val="none"/>
                <w:lang w:eastAsia="zh-CN"/>
              </w:rPr>
              <w:t>二、“无废城市”建设</w:t>
            </w:r>
          </w:p>
        </w:tc>
      </w:tr>
      <w:tr w14:paraId="621E1C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604" w:type="dxa"/>
            <w:gridSpan w:val="6"/>
            <w:noWrap w:val="0"/>
            <w:tcMar>
              <w:top w:w="15" w:type="dxa"/>
              <w:left w:w="15" w:type="dxa"/>
              <w:right w:w="15" w:type="dxa"/>
            </w:tcMar>
            <w:vAlign w:val="center"/>
          </w:tcPr>
          <w:p w14:paraId="5E629D2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宋体" w:hAnsi="宋体" w:eastAsia="宋体" w:cs="宋体"/>
                <w:color w:val="000000"/>
                <w:sz w:val="21"/>
                <w:szCs w:val="21"/>
                <w:lang w:eastAsia="zh-CN"/>
              </w:rPr>
            </w:pPr>
            <w:r>
              <w:rPr>
                <w:rFonts w:hint="eastAsia" w:ascii="黑体" w:hAnsi="黑体" w:eastAsia="黑体" w:cs="黑体"/>
                <w:sz w:val="24"/>
                <w:szCs w:val="24"/>
              </w:rPr>
              <w:t>（一）主要目标</w:t>
            </w:r>
          </w:p>
        </w:tc>
      </w:tr>
      <w:tr w14:paraId="74BDE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8" w:hRule="atLeast"/>
        </w:trPr>
        <w:tc>
          <w:tcPr>
            <w:tcW w:w="638" w:type="dxa"/>
            <w:noWrap w:val="0"/>
            <w:tcMar>
              <w:top w:w="15" w:type="dxa"/>
              <w:left w:w="15" w:type="dxa"/>
              <w:right w:w="15" w:type="dxa"/>
            </w:tcMar>
            <w:vAlign w:val="center"/>
          </w:tcPr>
          <w:p w14:paraId="74BAAEB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sz w:val="24"/>
                <w:szCs w:val="24"/>
                <w:lang w:val="en-US" w:eastAsia="zh-CN"/>
              </w:rPr>
              <w:t>15</w:t>
            </w:r>
          </w:p>
        </w:tc>
        <w:tc>
          <w:tcPr>
            <w:tcW w:w="1328" w:type="dxa"/>
            <w:noWrap w:val="0"/>
            <w:tcMar>
              <w:top w:w="15" w:type="dxa"/>
              <w:left w:w="15" w:type="dxa"/>
              <w:right w:w="15" w:type="dxa"/>
            </w:tcMar>
            <w:vAlign w:val="center"/>
          </w:tcPr>
          <w:p w14:paraId="63C2CD7F">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危险废物填埋处置目标任务</w:t>
            </w:r>
          </w:p>
        </w:tc>
        <w:tc>
          <w:tcPr>
            <w:tcW w:w="7799" w:type="dxa"/>
            <w:noWrap w:val="0"/>
            <w:tcMar>
              <w:top w:w="15" w:type="dxa"/>
              <w:left w:w="15" w:type="dxa"/>
              <w:right w:w="15" w:type="dxa"/>
            </w:tcMar>
            <w:vAlign w:val="center"/>
          </w:tcPr>
          <w:p w14:paraId="6D9069E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推进全域“无废城市”建设，</w:t>
            </w:r>
            <w:r>
              <w:rPr>
                <w:rFonts w:hint="eastAsia" w:ascii="仿宋_GB2312" w:hAnsi="仿宋_GB2312" w:eastAsia="仿宋_GB2312" w:cs="仿宋_GB2312"/>
                <w:sz w:val="24"/>
                <w:szCs w:val="24"/>
              </w:rPr>
              <w:t>危险废物填埋处置量占比同比降低。</w:t>
            </w:r>
          </w:p>
        </w:tc>
        <w:tc>
          <w:tcPr>
            <w:tcW w:w="1365" w:type="dxa"/>
            <w:noWrap w:val="0"/>
            <w:tcMar>
              <w:top w:w="15" w:type="dxa"/>
              <w:left w:w="15" w:type="dxa"/>
              <w:right w:w="15" w:type="dxa"/>
            </w:tcMar>
            <w:vAlign w:val="center"/>
          </w:tcPr>
          <w:p w14:paraId="652AF68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5C1A7CD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15B08F0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区城管委</w:t>
            </w:r>
          </w:p>
        </w:tc>
        <w:tc>
          <w:tcPr>
            <w:tcW w:w="1749" w:type="dxa"/>
            <w:noWrap w:val="0"/>
            <w:tcMar>
              <w:top w:w="15" w:type="dxa"/>
              <w:left w:w="15" w:type="dxa"/>
              <w:right w:w="15" w:type="dxa"/>
            </w:tcMar>
            <w:vAlign w:val="center"/>
          </w:tcPr>
          <w:p w14:paraId="7359C63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71F75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4604" w:type="dxa"/>
            <w:gridSpan w:val="6"/>
            <w:noWrap w:val="0"/>
            <w:tcMar>
              <w:top w:w="15" w:type="dxa"/>
              <w:left w:w="15" w:type="dxa"/>
              <w:right w:w="15" w:type="dxa"/>
            </w:tcMar>
            <w:vAlign w:val="center"/>
          </w:tcPr>
          <w:p w14:paraId="770E825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黑体" w:cs="仿宋_GB2312"/>
                <w:sz w:val="24"/>
                <w:szCs w:val="24"/>
                <w:lang w:eastAsia="zh-CN"/>
              </w:rPr>
            </w:pPr>
            <w:r>
              <w:rPr>
                <w:rFonts w:hint="eastAsia" w:ascii="黑体" w:hAnsi="黑体" w:eastAsia="黑体" w:cs="黑体"/>
                <w:sz w:val="24"/>
                <w:szCs w:val="24"/>
              </w:rPr>
              <w:t>（</w:t>
            </w:r>
            <w:r>
              <w:rPr>
                <w:rFonts w:hint="eastAsia" w:ascii="黑体" w:hAnsi="黑体" w:eastAsia="黑体" w:cs="黑体"/>
                <w:sz w:val="24"/>
                <w:szCs w:val="24"/>
                <w:lang w:eastAsia="zh-CN"/>
              </w:rPr>
              <w:t>二</w:t>
            </w:r>
            <w:r>
              <w:rPr>
                <w:rFonts w:hint="eastAsia" w:ascii="黑体" w:hAnsi="黑体" w:eastAsia="黑体" w:cs="黑体"/>
                <w:sz w:val="24"/>
                <w:szCs w:val="24"/>
              </w:rPr>
              <w:t>）</w:t>
            </w:r>
            <w:r>
              <w:rPr>
                <w:rFonts w:hint="eastAsia" w:ascii="黑体" w:hAnsi="黑体" w:eastAsia="黑体" w:cs="黑体"/>
                <w:sz w:val="24"/>
                <w:szCs w:val="24"/>
                <w:lang w:eastAsia="zh-CN"/>
              </w:rPr>
              <w:t>加强固体废物综合治理</w:t>
            </w:r>
          </w:p>
        </w:tc>
      </w:tr>
      <w:tr w14:paraId="299CB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638" w:type="dxa"/>
            <w:vMerge w:val="restart"/>
            <w:noWrap w:val="0"/>
            <w:tcMar>
              <w:top w:w="15" w:type="dxa"/>
              <w:left w:w="15" w:type="dxa"/>
              <w:right w:w="15" w:type="dxa"/>
            </w:tcMar>
            <w:vAlign w:val="center"/>
          </w:tcPr>
          <w:p w14:paraId="5C5C95D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sz w:val="24"/>
                <w:szCs w:val="24"/>
                <w:lang w:val="en-US" w:eastAsia="zh-CN"/>
              </w:rPr>
              <w:t>16</w:t>
            </w:r>
          </w:p>
        </w:tc>
        <w:tc>
          <w:tcPr>
            <w:tcW w:w="1328" w:type="dxa"/>
            <w:vMerge w:val="restart"/>
            <w:noWrap w:val="0"/>
            <w:tcMar>
              <w:top w:w="15" w:type="dxa"/>
              <w:left w:w="15" w:type="dxa"/>
              <w:right w:w="15" w:type="dxa"/>
            </w:tcMar>
            <w:vAlign w:val="center"/>
          </w:tcPr>
          <w:p w14:paraId="7A2236C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强化工业固</w:t>
            </w:r>
            <w:r>
              <w:rPr>
                <w:rFonts w:hint="eastAsia" w:ascii="仿宋_GB2312" w:hAnsi="仿宋_GB2312" w:eastAsia="仿宋_GB2312" w:cs="仿宋_GB2312"/>
                <w:kern w:val="0"/>
                <w:sz w:val="24"/>
                <w:szCs w:val="24"/>
                <w:lang w:val="en-US" w:eastAsia="zh-CN"/>
              </w:rPr>
              <w:t>体</w:t>
            </w:r>
            <w:r>
              <w:rPr>
                <w:rFonts w:hint="eastAsia" w:ascii="仿宋_GB2312" w:hAnsi="仿宋_GB2312" w:eastAsia="仿宋_GB2312" w:cs="仿宋_GB2312"/>
                <w:kern w:val="0"/>
                <w:sz w:val="24"/>
                <w:szCs w:val="24"/>
              </w:rPr>
              <w:t>废</w:t>
            </w:r>
            <w:r>
              <w:rPr>
                <w:rFonts w:hint="eastAsia" w:ascii="仿宋_GB2312" w:hAnsi="仿宋_GB2312" w:eastAsia="仿宋_GB2312" w:cs="仿宋_GB2312"/>
                <w:kern w:val="0"/>
                <w:sz w:val="24"/>
                <w:szCs w:val="24"/>
                <w:lang w:val="en-US" w:eastAsia="zh-CN"/>
              </w:rPr>
              <w:t>物</w:t>
            </w:r>
            <w:r>
              <w:rPr>
                <w:rFonts w:hint="eastAsia" w:ascii="仿宋_GB2312" w:hAnsi="仿宋_GB2312" w:eastAsia="仿宋_GB2312" w:cs="仿宋_GB2312"/>
                <w:kern w:val="0"/>
                <w:sz w:val="24"/>
                <w:szCs w:val="24"/>
              </w:rPr>
              <w:t>源头减量和高效利用</w:t>
            </w:r>
          </w:p>
        </w:tc>
        <w:tc>
          <w:tcPr>
            <w:tcW w:w="7799" w:type="dxa"/>
            <w:noWrap w:val="0"/>
            <w:tcMar>
              <w:top w:w="15" w:type="dxa"/>
              <w:left w:w="15" w:type="dxa"/>
              <w:right w:w="15" w:type="dxa"/>
            </w:tcMar>
            <w:vAlign w:val="center"/>
          </w:tcPr>
          <w:p w14:paraId="1082FE5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rPr>
              <w:t>引导工业固废源头减量。强化建设项目环境影响评价管理</w:t>
            </w:r>
            <w:r>
              <w:rPr>
                <w:rFonts w:hint="eastAsia" w:ascii="仿宋_GB2312" w:hAnsi="仿宋_GB2312" w:eastAsia="仿宋_GB2312" w:cs="仿宋_GB2312"/>
                <w:kern w:val="0"/>
                <w:sz w:val="24"/>
                <w:szCs w:val="24"/>
                <w:lang w:eastAsia="zh-CN"/>
              </w:rPr>
              <w:t>，在</w:t>
            </w:r>
            <w:r>
              <w:rPr>
                <w:rFonts w:hint="eastAsia" w:ascii="仿宋_GB2312" w:hAnsi="仿宋_GB2312" w:eastAsia="仿宋_GB2312" w:cs="仿宋_GB2312"/>
                <w:kern w:val="0"/>
                <w:sz w:val="24"/>
                <w:szCs w:val="24"/>
              </w:rPr>
              <w:t>环境影响评价文件中明确一般工业固体废物产生强度、环境管理要求、产生和利用处置情况。依法开展清洁生产审核。</w:t>
            </w:r>
          </w:p>
        </w:tc>
        <w:tc>
          <w:tcPr>
            <w:tcW w:w="1365" w:type="dxa"/>
            <w:noWrap w:val="0"/>
            <w:tcMar>
              <w:top w:w="15" w:type="dxa"/>
              <w:left w:w="15" w:type="dxa"/>
              <w:right w:w="15" w:type="dxa"/>
            </w:tcMar>
            <w:vAlign w:val="center"/>
          </w:tcPr>
          <w:p w14:paraId="7555B34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7967403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rPr>
              <w:t>区生态环境局</w:t>
            </w:r>
          </w:p>
        </w:tc>
        <w:tc>
          <w:tcPr>
            <w:tcW w:w="1749" w:type="dxa"/>
            <w:noWrap w:val="0"/>
            <w:tcMar>
              <w:top w:w="15" w:type="dxa"/>
              <w:left w:w="15" w:type="dxa"/>
              <w:right w:w="15" w:type="dxa"/>
            </w:tcMar>
            <w:vAlign w:val="center"/>
          </w:tcPr>
          <w:p w14:paraId="394502C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2674B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638" w:type="dxa"/>
            <w:vMerge w:val="continue"/>
            <w:noWrap w:val="0"/>
            <w:tcMar>
              <w:top w:w="15" w:type="dxa"/>
              <w:left w:w="15" w:type="dxa"/>
              <w:right w:w="15" w:type="dxa"/>
            </w:tcMar>
            <w:vAlign w:val="center"/>
          </w:tcPr>
          <w:p w14:paraId="5B8B572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pPr>
          </w:p>
        </w:tc>
        <w:tc>
          <w:tcPr>
            <w:tcW w:w="1328" w:type="dxa"/>
            <w:vMerge w:val="continue"/>
            <w:noWrap w:val="0"/>
            <w:tcMar>
              <w:top w:w="15" w:type="dxa"/>
              <w:left w:w="15" w:type="dxa"/>
              <w:right w:w="15" w:type="dxa"/>
            </w:tcMar>
            <w:vAlign w:val="center"/>
          </w:tcPr>
          <w:p w14:paraId="6D02AAC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pPr>
          </w:p>
        </w:tc>
        <w:tc>
          <w:tcPr>
            <w:tcW w:w="7799" w:type="dxa"/>
            <w:noWrap w:val="0"/>
            <w:tcMar>
              <w:top w:w="15" w:type="dxa"/>
              <w:left w:w="15" w:type="dxa"/>
              <w:right w:w="15" w:type="dxa"/>
            </w:tcMar>
            <w:vAlign w:val="center"/>
          </w:tcPr>
          <w:p w14:paraId="77D81B9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both"/>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val="en-US" w:eastAsia="zh-CN"/>
              </w:rPr>
              <w:t>引导</w:t>
            </w:r>
            <w:r>
              <w:rPr>
                <w:rFonts w:hint="eastAsia" w:ascii="仿宋_GB2312" w:hAnsi="仿宋_GB2312" w:eastAsia="仿宋_GB2312" w:cs="仿宋_GB2312"/>
                <w:color w:val="auto"/>
                <w:kern w:val="0"/>
                <w:sz w:val="24"/>
                <w:szCs w:val="24"/>
                <w:highlight w:val="none"/>
              </w:rPr>
              <w:t>固体废物产生强度高于0.2吨/万元的制造业企业转型升级。</w:t>
            </w:r>
          </w:p>
        </w:tc>
        <w:tc>
          <w:tcPr>
            <w:tcW w:w="1365" w:type="dxa"/>
            <w:noWrap w:val="0"/>
            <w:tcMar>
              <w:top w:w="15" w:type="dxa"/>
              <w:left w:w="15" w:type="dxa"/>
              <w:right w:w="15" w:type="dxa"/>
            </w:tcMar>
            <w:vAlign w:val="center"/>
          </w:tcPr>
          <w:p w14:paraId="2B0F790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0"/>
                <w:sz w:val="24"/>
                <w:szCs w:val="24"/>
                <w:highlight w:val="none"/>
                <w:lang w:eastAsia="zh-CN"/>
              </w:rPr>
            </w:pPr>
            <w:r>
              <w:rPr>
                <w:rFonts w:hint="eastAsia" w:ascii="仿宋_GB2312" w:hAnsi="仿宋_GB2312" w:eastAsia="仿宋_GB2312" w:cs="仿宋_GB2312"/>
                <w:color w:val="auto"/>
                <w:kern w:val="0"/>
                <w:sz w:val="24"/>
                <w:szCs w:val="24"/>
                <w:highlight w:val="none"/>
                <w:lang w:eastAsia="zh-CN"/>
              </w:rPr>
              <w:t>年底前</w:t>
            </w:r>
          </w:p>
        </w:tc>
        <w:tc>
          <w:tcPr>
            <w:tcW w:w="1725" w:type="dxa"/>
            <w:noWrap w:val="0"/>
            <w:tcMar>
              <w:top w:w="15" w:type="dxa"/>
              <w:left w:w="15" w:type="dxa"/>
              <w:right w:w="15" w:type="dxa"/>
            </w:tcMar>
            <w:vAlign w:val="center"/>
          </w:tcPr>
          <w:p w14:paraId="093D207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rPr>
            </w:pPr>
            <w:r>
              <w:rPr>
                <w:rFonts w:hint="eastAsia" w:ascii="仿宋_GB2312" w:hAnsi="仿宋_GB2312" w:eastAsia="仿宋_GB2312" w:cs="仿宋_GB2312"/>
                <w:kern w:val="0"/>
                <w:sz w:val="24"/>
                <w:szCs w:val="24"/>
                <w:highlight w:val="none"/>
                <w:lang w:eastAsia="zh-CN"/>
              </w:rPr>
              <w:t>区经信局</w:t>
            </w:r>
          </w:p>
          <w:p w14:paraId="59FB125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kern w:val="0"/>
                <w:sz w:val="24"/>
                <w:szCs w:val="24"/>
                <w:highlight w:val="none"/>
                <w:lang w:eastAsia="zh-CN"/>
              </w:rPr>
              <w:t>区发改委</w:t>
            </w:r>
          </w:p>
        </w:tc>
        <w:tc>
          <w:tcPr>
            <w:tcW w:w="1749" w:type="dxa"/>
            <w:noWrap w:val="0"/>
            <w:tcMar>
              <w:top w:w="15" w:type="dxa"/>
              <w:left w:w="15" w:type="dxa"/>
              <w:right w:w="15" w:type="dxa"/>
            </w:tcMar>
            <w:vAlign w:val="center"/>
          </w:tcPr>
          <w:p w14:paraId="31CE9A5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0"/>
                <w:sz w:val="24"/>
                <w:szCs w:val="24"/>
                <w:highlight w:val="yellow"/>
              </w:rPr>
            </w:pPr>
            <w:r>
              <w:rPr>
                <w:rFonts w:hint="eastAsia" w:ascii="仿宋_GB2312" w:hAnsi="仿宋_GB2312" w:eastAsia="仿宋_GB2312" w:cs="仿宋_GB2312"/>
                <w:sz w:val="24"/>
                <w:szCs w:val="24"/>
              </w:rPr>
              <w:t>——</w:t>
            </w:r>
          </w:p>
        </w:tc>
      </w:tr>
      <w:tr w14:paraId="59AD28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638" w:type="dxa"/>
            <w:vMerge w:val="continue"/>
            <w:noWrap w:val="0"/>
            <w:tcMar>
              <w:top w:w="15" w:type="dxa"/>
              <w:left w:w="15" w:type="dxa"/>
              <w:right w:w="15" w:type="dxa"/>
            </w:tcMar>
            <w:vAlign w:val="center"/>
          </w:tcPr>
          <w:p w14:paraId="5F5E289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6B49FD1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sz w:val="24"/>
                <w:szCs w:val="24"/>
                <w:lang w:eastAsia="zh-CN"/>
              </w:rPr>
            </w:pPr>
          </w:p>
        </w:tc>
        <w:tc>
          <w:tcPr>
            <w:tcW w:w="7799" w:type="dxa"/>
            <w:noWrap w:val="0"/>
            <w:tcMar>
              <w:top w:w="15" w:type="dxa"/>
              <w:left w:w="15" w:type="dxa"/>
              <w:right w:w="15" w:type="dxa"/>
            </w:tcMar>
            <w:vAlign w:val="center"/>
          </w:tcPr>
          <w:p w14:paraId="3D2694B4">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kern w:val="0"/>
                <w:sz w:val="24"/>
                <w:szCs w:val="24"/>
              </w:rPr>
              <w:t>推动实现生活垃圾焚烧炉渣和可再生类废物全部利用。</w:t>
            </w:r>
          </w:p>
        </w:tc>
        <w:tc>
          <w:tcPr>
            <w:tcW w:w="1365" w:type="dxa"/>
            <w:noWrap w:val="0"/>
            <w:tcMar>
              <w:top w:w="15" w:type="dxa"/>
              <w:left w:w="15" w:type="dxa"/>
              <w:right w:w="15" w:type="dxa"/>
            </w:tcMar>
            <w:vAlign w:val="center"/>
          </w:tcPr>
          <w:p w14:paraId="1BE78C2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5DFD216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49E35ED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kern w:val="0"/>
                <w:sz w:val="24"/>
                <w:szCs w:val="24"/>
                <w:lang w:eastAsia="zh-CN"/>
              </w:rPr>
              <w:t>区城管委</w:t>
            </w:r>
          </w:p>
        </w:tc>
        <w:tc>
          <w:tcPr>
            <w:tcW w:w="1749" w:type="dxa"/>
            <w:noWrap w:val="0"/>
            <w:tcMar>
              <w:top w:w="15" w:type="dxa"/>
              <w:left w:w="15" w:type="dxa"/>
              <w:right w:w="15" w:type="dxa"/>
            </w:tcMar>
            <w:vAlign w:val="center"/>
          </w:tcPr>
          <w:p w14:paraId="2761422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kern w:val="0"/>
                <w:sz w:val="24"/>
                <w:szCs w:val="24"/>
                <w:lang w:eastAsia="zh-CN"/>
              </w:rPr>
              <w:t>区经信局</w:t>
            </w:r>
          </w:p>
        </w:tc>
      </w:tr>
      <w:tr w14:paraId="53BFA0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6" w:hRule="atLeast"/>
        </w:trPr>
        <w:tc>
          <w:tcPr>
            <w:tcW w:w="638" w:type="dxa"/>
            <w:vMerge w:val="restart"/>
            <w:noWrap w:val="0"/>
            <w:tcMar>
              <w:top w:w="15" w:type="dxa"/>
              <w:left w:w="15" w:type="dxa"/>
              <w:right w:w="15" w:type="dxa"/>
            </w:tcMar>
            <w:vAlign w:val="center"/>
          </w:tcPr>
          <w:p w14:paraId="20D530E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kern w:val="0"/>
                <w:sz w:val="24"/>
                <w:szCs w:val="24"/>
                <w:lang w:val="en-US" w:eastAsia="zh-CN"/>
              </w:rPr>
              <w:t>17</w:t>
            </w:r>
          </w:p>
        </w:tc>
        <w:tc>
          <w:tcPr>
            <w:tcW w:w="1328" w:type="dxa"/>
            <w:vMerge w:val="restart"/>
            <w:noWrap w:val="0"/>
            <w:tcMar>
              <w:top w:w="15" w:type="dxa"/>
              <w:left w:w="15" w:type="dxa"/>
              <w:right w:w="15" w:type="dxa"/>
            </w:tcMar>
            <w:vAlign w:val="center"/>
          </w:tcPr>
          <w:p w14:paraId="2F70D6D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提升生活垃圾分类实效</w:t>
            </w:r>
          </w:p>
        </w:tc>
        <w:tc>
          <w:tcPr>
            <w:tcW w:w="7799" w:type="dxa"/>
            <w:noWrap w:val="0"/>
            <w:tcMar>
              <w:top w:w="15" w:type="dxa"/>
              <w:left w:w="15" w:type="dxa"/>
              <w:right w:w="15" w:type="dxa"/>
            </w:tcMar>
            <w:vAlign w:val="center"/>
          </w:tcPr>
          <w:p w14:paraId="415D7D6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推动机关事业单位和公共机构无纸化办公，</w:t>
            </w:r>
            <w:r>
              <w:rPr>
                <w:rFonts w:hint="eastAsia" w:ascii="仿宋_GB2312" w:hAnsi="仿宋_GB2312" w:eastAsia="仿宋_GB2312" w:cs="仿宋_GB2312"/>
                <w:kern w:val="0"/>
                <w:sz w:val="24"/>
                <w:szCs w:val="24"/>
                <w:lang w:val="en-US" w:eastAsia="zh-CN"/>
              </w:rPr>
              <w:t>鼓励电商、快递等重点领域使用可循环重复利用包装，从源头上减少一次性塑料制品使用。</w:t>
            </w:r>
            <w:r>
              <w:rPr>
                <w:rFonts w:hint="eastAsia" w:ascii="仿宋_GB2312" w:hAnsi="仿宋_GB2312" w:eastAsia="仿宋_GB2312" w:cs="仿宋_GB2312"/>
                <w:kern w:val="0"/>
                <w:sz w:val="24"/>
                <w:szCs w:val="24"/>
              </w:rPr>
              <w:t>在写字楼、产业园区等快递、外卖数量较多区域，开展快递包装、外卖餐盒回收。生产、销售、快递等企业减少二次包装，加强纸箱回收复用。</w:t>
            </w:r>
          </w:p>
        </w:tc>
        <w:tc>
          <w:tcPr>
            <w:tcW w:w="1365" w:type="dxa"/>
            <w:noWrap w:val="0"/>
            <w:tcMar>
              <w:top w:w="15" w:type="dxa"/>
              <w:left w:w="15" w:type="dxa"/>
              <w:right w:w="15" w:type="dxa"/>
            </w:tcMar>
            <w:vAlign w:val="center"/>
          </w:tcPr>
          <w:p w14:paraId="5F4F910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45830FB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区发改委</w:t>
            </w:r>
          </w:p>
          <w:p w14:paraId="0DF78CA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区机关事务中心</w:t>
            </w:r>
          </w:p>
          <w:p w14:paraId="4E290E05">
            <w:pPr>
              <w:adjustRightInd w:val="0"/>
              <w:snapToGrid w:val="0"/>
              <w:jc w:val="center"/>
            </w:pPr>
            <w:r>
              <w:rPr>
                <w:rFonts w:hint="eastAsia" w:ascii="仿宋_GB2312" w:hAnsi="仿宋_GB2312" w:eastAsia="仿宋_GB2312" w:cs="仿宋_GB2312"/>
                <w:kern w:val="0"/>
                <w:sz w:val="24"/>
                <w:szCs w:val="24"/>
              </w:rPr>
              <w:t>区教委</w:t>
            </w:r>
          </w:p>
          <w:p w14:paraId="28F9915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区城管委</w:t>
            </w:r>
          </w:p>
          <w:p w14:paraId="02C4F9F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区商务局</w:t>
            </w:r>
          </w:p>
          <w:p w14:paraId="7DA4062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区市场监管局</w:t>
            </w:r>
          </w:p>
        </w:tc>
        <w:tc>
          <w:tcPr>
            <w:tcW w:w="1749" w:type="dxa"/>
            <w:noWrap w:val="0"/>
            <w:tcMar>
              <w:top w:w="15" w:type="dxa"/>
              <w:left w:w="15" w:type="dxa"/>
              <w:right w:w="15" w:type="dxa"/>
            </w:tcMar>
            <w:vAlign w:val="center"/>
          </w:tcPr>
          <w:p w14:paraId="141CEEC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3738687A">
            <w:pPr>
              <w:adjustRightInd w:val="0"/>
              <w:snapToGrid w:val="0"/>
              <w:ind w:firstLine="0"/>
              <w:jc w:val="center"/>
              <w:rPr>
                <w:rFonts w:hint="eastAsia"/>
              </w:rPr>
            </w:pPr>
            <w:r>
              <w:rPr>
                <w:rFonts w:hint="eastAsia" w:ascii="仿宋_GB2312" w:hAnsi="仿宋_GB2312" w:eastAsia="仿宋_GB2312" w:cs="仿宋_GB2312"/>
                <w:kern w:val="0"/>
                <w:sz w:val="24"/>
                <w:szCs w:val="24"/>
                <w:lang w:eastAsia="zh-CN"/>
              </w:rPr>
              <w:t>区经信局</w:t>
            </w:r>
          </w:p>
        </w:tc>
      </w:tr>
      <w:tr w14:paraId="338FA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2B72EE6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2EAB99F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04A2D04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提高再生资源回收利用水平。扩大智能回收机进社区</w:t>
            </w:r>
            <w:r>
              <w:rPr>
                <w:rFonts w:hint="eastAsia" w:ascii="仿宋_GB2312" w:hAnsi="仿宋_GB2312" w:eastAsia="仿宋_GB2312" w:cs="仿宋_GB2312"/>
                <w:kern w:val="0"/>
                <w:sz w:val="24"/>
                <w:szCs w:val="24"/>
                <w:lang w:eastAsia="zh-CN"/>
              </w:rPr>
              <w:t>覆盖范围，完善便民回收体系。</w:t>
            </w:r>
          </w:p>
        </w:tc>
        <w:tc>
          <w:tcPr>
            <w:tcW w:w="1365" w:type="dxa"/>
            <w:noWrap w:val="0"/>
            <w:tcMar>
              <w:top w:w="15" w:type="dxa"/>
              <w:left w:w="15" w:type="dxa"/>
              <w:right w:w="15" w:type="dxa"/>
            </w:tcMar>
            <w:vAlign w:val="center"/>
          </w:tcPr>
          <w:p w14:paraId="21A04CB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4121928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区城管委</w:t>
            </w:r>
          </w:p>
        </w:tc>
        <w:tc>
          <w:tcPr>
            <w:tcW w:w="1749" w:type="dxa"/>
            <w:noWrap w:val="0"/>
            <w:tcMar>
              <w:top w:w="15" w:type="dxa"/>
              <w:left w:w="15" w:type="dxa"/>
              <w:right w:w="15" w:type="dxa"/>
            </w:tcMar>
            <w:vAlign w:val="center"/>
          </w:tcPr>
          <w:p w14:paraId="5378A235">
            <w:pPr>
              <w:keepNext w:val="0"/>
              <w:keepLines w:val="0"/>
              <w:pageBreakBefore w:val="0"/>
              <w:kinsoku/>
              <w:wordWrap/>
              <w:overflowPunct/>
              <w:topLinePunct w:val="0"/>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区发改委</w:t>
            </w:r>
          </w:p>
          <w:p w14:paraId="0EB92B48">
            <w:pPr>
              <w:keepNext w:val="0"/>
              <w:keepLines w:val="0"/>
              <w:pageBreakBefore w:val="0"/>
              <w:kinsoku/>
              <w:wordWrap/>
              <w:overflowPunct/>
              <w:topLinePunct w:val="0"/>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区经信局</w:t>
            </w:r>
          </w:p>
          <w:p w14:paraId="4B97B53A">
            <w:pPr>
              <w:keepNext w:val="0"/>
              <w:keepLines w:val="0"/>
              <w:pageBreakBefore w:val="0"/>
              <w:kinsoku/>
              <w:wordWrap/>
              <w:overflowPunct/>
              <w:topLinePunct w:val="0"/>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区住建委</w:t>
            </w:r>
          </w:p>
          <w:p w14:paraId="49BE0D47">
            <w:pPr>
              <w:keepNext w:val="0"/>
              <w:keepLines w:val="0"/>
              <w:pageBreakBefore w:val="0"/>
              <w:kinsoku/>
              <w:wordWrap/>
              <w:overflowPunct/>
              <w:topLinePunct w:val="0"/>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区农业农村局</w:t>
            </w:r>
          </w:p>
        </w:tc>
      </w:tr>
      <w:tr w14:paraId="587AF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076C7AD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39036E5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04A2FF8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加强医疗机构废弃物管理，推动输液瓶（袋）规范回收利用。</w:t>
            </w:r>
          </w:p>
        </w:tc>
        <w:tc>
          <w:tcPr>
            <w:tcW w:w="1365" w:type="dxa"/>
            <w:noWrap w:val="0"/>
            <w:tcMar>
              <w:top w:w="15" w:type="dxa"/>
              <w:left w:w="15" w:type="dxa"/>
              <w:right w:w="15" w:type="dxa"/>
            </w:tcMar>
            <w:vAlign w:val="center"/>
          </w:tcPr>
          <w:p w14:paraId="5DEE669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038EA44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区卫健委</w:t>
            </w:r>
          </w:p>
          <w:p w14:paraId="07DFC18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区城管委</w:t>
            </w:r>
          </w:p>
          <w:p w14:paraId="069C917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区生态环境局</w:t>
            </w:r>
          </w:p>
        </w:tc>
        <w:tc>
          <w:tcPr>
            <w:tcW w:w="1749" w:type="dxa"/>
            <w:noWrap w:val="0"/>
            <w:tcMar>
              <w:top w:w="15" w:type="dxa"/>
              <w:left w:w="15" w:type="dxa"/>
              <w:right w:w="15" w:type="dxa"/>
            </w:tcMar>
            <w:vAlign w:val="center"/>
          </w:tcPr>
          <w:p w14:paraId="3D4394D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04FB2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7369CCC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3862922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773AC4D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提升生活垃圾处理设施效能。开展焚烧设施协同处置园林绿化废弃物、农业固体废物、市政污泥等试点。</w:t>
            </w:r>
          </w:p>
        </w:tc>
        <w:tc>
          <w:tcPr>
            <w:tcW w:w="1365" w:type="dxa"/>
            <w:noWrap w:val="0"/>
            <w:tcMar>
              <w:top w:w="15" w:type="dxa"/>
              <w:left w:w="15" w:type="dxa"/>
              <w:right w:w="15" w:type="dxa"/>
            </w:tcMar>
            <w:vAlign w:val="center"/>
          </w:tcPr>
          <w:p w14:paraId="0E7E582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55F76AD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区城管委</w:t>
            </w:r>
          </w:p>
          <w:p w14:paraId="597D0E86">
            <w:pPr>
              <w:pStyle w:val="3"/>
              <w:ind w:left="0" w:leftChars="0" w:firstLine="0" w:firstLineChars="0"/>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区水务局</w:t>
            </w:r>
          </w:p>
        </w:tc>
        <w:tc>
          <w:tcPr>
            <w:tcW w:w="1749" w:type="dxa"/>
            <w:noWrap w:val="0"/>
            <w:tcMar>
              <w:top w:w="15" w:type="dxa"/>
              <w:left w:w="15" w:type="dxa"/>
              <w:right w:w="15" w:type="dxa"/>
            </w:tcMar>
            <w:vAlign w:val="center"/>
          </w:tcPr>
          <w:p w14:paraId="21707A77">
            <w:pPr>
              <w:pStyle w:val="3"/>
              <w:ind w:left="0" w:lef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684047C7">
            <w:pPr>
              <w:pStyle w:val="3"/>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rPr>
              <w:t>区农业农村局</w:t>
            </w:r>
          </w:p>
        </w:tc>
      </w:tr>
      <w:tr w14:paraId="1C734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638" w:type="dxa"/>
            <w:vMerge w:val="restart"/>
            <w:noWrap w:val="0"/>
            <w:tcMar>
              <w:top w:w="15" w:type="dxa"/>
              <w:left w:w="15" w:type="dxa"/>
              <w:right w:w="15" w:type="dxa"/>
            </w:tcMar>
            <w:vAlign w:val="center"/>
          </w:tcPr>
          <w:p w14:paraId="67C573B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kern w:val="0"/>
                <w:sz w:val="24"/>
                <w:szCs w:val="24"/>
                <w:lang w:val="en-US" w:eastAsia="zh-CN"/>
              </w:rPr>
              <w:t>18</w:t>
            </w:r>
          </w:p>
        </w:tc>
        <w:tc>
          <w:tcPr>
            <w:tcW w:w="1328" w:type="dxa"/>
            <w:vMerge w:val="restart"/>
            <w:noWrap w:val="0"/>
            <w:tcMar>
              <w:top w:w="15" w:type="dxa"/>
              <w:left w:w="15" w:type="dxa"/>
              <w:right w:w="15" w:type="dxa"/>
            </w:tcMar>
            <w:vAlign w:val="center"/>
          </w:tcPr>
          <w:p w14:paraId="326915B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强化建筑垃圾全过程治理</w:t>
            </w:r>
          </w:p>
        </w:tc>
        <w:tc>
          <w:tcPr>
            <w:tcW w:w="7799" w:type="dxa"/>
            <w:noWrap w:val="0"/>
            <w:tcMar>
              <w:top w:w="15" w:type="dxa"/>
              <w:left w:w="15" w:type="dxa"/>
              <w:right w:w="15" w:type="dxa"/>
            </w:tcMar>
            <w:vAlign w:val="center"/>
          </w:tcPr>
          <w:p w14:paraId="75EA6D97">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highlight w:val="none"/>
              </w:rPr>
              <w:t>将施工现场建筑材料资源利用措施纳入绿色施工管理要求。新建建筑施工现场建筑垃圾（不包括工程渣土、工程泥浆）</w:t>
            </w:r>
            <w:r>
              <w:rPr>
                <w:rFonts w:hint="eastAsia" w:ascii="仿宋_GB2312" w:hAnsi="仿宋_GB2312" w:eastAsia="仿宋_GB2312" w:cs="仿宋_GB2312"/>
                <w:b w:val="0"/>
                <w:bCs w:val="0"/>
                <w:color w:val="auto"/>
                <w:kern w:val="0"/>
                <w:sz w:val="24"/>
                <w:szCs w:val="24"/>
              </w:rPr>
              <w:t>产生量每万平方米低于300 吨</w:t>
            </w:r>
            <w:r>
              <w:rPr>
                <w:rFonts w:hint="eastAsia" w:ascii="仿宋_GB2312" w:hAnsi="仿宋_GB2312" w:eastAsia="仿宋_GB2312" w:cs="仿宋_GB2312"/>
                <w:b w:val="0"/>
                <w:bCs w:val="0"/>
                <w:color w:val="auto"/>
                <w:kern w:val="0"/>
                <w:sz w:val="24"/>
                <w:szCs w:val="24"/>
                <w:lang w:eastAsia="zh-CN"/>
              </w:rPr>
              <w:t>，</w:t>
            </w:r>
            <w:r>
              <w:rPr>
                <w:rFonts w:hint="eastAsia" w:ascii="仿宋_GB2312" w:hAnsi="仿宋_GB2312" w:eastAsia="仿宋_GB2312" w:cs="仿宋_GB2312"/>
                <w:b w:val="0"/>
                <w:bCs w:val="0"/>
                <w:color w:val="auto"/>
                <w:kern w:val="0"/>
                <w:sz w:val="24"/>
                <w:szCs w:val="24"/>
              </w:rPr>
              <w:t>鼓励低于210吨</w:t>
            </w:r>
            <w:r>
              <w:rPr>
                <w:rFonts w:hint="eastAsia" w:ascii="仿宋_GB2312" w:hAnsi="仿宋_GB2312" w:eastAsia="仿宋_GB2312" w:cs="仿宋_GB2312"/>
                <w:b w:val="0"/>
                <w:bCs w:val="0"/>
                <w:color w:val="auto"/>
                <w:kern w:val="0"/>
                <w:sz w:val="24"/>
                <w:szCs w:val="24"/>
                <w:lang w:eastAsia="zh-CN"/>
              </w:rPr>
              <w:t>，</w:t>
            </w:r>
            <w:r>
              <w:rPr>
                <w:rFonts w:hint="eastAsia" w:ascii="仿宋_GB2312" w:hAnsi="仿宋_GB2312" w:eastAsia="仿宋_GB2312" w:cs="仿宋_GB2312"/>
                <w:b w:val="0"/>
                <w:bCs w:val="0"/>
                <w:color w:val="auto"/>
                <w:kern w:val="0"/>
                <w:sz w:val="24"/>
                <w:szCs w:val="24"/>
              </w:rPr>
              <w:t>其中装配式新建建筑施工现场建筑垃圾</w:t>
            </w:r>
            <w:r>
              <w:rPr>
                <w:rFonts w:hint="eastAsia" w:ascii="仿宋_GB2312" w:hAnsi="仿宋_GB2312" w:eastAsia="仿宋_GB2312" w:cs="仿宋_GB2312"/>
                <w:b w:val="0"/>
                <w:bCs w:val="0"/>
                <w:color w:val="auto"/>
                <w:kern w:val="0"/>
                <w:sz w:val="24"/>
                <w:szCs w:val="24"/>
                <w:lang w:eastAsia="zh-CN"/>
              </w:rPr>
              <w:t>（</w:t>
            </w:r>
            <w:r>
              <w:rPr>
                <w:rFonts w:hint="eastAsia" w:ascii="仿宋_GB2312" w:hAnsi="仿宋_GB2312" w:eastAsia="仿宋_GB2312" w:cs="仿宋_GB2312"/>
                <w:b w:val="0"/>
                <w:bCs w:val="0"/>
                <w:color w:val="auto"/>
                <w:kern w:val="0"/>
                <w:sz w:val="24"/>
                <w:szCs w:val="24"/>
              </w:rPr>
              <w:t>不包括工程渣土、工程泥浆</w:t>
            </w:r>
            <w:r>
              <w:rPr>
                <w:rFonts w:hint="eastAsia" w:ascii="仿宋_GB2312" w:hAnsi="仿宋_GB2312" w:eastAsia="仿宋_GB2312" w:cs="仿宋_GB2312"/>
                <w:b w:val="0"/>
                <w:bCs w:val="0"/>
                <w:color w:val="auto"/>
                <w:kern w:val="0"/>
                <w:sz w:val="24"/>
                <w:szCs w:val="24"/>
                <w:lang w:eastAsia="zh-CN"/>
              </w:rPr>
              <w:t>）</w:t>
            </w:r>
            <w:r>
              <w:rPr>
                <w:rFonts w:hint="eastAsia" w:ascii="仿宋_GB2312" w:hAnsi="仿宋_GB2312" w:eastAsia="仿宋_GB2312" w:cs="仿宋_GB2312"/>
                <w:b w:val="0"/>
                <w:bCs w:val="0"/>
                <w:color w:val="auto"/>
                <w:kern w:val="0"/>
                <w:sz w:val="24"/>
                <w:szCs w:val="24"/>
              </w:rPr>
              <w:t>产生量每万平方米低于200吨</w:t>
            </w:r>
            <w:r>
              <w:rPr>
                <w:rFonts w:hint="eastAsia" w:ascii="仿宋_GB2312" w:hAnsi="仿宋_GB2312" w:eastAsia="仿宋_GB2312" w:cs="仿宋_GB2312"/>
                <w:b w:val="0"/>
                <w:bCs w:val="0"/>
                <w:color w:val="auto"/>
                <w:kern w:val="0"/>
                <w:sz w:val="24"/>
                <w:szCs w:val="24"/>
                <w:lang w:eastAsia="zh-CN"/>
              </w:rPr>
              <w:t>，</w:t>
            </w:r>
            <w:r>
              <w:rPr>
                <w:rFonts w:hint="eastAsia" w:ascii="仿宋_GB2312" w:hAnsi="仿宋_GB2312" w:eastAsia="仿宋_GB2312" w:cs="仿宋_GB2312"/>
                <w:b w:val="0"/>
                <w:bCs w:val="0"/>
                <w:color w:val="auto"/>
                <w:kern w:val="0"/>
                <w:sz w:val="24"/>
                <w:szCs w:val="24"/>
              </w:rPr>
              <w:t>鼓励</w:t>
            </w:r>
            <w:r>
              <w:rPr>
                <w:rFonts w:hint="eastAsia" w:ascii="仿宋_GB2312" w:hAnsi="仿宋_GB2312" w:eastAsia="仿宋_GB2312" w:cs="仿宋_GB2312"/>
                <w:b w:val="0"/>
                <w:bCs w:val="0"/>
                <w:color w:val="auto"/>
                <w:kern w:val="0"/>
                <w:sz w:val="24"/>
                <w:szCs w:val="24"/>
                <w:lang w:eastAsia="zh-CN"/>
              </w:rPr>
              <w:t>低于</w:t>
            </w:r>
            <w:r>
              <w:rPr>
                <w:rFonts w:hint="eastAsia" w:ascii="仿宋_GB2312" w:hAnsi="仿宋_GB2312" w:eastAsia="仿宋_GB2312" w:cs="仿宋_GB2312"/>
                <w:b w:val="0"/>
                <w:bCs w:val="0"/>
                <w:color w:val="auto"/>
                <w:kern w:val="0"/>
                <w:sz w:val="24"/>
                <w:szCs w:val="24"/>
              </w:rPr>
              <w:t>140吨。</w:t>
            </w:r>
          </w:p>
        </w:tc>
        <w:tc>
          <w:tcPr>
            <w:tcW w:w="1365" w:type="dxa"/>
            <w:noWrap w:val="0"/>
            <w:tcMar>
              <w:top w:w="15" w:type="dxa"/>
              <w:left w:w="15" w:type="dxa"/>
              <w:right w:w="15" w:type="dxa"/>
            </w:tcMar>
            <w:vAlign w:val="center"/>
          </w:tcPr>
          <w:p w14:paraId="72C7009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7F43A9B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区住建委</w:t>
            </w:r>
          </w:p>
        </w:tc>
        <w:tc>
          <w:tcPr>
            <w:tcW w:w="1749" w:type="dxa"/>
            <w:noWrap w:val="0"/>
            <w:tcMar>
              <w:top w:w="15" w:type="dxa"/>
              <w:left w:w="15" w:type="dxa"/>
              <w:right w:w="15" w:type="dxa"/>
            </w:tcMar>
            <w:vAlign w:val="center"/>
          </w:tcPr>
          <w:p w14:paraId="6432B26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2516D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8" w:hRule="atLeast"/>
        </w:trPr>
        <w:tc>
          <w:tcPr>
            <w:tcW w:w="638" w:type="dxa"/>
            <w:vMerge w:val="continue"/>
            <w:noWrap w:val="0"/>
            <w:tcMar>
              <w:top w:w="15" w:type="dxa"/>
              <w:left w:w="15" w:type="dxa"/>
              <w:right w:w="15" w:type="dxa"/>
            </w:tcMar>
            <w:vAlign w:val="center"/>
          </w:tcPr>
          <w:p w14:paraId="2F8E22D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3BBB43D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6758821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完善建筑垃圾管理与服务平台，推动实现全过程数字化监控。探索完善建筑垃圾处置收费机制；健全建筑垃圾运输企业、处理设施“风险+信用”分级评价体系。</w:t>
            </w:r>
          </w:p>
        </w:tc>
        <w:tc>
          <w:tcPr>
            <w:tcW w:w="1365" w:type="dxa"/>
            <w:noWrap w:val="0"/>
            <w:tcMar>
              <w:top w:w="15" w:type="dxa"/>
              <w:left w:w="15" w:type="dxa"/>
              <w:right w:w="15" w:type="dxa"/>
            </w:tcMar>
            <w:vAlign w:val="center"/>
          </w:tcPr>
          <w:p w14:paraId="51A84DC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7604E9C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区城管委</w:t>
            </w:r>
          </w:p>
        </w:tc>
        <w:tc>
          <w:tcPr>
            <w:tcW w:w="1749" w:type="dxa"/>
            <w:noWrap w:val="0"/>
            <w:tcMar>
              <w:top w:w="15" w:type="dxa"/>
              <w:left w:w="15" w:type="dxa"/>
              <w:right w:w="15" w:type="dxa"/>
            </w:tcMar>
            <w:vAlign w:val="center"/>
          </w:tcPr>
          <w:p w14:paraId="4713702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区住建委</w:t>
            </w:r>
          </w:p>
        </w:tc>
      </w:tr>
      <w:tr w14:paraId="11CD12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638" w:type="dxa"/>
            <w:vMerge w:val="continue"/>
            <w:noWrap w:val="0"/>
            <w:tcMar>
              <w:top w:w="15" w:type="dxa"/>
              <w:left w:w="15" w:type="dxa"/>
              <w:right w:w="15" w:type="dxa"/>
            </w:tcMar>
            <w:vAlign w:val="center"/>
          </w:tcPr>
          <w:p w14:paraId="0227119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04F0F98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0299997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持续提升建筑垃圾资源化综合利用水平。鼓励符合标准的建筑垃圾再生骨料及制品在建筑工程和道路工程中应用</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使用财政性资金以及国有投资占控股或者主导地位的建设工程，在技术指标符合设计要求及满足使用功能的前提下，在道路、园林绿化、河道治理、人行步道等指定部位应用尽用建筑垃圾再生产品，原则上最低不少于30%。</w:t>
            </w:r>
          </w:p>
        </w:tc>
        <w:tc>
          <w:tcPr>
            <w:tcW w:w="1365" w:type="dxa"/>
            <w:noWrap w:val="0"/>
            <w:tcMar>
              <w:top w:w="15" w:type="dxa"/>
              <w:left w:w="15" w:type="dxa"/>
              <w:right w:w="15" w:type="dxa"/>
            </w:tcMar>
            <w:vAlign w:val="center"/>
          </w:tcPr>
          <w:p w14:paraId="637891C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3F7670C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区城管委</w:t>
            </w:r>
          </w:p>
          <w:p w14:paraId="2401BD1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区住建委</w:t>
            </w:r>
          </w:p>
          <w:p w14:paraId="7D74004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区市场监管局</w:t>
            </w:r>
          </w:p>
        </w:tc>
        <w:tc>
          <w:tcPr>
            <w:tcW w:w="1749" w:type="dxa"/>
            <w:noWrap w:val="0"/>
            <w:tcMar>
              <w:top w:w="15" w:type="dxa"/>
              <w:left w:w="15" w:type="dxa"/>
              <w:right w:w="15" w:type="dxa"/>
            </w:tcMar>
            <w:vAlign w:val="center"/>
          </w:tcPr>
          <w:p w14:paraId="291E2F6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区水务局</w:t>
            </w:r>
          </w:p>
          <w:p w14:paraId="477A579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区园林绿化局</w:t>
            </w:r>
          </w:p>
          <w:p w14:paraId="27AAD0CD">
            <w:pPr>
              <w:adjustRightInd w:val="0"/>
              <w:snapToGrid w:val="0"/>
              <w:ind w:firstLine="0"/>
              <w:jc w:val="center"/>
              <w:rPr>
                <w:rFonts w:hint="eastAsia" w:eastAsia="仿宋_GB2312"/>
                <w:lang w:val="en-US" w:eastAsia="zh-CN"/>
              </w:rPr>
            </w:pPr>
            <w:r>
              <w:rPr>
                <w:rFonts w:hint="eastAsia" w:ascii="仿宋_GB2312" w:hAnsi="仿宋_GB2312" w:eastAsia="仿宋_GB2312" w:cs="仿宋_GB2312"/>
                <w:kern w:val="0"/>
                <w:sz w:val="24"/>
                <w:szCs w:val="24"/>
                <w:lang w:val="en-US" w:eastAsia="zh-CN"/>
              </w:rPr>
              <w:t>区公路分局</w:t>
            </w:r>
          </w:p>
        </w:tc>
      </w:tr>
      <w:tr w14:paraId="5AC21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638" w:type="dxa"/>
            <w:vMerge w:val="continue"/>
            <w:noWrap w:val="0"/>
            <w:tcMar>
              <w:top w:w="15" w:type="dxa"/>
              <w:left w:w="15" w:type="dxa"/>
              <w:right w:w="15" w:type="dxa"/>
            </w:tcMar>
            <w:vAlign w:val="center"/>
          </w:tcPr>
          <w:p w14:paraId="2ADFF9CB">
            <w:pPr>
              <w:adjustRightInd w:val="0"/>
              <w:snapToGrid w:val="0"/>
              <w:ind w:firstLine="0"/>
              <w:jc w:val="center"/>
            </w:pPr>
          </w:p>
        </w:tc>
        <w:tc>
          <w:tcPr>
            <w:tcW w:w="1328" w:type="dxa"/>
            <w:vMerge w:val="continue"/>
            <w:noWrap w:val="0"/>
            <w:tcMar>
              <w:top w:w="15" w:type="dxa"/>
              <w:left w:w="15" w:type="dxa"/>
              <w:right w:w="15" w:type="dxa"/>
            </w:tcMar>
            <w:vAlign w:val="center"/>
          </w:tcPr>
          <w:p w14:paraId="1B2A1589">
            <w:pPr>
              <w:adjustRightInd w:val="0"/>
              <w:snapToGrid w:val="0"/>
              <w:ind w:firstLine="0"/>
              <w:jc w:val="center"/>
            </w:pPr>
          </w:p>
        </w:tc>
        <w:tc>
          <w:tcPr>
            <w:tcW w:w="7799" w:type="dxa"/>
            <w:noWrap w:val="0"/>
            <w:tcMar>
              <w:top w:w="15" w:type="dxa"/>
              <w:left w:w="15" w:type="dxa"/>
              <w:right w:w="15" w:type="dxa"/>
            </w:tcMar>
            <w:vAlign w:val="center"/>
          </w:tcPr>
          <w:p w14:paraId="48533CCB">
            <w:pPr>
              <w:adjustRightInd w:val="0"/>
              <w:snapToGrid w:val="0"/>
              <w:ind w:firstLine="0"/>
              <w:jc w:val="both"/>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聚焦市政、水务、绿化、房建、公路、重大项目等领域，建立建筑垃圾闭环管理机制，深入排查建筑垃圾产生、收集、贮存、运输、利用、处置等环节违法违规问题。</w:t>
            </w:r>
          </w:p>
        </w:tc>
        <w:tc>
          <w:tcPr>
            <w:tcW w:w="1365" w:type="dxa"/>
            <w:noWrap w:val="0"/>
            <w:tcMar>
              <w:top w:w="15" w:type="dxa"/>
              <w:left w:w="15" w:type="dxa"/>
              <w:right w:w="15" w:type="dxa"/>
            </w:tcMar>
            <w:vAlign w:val="center"/>
          </w:tcPr>
          <w:p w14:paraId="3DAAAEA1">
            <w:pPr>
              <w:adjustRightInd w:val="0"/>
              <w:snapToGrid w:val="0"/>
              <w:ind w:firstLine="0"/>
              <w:jc w:val="center"/>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lang w:val="en-US" w:eastAsia="zh-CN"/>
              </w:rPr>
              <w:t>年底前</w:t>
            </w:r>
          </w:p>
        </w:tc>
        <w:tc>
          <w:tcPr>
            <w:tcW w:w="1725" w:type="dxa"/>
            <w:noWrap w:val="0"/>
            <w:tcMar>
              <w:top w:w="15" w:type="dxa"/>
              <w:left w:w="15" w:type="dxa"/>
              <w:right w:w="15" w:type="dxa"/>
            </w:tcMar>
            <w:vAlign w:val="center"/>
          </w:tcPr>
          <w:p w14:paraId="3137F0FF">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区城管委</w:t>
            </w:r>
          </w:p>
          <w:p w14:paraId="633349FB">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区水务局</w:t>
            </w:r>
          </w:p>
          <w:p w14:paraId="7FA75BA9">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区园林绿化局</w:t>
            </w:r>
          </w:p>
          <w:p w14:paraId="57A64008">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区住建委</w:t>
            </w:r>
          </w:p>
          <w:p w14:paraId="5ACB4E1D">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区规自分局</w:t>
            </w:r>
          </w:p>
          <w:p w14:paraId="4FD35275">
            <w:pPr>
              <w:adjustRightInd w:val="0"/>
              <w:snapToGrid w:val="0"/>
              <w:ind w:firstLine="0"/>
              <w:jc w:val="center"/>
              <w:rPr>
                <w:rFonts w:hint="default"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rPr>
              <w:t>区重大</w:t>
            </w:r>
            <w:r>
              <w:rPr>
                <w:rFonts w:hint="eastAsia" w:ascii="仿宋_GB2312" w:hAnsi="仿宋_GB2312" w:eastAsia="仿宋_GB2312" w:cs="仿宋_GB2312"/>
                <w:kern w:val="0"/>
                <w:sz w:val="24"/>
                <w:szCs w:val="24"/>
                <w:highlight w:val="none"/>
                <w:lang w:val="en-US" w:eastAsia="zh-CN"/>
              </w:rPr>
              <w:t>项目中心</w:t>
            </w:r>
          </w:p>
          <w:p w14:paraId="1BE22AFB">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区公路分局</w:t>
            </w:r>
          </w:p>
        </w:tc>
        <w:tc>
          <w:tcPr>
            <w:tcW w:w="1749" w:type="dxa"/>
            <w:noWrap w:val="0"/>
            <w:tcMar>
              <w:top w:w="15" w:type="dxa"/>
              <w:left w:w="15" w:type="dxa"/>
              <w:right w:w="15" w:type="dxa"/>
            </w:tcMar>
            <w:vAlign w:val="center"/>
          </w:tcPr>
          <w:p w14:paraId="7893F34C">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区生态环境局</w:t>
            </w:r>
          </w:p>
          <w:p w14:paraId="1F0AD3A6">
            <w:pPr>
              <w:adjustRightInd w:val="0"/>
              <w:snapToGrid w:val="0"/>
              <w:ind w:firstLine="0"/>
              <w:jc w:val="center"/>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区城管执法局</w:t>
            </w:r>
          </w:p>
          <w:p w14:paraId="28D01C0F">
            <w:pPr>
              <w:pStyle w:val="3"/>
              <w:rPr>
                <w:rFonts w:hint="eastAsia" w:eastAsia="仿宋_GB2312"/>
                <w:highlight w:val="none"/>
                <w:lang w:val="en-US" w:eastAsia="zh-CN"/>
              </w:rPr>
            </w:pPr>
            <w:r>
              <w:rPr>
                <w:rFonts w:hint="eastAsia" w:ascii="仿宋_GB2312" w:hAnsi="仿宋_GB2312" w:eastAsia="仿宋_GB2312" w:cs="仿宋_GB2312"/>
                <w:kern w:val="0"/>
                <w:sz w:val="24"/>
                <w:szCs w:val="24"/>
                <w:highlight w:val="none"/>
                <w:lang w:val="en-US" w:eastAsia="zh-CN"/>
              </w:rPr>
              <w:t>各镇街</w:t>
            </w:r>
          </w:p>
        </w:tc>
      </w:tr>
      <w:tr w14:paraId="42B56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638" w:type="dxa"/>
            <w:vMerge w:val="continue"/>
            <w:noWrap w:val="0"/>
            <w:tcMar>
              <w:top w:w="15" w:type="dxa"/>
              <w:left w:w="15" w:type="dxa"/>
              <w:right w:w="15" w:type="dxa"/>
            </w:tcMar>
            <w:vAlign w:val="center"/>
          </w:tcPr>
          <w:p w14:paraId="601FB5F6">
            <w:pPr>
              <w:adjustRightInd w:val="0"/>
              <w:snapToGrid w:val="0"/>
              <w:ind w:firstLine="0"/>
              <w:jc w:val="center"/>
            </w:pPr>
          </w:p>
        </w:tc>
        <w:tc>
          <w:tcPr>
            <w:tcW w:w="1328" w:type="dxa"/>
            <w:vMerge w:val="continue"/>
            <w:noWrap w:val="0"/>
            <w:tcMar>
              <w:top w:w="15" w:type="dxa"/>
              <w:left w:w="15" w:type="dxa"/>
              <w:right w:w="15" w:type="dxa"/>
            </w:tcMar>
            <w:vAlign w:val="center"/>
          </w:tcPr>
          <w:p w14:paraId="580A0D48">
            <w:pPr>
              <w:adjustRightInd w:val="0"/>
              <w:snapToGrid w:val="0"/>
              <w:ind w:firstLine="0"/>
              <w:jc w:val="center"/>
            </w:pPr>
          </w:p>
        </w:tc>
        <w:tc>
          <w:tcPr>
            <w:tcW w:w="7799" w:type="dxa"/>
            <w:noWrap w:val="0"/>
            <w:tcMar>
              <w:top w:w="15" w:type="dxa"/>
              <w:left w:w="15" w:type="dxa"/>
              <w:right w:w="15" w:type="dxa"/>
            </w:tcMar>
            <w:vAlign w:val="center"/>
          </w:tcPr>
          <w:p w14:paraId="2F598AF0">
            <w:pPr>
              <w:adjustRightInd w:val="0"/>
              <w:snapToGrid w:val="0"/>
              <w:ind w:firstLine="0"/>
              <w:jc w:val="both"/>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加快开发空天地一体化生态环境保护监测预警系统，加大对渣土车溯源追查力度。</w:t>
            </w:r>
          </w:p>
        </w:tc>
        <w:tc>
          <w:tcPr>
            <w:tcW w:w="1365" w:type="dxa"/>
            <w:noWrap w:val="0"/>
            <w:tcMar>
              <w:top w:w="15" w:type="dxa"/>
              <w:left w:w="15" w:type="dxa"/>
              <w:right w:w="15" w:type="dxa"/>
            </w:tcMar>
            <w:vAlign w:val="center"/>
          </w:tcPr>
          <w:p w14:paraId="698A4019">
            <w:pPr>
              <w:adjustRightInd w:val="0"/>
              <w:snapToGrid w:val="0"/>
              <w:ind w:firstLine="0"/>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年底前</w:t>
            </w:r>
          </w:p>
        </w:tc>
        <w:tc>
          <w:tcPr>
            <w:tcW w:w="1725" w:type="dxa"/>
            <w:noWrap w:val="0"/>
            <w:tcMar>
              <w:top w:w="15" w:type="dxa"/>
              <w:left w:w="15" w:type="dxa"/>
              <w:right w:w="15" w:type="dxa"/>
            </w:tcMar>
            <w:vAlign w:val="center"/>
          </w:tcPr>
          <w:p w14:paraId="4F09D1CD">
            <w:pPr>
              <w:adjustRightInd w:val="0"/>
              <w:snapToGrid w:val="0"/>
              <w:ind w:firstLine="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区城管委</w:t>
            </w:r>
          </w:p>
          <w:p w14:paraId="411362F3">
            <w:pPr>
              <w:adjustRightInd w:val="0"/>
              <w:snapToGrid w:val="0"/>
              <w:ind w:firstLine="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tc>
        <w:tc>
          <w:tcPr>
            <w:tcW w:w="1749" w:type="dxa"/>
            <w:noWrap w:val="0"/>
            <w:tcMar>
              <w:top w:w="15" w:type="dxa"/>
              <w:left w:w="15" w:type="dxa"/>
              <w:right w:w="15" w:type="dxa"/>
            </w:tcMar>
            <w:vAlign w:val="center"/>
          </w:tcPr>
          <w:p w14:paraId="12B2AE25">
            <w:pPr>
              <w:adjustRightInd w:val="0"/>
              <w:snapToGrid w:val="0"/>
              <w:ind w:firstLine="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w:t>
            </w:r>
          </w:p>
        </w:tc>
      </w:tr>
      <w:tr w14:paraId="536BD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restart"/>
            <w:noWrap w:val="0"/>
            <w:tcMar>
              <w:top w:w="15" w:type="dxa"/>
              <w:left w:w="15" w:type="dxa"/>
              <w:right w:w="15" w:type="dxa"/>
            </w:tcMar>
            <w:vAlign w:val="center"/>
          </w:tcPr>
          <w:p w14:paraId="6E55764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kern w:val="0"/>
                <w:sz w:val="24"/>
                <w:szCs w:val="24"/>
                <w:lang w:val="en-US" w:eastAsia="zh-CN"/>
              </w:rPr>
              <w:t>19</w:t>
            </w:r>
          </w:p>
        </w:tc>
        <w:tc>
          <w:tcPr>
            <w:tcW w:w="1328" w:type="dxa"/>
            <w:vMerge w:val="restart"/>
            <w:noWrap w:val="0"/>
            <w:tcMar>
              <w:top w:w="15" w:type="dxa"/>
              <w:left w:w="15" w:type="dxa"/>
              <w:right w:w="15" w:type="dxa"/>
            </w:tcMar>
            <w:vAlign w:val="center"/>
          </w:tcPr>
          <w:p w14:paraId="7BAE33A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严密防控危险废物环境风险</w:t>
            </w:r>
          </w:p>
        </w:tc>
        <w:tc>
          <w:tcPr>
            <w:tcW w:w="7799" w:type="dxa"/>
            <w:noWrap w:val="0"/>
            <w:tcMar>
              <w:top w:w="15" w:type="dxa"/>
              <w:left w:w="15" w:type="dxa"/>
              <w:right w:w="15" w:type="dxa"/>
            </w:tcMar>
            <w:vAlign w:val="center"/>
          </w:tcPr>
          <w:p w14:paraId="736239DD">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严格控制危险废物填埋量，生活垃圾焚烧企业压减飞灰填埋量。</w:t>
            </w:r>
          </w:p>
        </w:tc>
        <w:tc>
          <w:tcPr>
            <w:tcW w:w="1365" w:type="dxa"/>
            <w:noWrap w:val="0"/>
            <w:tcMar>
              <w:top w:w="15" w:type="dxa"/>
              <w:left w:w="15" w:type="dxa"/>
              <w:right w:w="15" w:type="dxa"/>
            </w:tcMar>
            <w:vAlign w:val="center"/>
          </w:tcPr>
          <w:p w14:paraId="7812AF1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23A92C2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7EEDD7E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区城管委</w:t>
            </w:r>
          </w:p>
        </w:tc>
        <w:tc>
          <w:tcPr>
            <w:tcW w:w="1749" w:type="dxa"/>
            <w:noWrap w:val="0"/>
            <w:tcMar>
              <w:top w:w="15" w:type="dxa"/>
              <w:left w:w="15" w:type="dxa"/>
              <w:right w:w="15" w:type="dxa"/>
            </w:tcMar>
            <w:vAlign w:val="center"/>
          </w:tcPr>
          <w:p w14:paraId="4F17B08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61175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739D735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769707E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34D52F0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提升收运、利用、处置能力。持续完善小微产废单位危险废物收集转运试点及“小箱进大箱”医疗废物收运体系。</w:t>
            </w:r>
          </w:p>
        </w:tc>
        <w:tc>
          <w:tcPr>
            <w:tcW w:w="1365" w:type="dxa"/>
            <w:noWrap w:val="0"/>
            <w:tcMar>
              <w:top w:w="15" w:type="dxa"/>
              <w:left w:w="15" w:type="dxa"/>
              <w:right w:w="15" w:type="dxa"/>
            </w:tcMar>
            <w:vAlign w:val="center"/>
          </w:tcPr>
          <w:p w14:paraId="3352CAC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5DF02DA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5C0B69C4">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区卫健委</w:t>
            </w:r>
          </w:p>
        </w:tc>
        <w:tc>
          <w:tcPr>
            <w:tcW w:w="1749" w:type="dxa"/>
            <w:noWrap w:val="0"/>
            <w:tcMar>
              <w:top w:w="15" w:type="dxa"/>
              <w:left w:w="15" w:type="dxa"/>
              <w:right w:w="15" w:type="dxa"/>
            </w:tcMar>
            <w:vAlign w:val="center"/>
          </w:tcPr>
          <w:p w14:paraId="24DB0C4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3AE5F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 w:hRule="atLeast"/>
        </w:trPr>
        <w:tc>
          <w:tcPr>
            <w:tcW w:w="638" w:type="dxa"/>
            <w:vMerge w:val="continue"/>
            <w:noWrap w:val="0"/>
            <w:tcMar>
              <w:top w:w="15" w:type="dxa"/>
              <w:left w:w="15" w:type="dxa"/>
              <w:right w:w="15" w:type="dxa"/>
            </w:tcMar>
            <w:vAlign w:val="center"/>
          </w:tcPr>
          <w:p w14:paraId="1C4070F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29DC29C7">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3F8DA448">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研究在二级及以上医院探索运行医疗废物电子转移联单。</w:t>
            </w:r>
          </w:p>
        </w:tc>
        <w:tc>
          <w:tcPr>
            <w:tcW w:w="1365" w:type="dxa"/>
            <w:noWrap w:val="0"/>
            <w:tcMar>
              <w:top w:w="15" w:type="dxa"/>
              <w:left w:w="15" w:type="dxa"/>
              <w:right w:w="15" w:type="dxa"/>
            </w:tcMar>
            <w:vAlign w:val="center"/>
          </w:tcPr>
          <w:p w14:paraId="38ADDFD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年底前</w:t>
            </w:r>
          </w:p>
        </w:tc>
        <w:tc>
          <w:tcPr>
            <w:tcW w:w="1725" w:type="dxa"/>
            <w:noWrap w:val="0"/>
            <w:tcMar>
              <w:top w:w="15" w:type="dxa"/>
              <w:left w:w="15" w:type="dxa"/>
              <w:right w:w="15" w:type="dxa"/>
            </w:tcMar>
            <w:vAlign w:val="center"/>
          </w:tcPr>
          <w:p w14:paraId="5631B9B3">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区卫健委</w:t>
            </w:r>
          </w:p>
        </w:tc>
        <w:tc>
          <w:tcPr>
            <w:tcW w:w="1749" w:type="dxa"/>
            <w:noWrap w:val="0"/>
            <w:tcMar>
              <w:top w:w="15" w:type="dxa"/>
              <w:left w:w="15" w:type="dxa"/>
              <w:right w:w="15" w:type="dxa"/>
            </w:tcMar>
            <w:vAlign w:val="center"/>
          </w:tcPr>
          <w:p w14:paraId="40B83A1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48299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638" w:type="dxa"/>
            <w:vMerge w:val="restart"/>
            <w:noWrap w:val="0"/>
            <w:tcMar>
              <w:top w:w="15" w:type="dxa"/>
              <w:left w:w="15" w:type="dxa"/>
              <w:right w:w="15" w:type="dxa"/>
            </w:tcMar>
            <w:vAlign w:val="center"/>
          </w:tcPr>
          <w:p w14:paraId="3541E664">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kern w:val="0"/>
                <w:sz w:val="24"/>
                <w:szCs w:val="24"/>
                <w:lang w:val="en-US" w:eastAsia="zh-CN"/>
              </w:rPr>
              <w:t>20</w:t>
            </w:r>
          </w:p>
        </w:tc>
        <w:tc>
          <w:tcPr>
            <w:tcW w:w="1328" w:type="dxa"/>
            <w:vMerge w:val="restart"/>
            <w:noWrap w:val="0"/>
            <w:tcMar>
              <w:top w:w="15" w:type="dxa"/>
              <w:left w:w="15" w:type="dxa"/>
              <w:right w:w="15" w:type="dxa"/>
            </w:tcMar>
            <w:vAlign w:val="center"/>
          </w:tcPr>
          <w:p w14:paraId="6E4258A5">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推动其他固体废物资源化综合利用</w:t>
            </w:r>
          </w:p>
        </w:tc>
        <w:tc>
          <w:tcPr>
            <w:tcW w:w="7799" w:type="dxa"/>
            <w:noWrap w:val="0"/>
            <w:tcMar>
              <w:top w:w="15" w:type="dxa"/>
              <w:left w:w="15" w:type="dxa"/>
              <w:right w:w="15" w:type="dxa"/>
            </w:tcMar>
            <w:vAlign w:val="center"/>
          </w:tcPr>
          <w:p w14:paraId="47E9DBC5">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highlight w:val="none"/>
                <w:lang w:eastAsia="zh-CN"/>
              </w:rPr>
              <w:t>推动农作物秸秆可收集资源利用，资源化利用畜禽粪污。</w:t>
            </w:r>
          </w:p>
        </w:tc>
        <w:tc>
          <w:tcPr>
            <w:tcW w:w="1365" w:type="dxa"/>
            <w:noWrap w:val="0"/>
            <w:tcMar>
              <w:top w:w="15" w:type="dxa"/>
              <w:left w:w="15" w:type="dxa"/>
              <w:right w:w="15" w:type="dxa"/>
            </w:tcMar>
            <w:vAlign w:val="center"/>
          </w:tcPr>
          <w:p w14:paraId="1567EB6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42A6378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区农业农村局</w:t>
            </w:r>
          </w:p>
        </w:tc>
        <w:tc>
          <w:tcPr>
            <w:tcW w:w="1749" w:type="dxa"/>
            <w:noWrap w:val="0"/>
            <w:tcMar>
              <w:top w:w="15" w:type="dxa"/>
              <w:left w:w="15" w:type="dxa"/>
              <w:right w:w="15" w:type="dxa"/>
            </w:tcMar>
            <w:vAlign w:val="center"/>
          </w:tcPr>
          <w:p w14:paraId="6C489EB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各镇街</w:t>
            </w:r>
          </w:p>
        </w:tc>
      </w:tr>
      <w:tr w14:paraId="12E654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3A1C1DC8">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2BD98CE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39510B64">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highlight w:val="none"/>
                <w:lang w:val="en-US" w:eastAsia="zh-CN"/>
              </w:rPr>
              <w:t>配合市级部门开展园林绿化废弃物资源化处置情况及需求摸底工作，持续推动园林绿化废弃物资源化利用技术研究和推广应用，宣传园林绿化废弃物资源化利用成效。</w:t>
            </w:r>
          </w:p>
        </w:tc>
        <w:tc>
          <w:tcPr>
            <w:tcW w:w="1365" w:type="dxa"/>
            <w:noWrap w:val="0"/>
            <w:tcMar>
              <w:top w:w="15" w:type="dxa"/>
              <w:left w:w="15" w:type="dxa"/>
              <w:right w:w="15" w:type="dxa"/>
            </w:tcMar>
            <w:vAlign w:val="center"/>
          </w:tcPr>
          <w:p w14:paraId="6DECCBB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0405302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区园林绿化局</w:t>
            </w:r>
          </w:p>
        </w:tc>
        <w:tc>
          <w:tcPr>
            <w:tcW w:w="1749" w:type="dxa"/>
            <w:noWrap w:val="0"/>
            <w:tcMar>
              <w:top w:w="15" w:type="dxa"/>
              <w:left w:w="15" w:type="dxa"/>
              <w:right w:w="15" w:type="dxa"/>
            </w:tcMar>
            <w:vAlign w:val="center"/>
          </w:tcPr>
          <w:p w14:paraId="3BDC143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538C5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38" w:type="dxa"/>
            <w:vMerge w:val="continue"/>
            <w:noWrap w:val="0"/>
            <w:tcMar>
              <w:top w:w="15" w:type="dxa"/>
              <w:left w:w="15" w:type="dxa"/>
              <w:right w:w="15" w:type="dxa"/>
            </w:tcMar>
            <w:vAlign w:val="center"/>
          </w:tcPr>
          <w:p w14:paraId="23F471A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14B3134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18802F3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highlight w:val="none"/>
              </w:rPr>
              <w:t>推动市政污泥与生活垃圾、餐厨垃圾等协同处理试点，研究提升污泥本地资源化利用和处置保障能力。</w:t>
            </w:r>
          </w:p>
        </w:tc>
        <w:tc>
          <w:tcPr>
            <w:tcW w:w="1365" w:type="dxa"/>
            <w:noWrap w:val="0"/>
            <w:tcMar>
              <w:top w:w="15" w:type="dxa"/>
              <w:left w:w="15" w:type="dxa"/>
              <w:right w:w="15" w:type="dxa"/>
            </w:tcMar>
            <w:vAlign w:val="center"/>
          </w:tcPr>
          <w:p w14:paraId="69F6688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681A38B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区水务局</w:t>
            </w:r>
          </w:p>
        </w:tc>
        <w:tc>
          <w:tcPr>
            <w:tcW w:w="1749" w:type="dxa"/>
            <w:noWrap w:val="0"/>
            <w:tcMar>
              <w:top w:w="15" w:type="dxa"/>
              <w:left w:w="15" w:type="dxa"/>
              <w:right w:w="15" w:type="dxa"/>
            </w:tcMar>
            <w:vAlign w:val="center"/>
          </w:tcPr>
          <w:p w14:paraId="526C5C9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区园林绿化局</w:t>
            </w:r>
          </w:p>
          <w:p w14:paraId="2F3C358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区城管委</w:t>
            </w:r>
          </w:p>
        </w:tc>
      </w:tr>
      <w:tr w14:paraId="3FA29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7" w:hRule="atLeast"/>
        </w:trPr>
        <w:tc>
          <w:tcPr>
            <w:tcW w:w="638" w:type="dxa"/>
            <w:vMerge w:val="restart"/>
            <w:noWrap w:val="0"/>
            <w:tcMar>
              <w:top w:w="15" w:type="dxa"/>
              <w:left w:w="15" w:type="dxa"/>
              <w:right w:w="15" w:type="dxa"/>
            </w:tcMar>
            <w:vAlign w:val="center"/>
          </w:tcPr>
          <w:p w14:paraId="257DF638">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kern w:val="0"/>
                <w:sz w:val="24"/>
                <w:szCs w:val="24"/>
                <w:lang w:val="en-US" w:eastAsia="zh-CN"/>
              </w:rPr>
              <w:t>21</w:t>
            </w:r>
          </w:p>
        </w:tc>
        <w:tc>
          <w:tcPr>
            <w:tcW w:w="1328" w:type="dxa"/>
            <w:vMerge w:val="restart"/>
            <w:noWrap w:val="0"/>
            <w:tcMar>
              <w:top w:w="15" w:type="dxa"/>
              <w:left w:w="15" w:type="dxa"/>
              <w:right w:w="15" w:type="dxa"/>
            </w:tcMar>
            <w:vAlign w:val="center"/>
          </w:tcPr>
          <w:p w14:paraId="277D8444">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开展固废排查治理</w:t>
            </w:r>
          </w:p>
        </w:tc>
        <w:tc>
          <w:tcPr>
            <w:tcW w:w="7799" w:type="dxa"/>
            <w:noWrap w:val="0"/>
            <w:tcMar>
              <w:top w:w="15" w:type="dxa"/>
              <w:left w:w="15" w:type="dxa"/>
              <w:right w:w="15" w:type="dxa"/>
            </w:tcMar>
            <w:vAlign w:val="center"/>
          </w:tcPr>
          <w:p w14:paraId="44F2442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全面开展工业固体废物、危险废物、生活垃圾、建筑垃圾、市政污泥等固体废物非法运输、倾倒、填埋、处置排查。依法及时查处违法行为，指导督促责任主体制定整改方案并落实整改。持续开展建筑垃圾“零点行动”，严厉打击非法跨省转移处置固体废物行为。</w:t>
            </w:r>
          </w:p>
        </w:tc>
        <w:tc>
          <w:tcPr>
            <w:tcW w:w="1365" w:type="dxa"/>
            <w:noWrap w:val="0"/>
            <w:tcMar>
              <w:top w:w="15" w:type="dxa"/>
              <w:left w:w="15" w:type="dxa"/>
              <w:right w:w="15" w:type="dxa"/>
            </w:tcMar>
            <w:vAlign w:val="center"/>
          </w:tcPr>
          <w:p w14:paraId="127FCD8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2C40314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7E3E013D">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区公安分局</w:t>
            </w:r>
          </w:p>
          <w:p w14:paraId="7EF88BF6">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区规自分局</w:t>
            </w:r>
          </w:p>
          <w:p w14:paraId="35AE134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区住建委</w:t>
            </w:r>
          </w:p>
          <w:p w14:paraId="4EE7D91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区城管委</w:t>
            </w:r>
          </w:p>
          <w:p w14:paraId="4C486A6D">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区交通局</w:t>
            </w:r>
          </w:p>
          <w:p w14:paraId="44B2308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区水务局</w:t>
            </w:r>
          </w:p>
          <w:p w14:paraId="27CA5C7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区园林绿化局</w:t>
            </w:r>
          </w:p>
        </w:tc>
        <w:tc>
          <w:tcPr>
            <w:tcW w:w="1749" w:type="dxa"/>
            <w:noWrap w:val="0"/>
            <w:tcMar>
              <w:top w:w="15" w:type="dxa"/>
              <w:left w:w="15" w:type="dxa"/>
              <w:right w:w="15" w:type="dxa"/>
            </w:tcMar>
            <w:vAlign w:val="center"/>
          </w:tcPr>
          <w:p w14:paraId="17A119B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6660F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638" w:type="dxa"/>
            <w:vMerge w:val="continue"/>
            <w:noWrap w:val="0"/>
            <w:tcMar>
              <w:top w:w="15" w:type="dxa"/>
              <w:left w:w="15" w:type="dxa"/>
              <w:right w:w="15" w:type="dxa"/>
            </w:tcMar>
            <w:vAlign w:val="center"/>
          </w:tcPr>
          <w:p w14:paraId="33A427DD">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494E0988">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7EDAF20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开展生活垃圾填埋场环境污染隐患排查治理工作，</w:t>
            </w:r>
            <w:r>
              <w:rPr>
                <w:rFonts w:hint="eastAsia" w:ascii="仿宋_GB2312" w:hAnsi="仿宋_GB2312" w:eastAsia="仿宋_GB2312" w:cs="仿宋_GB2312"/>
                <w:kern w:val="0"/>
                <w:sz w:val="24"/>
                <w:szCs w:val="24"/>
                <w:lang w:val="en-US" w:eastAsia="zh-CN"/>
              </w:rPr>
              <w:t>科学评估</w:t>
            </w:r>
            <w:r>
              <w:rPr>
                <w:rFonts w:hint="eastAsia" w:ascii="仿宋_GB2312" w:hAnsi="仿宋_GB2312" w:eastAsia="仿宋_GB2312" w:cs="仿宋_GB2312"/>
                <w:kern w:val="0"/>
                <w:sz w:val="24"/>
                <w:szCs w:val="24"/>
              </w:rPr>
              <w:t>填埋场</w:t>
            </w:r>
            <w:r>
              <w:rPr>
                <w:rFonts w:hint="eastAsia" w:ascii="仿宋_GB2312" w:hAnsi="仿宋_GB2312" w:eastAsia="仿宋_GB2312" w:cs="仿宋_GB2312"/>
                <w:kern w:val="0"/>
                <w:sz w:val="24"/>
                <w:szCs w:val="24"/>
                <w:lang w:val="en-US" w:eastAsia="zh-CN"/>
              </w:rPr>
              <w:t>风险状况，“一场一策”制定综合治理方案</w:t>
            </w:r>
            <w:r>
              <w:rPr>
                <w:rFonts w:hint="eastAsia" w:ascii="仿宋_GB2312" w:hAnsi="仿宋_GB2312" w:eastAsia="仿宋_GB2312" w:cs="仿宋_GB2312"/>
                <w:kern w:val="0"/>
                <w:sz w:val="24"/>
                <w:szCs w:val="24"/>
              </w:rPr>
              <w:t>。</w:t>
            </w:r>
          </w:p>
        </w:tc>
        <w:tc>
          <w:tcPr>
            <w:tcW w:w="1365" w:type="dxa"/>
            <w:noWrap w:val="0"/>
            <w:tcMar>
              <w:top w:w="15" w:type="dxa"/>
              <w:left w:w="15" w:type="dxa"/>
              <w:right w:w="15" w:type="dxa"/>
            </w:tcMar>
            <w:vAlign w:val="center"/>
          </w:tcPr>
          <w:p w14:paraId="5FBD795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321C442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34BF9A3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区城管委</w:t>
            </w:r>
          </w:p>
        </w:tc>
        <w:tc>
          <w:tcPr>
            <w:tcW w:w="1749" w:type="dxa"/>
            <w:noWrap w:val="0"/>
            <w:tcMar>
              <w:top w:w="15" w:type="dxa"/>
              <w:left w:w="15" w:type="dxa"/>
              <w:right w:w="15" w:type="dxa"/>
            </w:tcMar>
            <w:vAlign w:val="center"/>
          </w:tcPr>
          <w:p w14:paraId="2C2DF7C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区发改委</w:t>
            </w:r>
          </w:p>
          <w:p w14:paraId="79894546">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区水务局</w:t>
            </w:r>
          </w:p>
        </w:tc>
      </w:tr>
      <w:tr w14:paraId="13D5E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8" w:type="dxa"/>
            <w:vMerge w:val="restart"/>
            <w:noWrap w:val="0"/>
            <w:tcMar>
              <w:top w:w="15" w:type="dxa"/>
              <w:left w:w="15" w:type="dxa"/>
              <w:right w:w="15" w:type="dxa"/>
            </w:tcMar>
            <w:vAlign w:val="center"/>
          </w:tcPr>
          <w:p w14:paraId="5D057FB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kern w:val="0"/>
                <w:sz w:val="24"/>
                <w:szCs w:val="24"/>
                <w:lang w:val="en-US" w:eastAsia="zh-CN"/>
              </w:rPr>
              <w:t>22</w:t>
            </w:r>
          </w:p>
        </w:tc>
        <w:tc>
          <w:tcPr>
            <w:tcW w:w="1328" w:type="dxa"/>
            <w:vMerge w:val="restart"/>
            <w:noWrap w:val="0"/>
            <w:tcMar>
              <w:top w:w="15" w:type="dxa"/>
              <w:left w:w="15" w:type="dxa"/>
              <w:right w:w="15" w:type="dxa"/>
            </w:tcMar>
            <w:vAlign w:val="center"/>
          </w:tcPr>
          <w:p w14:paraId="3E2B7A48">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推动“无废城市”建设</w:t>
            </w:r>
          </w:p>
        </w:tc>
        <w:tc>
          <w:tcPr>
            <w:tcW w:w="7799" w:type="dxa"/>
            <w:noWrap w:val="0"/>
            <w:tcMar>
              <w:top w:w="15" w:type="dxa"/>
              <w:left w:w="15" w:type="dxa"/>
              <w:right w:w="15" w:type="dxa"/>
            </w:tcMar>
            <w:vAlign w:val="center"/>
          </w:tcPr>
          <w:p w14:paraId="2647816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spacing w:val="-11"/>
                <w:kern w:val="0"/>
                <w:sz w:val="24"/>
                <w:szCs w:val="24"/>
              </w:rPr>
              <w:t>细化“无废城市”建设工作措施。</w:t>
            </w:r>
          </w:p>
        </w:tc>
        <w:tc>
          <w:tcPr>
            <w:tcW w:w="1365" w:type="dxa"/>
            <w:noWrap w:val="0"/>
            <w:tcMar>
              <w:top w:w="15" w:type="dxa"/>
              <w:left w:w="15" w:type="dxa"/>
              <w:right w:w="15" w:type="dxa"/>
            </w:tcMar>
            <w:vAlign w:val="center"/>
          </w:tcPr>
          <w:p w14:paraId="4699B37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2635B07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区生态环境局</w:t>
            </w:r>
          </w:p>
        </w:tc>
        <w:tc>
          <w:tcPr>
            <w:tcW w:w="1749" w:type="dxa"/>
            <w:noWrap w:val="0"/>
            <w:tcMar>
              <w:top w:w="15" w:type="dxa"/>
              <w:left w:w="15" w:type="dxa"/>
              <w:right w:w="15" w:type="dxa"/>
            </w:tcMar>
            <w:vAlign w:val="center"/>
          </w:tcPr>
          <w:p w14:paraId="5FB997D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区城管委</w:t>
            </w:r>
          </w:p>
        </w:tc>
      </w:tr>
      <w:tr w14:paraId="0E209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6" w:hRule="atLeast"/>
        </w:trPr>
        <w:tc>
          <w:tcPr>
            <w:tcW w:w="638" w:type="dxa"/>
            <w:vMerge w:val="continue"/>
            <w:noWrap w:val="0"/>
            <w:tcMar>
              <w:top w:w="15" w:type="dxa"/>
              <w:left w:w="15" w:type="dxa"/>
              <w:right w:w="15" w:type="dxa"/>
            </w:tcMar>
            <w:vAlign w:val="center"/>
          </w:tcPr>
          <w:p w14:paraId="1954B6C1">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20B192DD">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15418FF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开展“无废乡村”“无废学校”等典型</w:t>
            </w:r>
            <w:r>
              <w:rPr>
                <w:rFonts w:hint="eastAsia" w:ascii="仿宋_GB2312" w:hAnsi="仿宋_GB2312" w:eastAsia="仿宋_GB2312" w:cs="仿宋_GB2312"/>
                <w:kern w:val="0"/>
                <w:sz w:val="24"/>
                <w:szCs w:val="24"/>
                <w:lang w:val="en-US" w:eastAsia="zh-CN"/>
              </w:rPr>
              <w:t>样板建设</w:t>
            </w:r>
            <w:r>
              <w:rPr>
                <w:rFonts w:hint="eastAsia" w:ascii="仿宋_GB2312" w:hAnsi="仿宋_GB2312" w:eastAsia="仿宋_GB2312" w:cs="仿宋_GB2312"/>
                <w:kern w:val="0"/>
                <w:sz w:val="24"/>
                <w:szCs w:val="24"/>
              </w:rPr>
              <w:t>。</w:t>
            </w:r>
          </w:p>
        </w:tc>
        <w:tc>
          <w:tcPr>
            <w:tcW w:w="1365" w:type="dxa"/>
            <w:noWrap w:val="0"/>
            <w:tcMar>
              <w:top w:w="15" w:type="dxa"/>
              <w:left w:w="15" w:type="dxa"/>
              <w:right w:w="15" w:type="dxa"/>
            </w:tcMar>
            <w:vAlign w:val="center"/>
          </w:tcPr>
          <w:p w14:paraId="243823C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725" w:type="dxa"/>
            <w:noWrap w:val="0"/>
            <w:tcMar>
              <w:top w:w="15" w:type="dxa"/>
              <w:left w:w="15" w:type="dxa"/>
              <w:right w:w="15" w:type="dxa"/>
            </w:tcMar>
            <w:vAlign w:val="center"/>
          </w:tcPr>
          <w:p w14:paraId="0D4ED57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区生态环境局</w:t>
            </w:r>
          </w:p>
        </w:tc>
        <w:tc>
          <w:tcPr>
            <w:tcW w:w="1749" w:type="dxa"/>
            <w:noWrap w:val="0"/>
            <w:tcMar>
              <w:top w:w="15" w:type="dxa"/>
              <w:left w:w="15" w:type="dxa"/>
              <w:right w:w="15" w:type="dxa"/>
            </w:tcMar>
            <w:vAlign w:val="center"/>
          </w:tcPr>
          <w:p w14:paraId="7F946AE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区农业农村局</w:t>
            </w:r>
          </w:p>
          <w:p w14:paraId="1F0B94AA">
            <w:pPr>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区教委</w:t>
            </w:r>
          </w:p>
          <w:p w14:paraId="7A0A8BFE">
            <w:pPr>
              <w:pStyle w:val="15"/>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各镇街</w:t>
            </w:r>
          </w:p>
        </w:tc>
      </w:tr>
      <w:tr w14:paraId="10D94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4604" w:type="dxa"/>
            <w:gridSpan w:val="6"/>
            <w:noWrap w:val="0"/>
            <w:tcMar>
              <w:top w:w="15" w:type="dxa"/>
              <w:left w:w="15" w:type="dxa"/>
              <w:right w:w="15" w:type="dxa"/>
            </w:tcMar>
            <w:vAlign w:val="center"/>
          </w:tcPr>
          <w:p w14:paraId="64635A0B">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24"/>
                <w:szCs w:val="24"/>
                <w:lang w:eastAsia="zh-CN"/>
              </w:rPr>
              <w:t>（三）</w:t>
            </w:r>
            <w:r>
              <w:rPr>
                <w:rFonts w:hint="eastAsia" w:ascii="黑体" w:hAnsi="黑体" w:eastAsia="黑体" w:cs="黑体"/>
                <w:sz w:val="24"/>
                <w:szCs w:val="24"/>
                <w:lang w:eastAsia="zh-CN"/>
              </w:rPr>
              <w:t>提升新污染物管控水平</w:t>
            </w:r>
          </w:p>
        </w:tc>
      </w:tr>
      <w:tr w14:paraId="2B395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38" w:type="dxa"/>
            <w:vMerge w:val="restart"/>
            <w:noWrap w:val="0"/>
            <w:tcMar>
              <w:top w:w="15" w:type="dxa"/>
              <w:left w:w="15" w:type="dxa"/>
              <w:right w:w="15" w:type="dxa"/>
            </w:tcMar>
            <w:vAlign w:val="center"/>
          </w:tcPr>
          <w:p w14:paraId="72144B1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黑体" w:hAnsi="黑体" w:eastAsia="黑体" w:cs="黑体"/>
                <w:color w:val="auto"/>
                <w:sz w:val="32"/>
                <w:szCs w:val="32"/>
                <w:lang w:val="en-US" w:eastAsia="zh-CN"/>
              </w:rPr>
            </w:pPr>
            <w:r>
              <w:rPr>
                <w:rFonts w:hint="eastAsia" w:ascii="仿宋_GB2312" w:hAnsi="仿宋_GB2312" w:eastAsia="仿宋_GB2312" w:cs="仿宋_GB2312"/>
                <w:kern w:val="0"/>
                <w:sz w:val="24"/>
                <w:szCs w:val="24"/>
                <w:lang w:val="en-US" w:eastAsia="zh-CN"/>
              </w:rPr>
              <w:t>23</w:t>
            </w:r>
          </w:p>
        </w:tc>
        <w:tc>
          <w:tcPr>
            <w:tcW w:w="1328" w:type="dxa"/>
            <w:vMerge w:val="restart"/>
            <w:noWrap w:val="0"/>
            <w:tcMar>
              <w:top w:w="15" w:type="dxa"/>
              <w:left w:w="15" w:type="dxa"/>
              <w:right w:w="15" w:type="dxa"/>
            </w:tcMar>
            <w:vAlign w:val="center"/>
          </w:tcPr>
          <w:p w14:paraId="23AA41B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加强药品使用管理</w:t>
            </w:r>
          </w:p>
        </w:tc>
        <w:tc>
          <w:tcPr>
            <w:tcW w:w="7799" w:type="dxa"/>
            <w:noWrap w:val="0"/>
            <w:tcMar>
              <w:top w:w="15" w:type="dxa"/>
              <w:left w:w="15" w:type="dxa"/>
              <w:right w:w="15" w:type="dxa"/>
            </w:tcMar>
            <w:vAlign w:val="center"/>
          </w:tcPr>
          <w:p w14:paraId="79E3F00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加强抗菌药物临床应用管理，开展抗菌药物及细菌耐药监测；严格落实零售药店凭处方销售处方药类抗菌药物。</w:t>
            </w:r>
          </w:p>
        </w:tc>
        <w:tc>
          <w:tcPr>
            <w:tcW w:w="1365" w:type="dxa"/>
            <w:noWrap w:val="0"/>
            <w:tcMar>
              <w:top w:w="15" w:type="dxa"/>
              <w:left w:w="15" w:type="dxa"/>
              <w:right w:w="15" w:type="dxa"/>
            </w:tcMar>
            <w:vAlign w:val="center"/>
          </w:tcPr>
          <w:p w14:paraId="2B5C725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年底前</w:t>
            </w:r>
          </w:p>
        </w:tc>
        <w:tc>
          <w:tcPr>
            <w:tcW w:w="1725" w:type="dxa"/>
            <w:noWrap w:val="0"/>
            <w:tcMar>
              <w:top w:w="15" w:type="dxa"/>
              <w:left w:w="15" w:type="dxa"/>
              <w:right w:w="15" w:type="dxa"/>
            </w:tcMar>
            <w:vAlign w:val="center"/>
          </w:tcPr>
          <w:p w14:paraId="5349945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b w:val="0"/>
                <w:bCs/>
                <w:kern w:val="0"/>
                <w:sz w:val="24"/>
                <w:szCs w:val="24"/>
                <w:lang w:val="en-US" w:eastAsia="zh-CN" w:bidi="ar-SA"/>
              </w:rPr>
            </w:pPr>
            <w:r>
              <w:rPr>
                <w:rFonts w:hint="eastAsia" w:ascii="仿宋_GB2312" w:hAnsi="仿宋_GB2312" w:eastAsia="仿宋_GB2312" w:cs="仿宋_GB2312"/>
                <w:b w:val="0"/>
                <w:bCs/>
                <w:kern w:val="0"/>
                <w:sz w:val="24"/>
                <w:szCs w:val="24"/>
                <w:lang w:val="en-US" w:eastAsia="zh-CN" w:bidi="ar-SA"/>
              </w:rPr>
              <w:t>区卫健委</w:t>
            </w:r>
          </w:p>
          <w:p w14:paraId="06992721">
            <w:pPr>
              <w:pStyle w:val="4"/>
              <w:jc w:val="center"/>
              <w:rPr>
                <w:rFonts w:hint="eastAsia" w:eastAsia="仿宋_GB2312"/>
                <w:lang w:val="en-US" w:eastAsia="zh-CN"/>
              </w:rPr>
            </w:pPr>
            <w:r>
              <w:rPr>
                <w:rFonts w:hint="eastAsia" w:ascii="仿宋_GB2312" w:hAnsi="仿宋_GB2312" w:eastAsia="仿宋_GB2312" w:cs="仿宋_GB2312"/>
                <w:b w:val="0"/>
                <w:bCs/>
                <w:kern w:val="0"/>
                <w:sz w:val="24"/>
                <w:szCs w:val="24"/>
                <w:lang w:val="en-US" w:eastAsia="zh-CN"/>
              </w:rPr>
              <w:t>区市场监管局</w:t>
            </w:r>
          </w:p>
        </w:tc>
        <w:tc>
          <w:tcPr>
            <w:tcW w:w="1749" w:type="dxa"/>
            <w:noWrap w:val="0"/>
            <w:tcMar>
              <w:top w:w="15" w:type="dxa"/>
              <w:left w:w="15" w:type="dxa"/>
              <w:right w:w="15" w:type="dxa"/>
            </w:tcMar>
            <w:vAlign w:val="center"/>
          </w:tcPr>
          <w:p w14:paraId="677590D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w:t>
            </w:r>
          </w:p>
        </w:tc>
      </w:tr>
      <w:tr w14:paraId="192EE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638" w:type="dxa"/>
            <w:vMerge w:val="continue"/>
            <w:noWrap w:val="0"/>
            <w:tcMar>
              <w:top w:w="15" w:type="dxa"/>
              <w:left w:w="15" w:type="dxa"/>
              <w:right w:w="15" w:type="dxa"/>
            </w:tcMar>
            <w:vAlign w:val="center"/>
          </w:tcPr>
          <w:p w14:paraId="110A301B">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p>
        </w:tc>
        <w:tc>
          <w:tcPr>
            <w:tcW w:w="1328" w:type="dxa"/>
            <w:vMerge w:val="continue"/>
            <w:noWrap w:val="0"/>
            <w:tcMar>
              <w:top w:w="15" w:type="dxa"/>
              <w:left w:w="15" w:type="dxa"/>
              <w:right w:w="15" w:type="dxa"/>
            </w:tcMar>
            <w:vAlign w:val="center"/>
          </w:tcPr>
          <w:p w14:paraId="3562ECF8">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p>
        </w:tc>
        <w:tc>
          <w:tcPr>
            <w:tcW w:w="7799" w:type="dxa"/>
            <w:noWrap w:val="0"/>
            <w:tcMar>
              <w:top w:w="15" w:type="dxa"/>
              <w:left w:w="15" w:type="dxa"/>
              <w:right w:w="15" w:type="dxa"/>
            </w:tcMar>
            <w:vAlign w:val="center"/>
          </w:tcPr>
          <w:p w14:paraId="6DEE357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lang w:eastAsia="zh-CN"/>
              </w:rPr>
              <w:t>开展兽药质量监督抽检、动物源细菌耐药性监测；强化兽药使用监督管理，提升养殖环节规范用药水平。</w:t>
            </w:r>
          </w:p>
        </w:tc>
        <w:tc>
          <w:tcPr>
            <w:tcW w:w="1365" w:type="dxa"/>
            <w:noWrap w:val="0"/>
            <w:tcMar>
              <w:top w:w="15" w:type="dxa"/>
              <w:left w:w="15" w:type="dxa"/>
              <w:right w:w="15" w:type="dxa"/>
            </w:tcMar>
            <w:vAlign w:val="center"/>
          </w:tcPr>
          <w:p w14:paraId="1557DF9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年底前</w:t>
            </w:r>
          </w:p>
        </w:tc>
        <w:tc>
          <w:tcPr>
            <w:tcW w:w="1725" w:type="dxa"/>
            <w:noWrap w:val="0"/>
            <w:tcMar>
              <w:top w:w="15" w:type="dxa"/>
              <w:left w:w="15" w:type="dxa"/>
              <w:right w:w="15" w:type="dxa"/>
            </w:tcMar>
            <w:vAlign w:val="center"/>
          </w:tcPr>
          <w:p w14:paraId="23BA3D2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区农业农村局</w:t>
            </w:r>
          </w:p>
        </w:tc>
        <w:tc>
          <w:tcPr>
            <w:tcW w:w="1749" w:type="dxa"/>
            <w:noWrap w:val="0"/>
            <w:tcMar>
              <w:top w:w="15" w:type="dxa"/>
              <w:left w:w="15" w:type="dxa"/>
              <w:right w:w="15" w:type="dxa"/>
            </w:tcMar>
            <w:vAlign w:val="center"/>
          </w:tcPr>
          <w:p w14:paraId="71719D6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w:t>
            </w:r>
          </w:p>
        </w:tc>
      </w:tr>
      <w:tr w14:paraId="1E5F0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continue"/>
            <w:noWrap w:val="0"/>
            <w:tcMar>
              <w:top w:w="15" w:type="dxa"/>
              <w:left w:w="15" w:type="dxa"/>
              <w:right w:w="15" w:type="dxa"/>
            </w:tcMar>
            <w:vAlign w:val="center"/>
          </w:tcPr>
          <w:p w14:paraId="5D8BDA30">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p>
        </w:tc>
        <w:tc>
          <w:tcPr>
            <w:tcW w:w="1328" w:type="dxa"/>
            <w:vMerge w:val="continue"/>
            <w:noWrap w:val="0"/>
            <w:tcMar>
              <w:top w:w="15" w:type="dxa"/>
              <w:left w:w="15" w:type="dxa"/>
              <w:right w:w="15" w:type="dxa"/>
            </w:tcMar>
            <w:vAlign w:val="center"/>
          </w:tcPr>
          <w:p w14:paraId="022C645E">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p>
        </w:tc>
        <w:tc>
          <w:tcPr>
            <w:tcW w:w="7799" w:type="dxa"/>
            <w:noWrap w:val="0"/>
            <w:tcMar>
              <w:top w:w="15" w:type="dxa"/>
              <w:left w:w="15" w:type="dxa"/>
              <w:right w:w="15" w:type="dxa"/>
            </w:tcMar>
            <w:vAlign w:val="center"/>
          </w:tcPr>
          <w:p w14:paraId="055023A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lang w:eastAsia="zh-CN"/>
              </w:rPr>
              <w:t>探索建立医疗、制药等重点领域抗生素生产使用量统计渠道。研究推动居民家庭废药品回收。</w:t>
            </w:r>
          </w:p>
        </w:tc>
        <w:tc>
          <w:tcPr>
            <w:tcW w:w="1365" w:type="dxa"/>
            <w:noWrap w:val="0"/>
            <w:tcMar>
              <w:top w:w="15" w:type="dxa"/>
              <w:left w:w="15" w:type="dxa"/>
              <w:right w:w="15" w:type="dxa"/>
            </w:tcMar>
            <w:vAlign w:val="center"/>
          </w:tcPr>
          <w:p w14:paraId="2E02DE2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年底前</w:t>
            </w:r>
          </w:p>
        </w:tc>
        <w:tc>
          <w:tcPr>
            <w:tcW w:w="1725" w:type="dxa"/>
            <w:noWrap w:val="0"/>
            <w:tcMar>
              <w:top w:w="15" w:type="dxa"/>
              <w:left w:w="15" w:type="dxa"/>
              <w:right w:w="15" w:type="dxa"/>
            </w:tcMar>
            <w:vAlign w:val="center"/>
          </w:tcPr>
          <w:p w14:paraId="72A8755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区卫健委</w:t>
            </w:r>
          </w:p>
          <w:p w14:paraId="6C95E00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区医保局</w:t>
            </w:r>
          </w:p>
          <w:p w14:paraId="2C37C02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区市场监管局</w:t>
            </w:r>
          </w:p>
          <w:p w14:paraId="1F00E79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7F3735C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区城管委</w:t>
            </w:r>
          </w:p>
        </w:tc>
        <w:tc>
          <w:tcPr>
            <w:tcW w:w="1749" w:type="dxa"/>
            <w:noWrap w:val="0"/>
            <w:tcMar>
              <w:top w:w="15" w:type="dxa"/>
              <w:left w:w="15" w:type="dxa"/>
              <w:right w:w="15" w:type="dxa"/>
            </w:tcMar>
            <w:vAlign w:val="center"/>
          </w:tcPr>
          <w:p w14:paraId="2792ADF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w:t>
            </w:r>
          </w:p>
        </w:tc>
      </w:tr>
      <w:tr w14:paraId="77FED2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restart"/>
            <w:noWrap w:val="0"/>
            <w:tcMar>
              <w:top w:w="15" w:type="dxa"/>
              <w:left w:w="15" w:type="dxa"/>
              <w:right w:w="15" w:type="dxa"/>
            </w:tcMar>
            <w:vAlign w:val="center"/>
          </w:tcPr>
          <w:p w14:paraId="487976D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黑体" w:hAnsi="黑体" w:eastAsia="黑体" w:cs="黑体"/>
                <w:color w:val="auto"/>
                <w:sz w:val="32"/>
                <w:szCs w:val="32"/>
                <w:lang w:val="en-US" w:eastAsia="zh-CN"/>
              </w:rPr>
            </w:pPr>
            <w:r>
              <w:rPr>
                <w:rFonts w:hint="eastAsia" w:ascii="仿宋_GB2312" w:hAnsi="仿宋_GB2312" w:eastAsia="仿宋_GB2312" w:cs="仿宋_GB2312"/>
                <w:kern w:val="0"/>
                <w:sz w:val="24"/>
                <w:szCs w:val="24"/>
                <w:lang w:val="en-US" w:eastAsia="zh-CN"/>
              </w:rPr>
              <w:t>24</w:t>
            </w:r>
          </w:p>
        </w:tc>
        <w:tc>
          <w:tcPr>
            <w:tcW w:w="1328" w:type="dxa"/>
            <w:vMerge w:val="restart"/>
            <w:noWrap w:val="0"/>
            <w:tcMar>
              <w:top w:w="15" w:type="dxa"/>
              <w:left w:w="15" w:type="dxa"/>
              <w:right w:w="15" w:type="dxa"/>
            </w:tcMar>
            <w:vAlign w:val="center"/>
          </w:tcPr>
          <w:p w14:paraId="3B8EE16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提升新污染物监管能力</w:t>
            </w:r>
          </w:p>
        </w:tc>
        <w:tc>
          <w:tcPr>
            <w:tcW w:w="7799" w:type="dxa"/>
            <w:noWrap w:val="0"/>
            <w:tcMar>
              <w:top w:w="15" w:type="dxa"/>
              <w:left w:w="15" w:type="dxa"/>
              <w:right w:w="15" w:type="dxa"/>
            </w:tcMar>
            <w:vAlign w:val="center"/>
          </w:tcPr>
          <w:p w14:paraId="7D16658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严格管控具有环境持久性、生物累积性等特性的农药及助剂。推广应用高效低风险农药，开展农药使用风险隐患排查，</w:t>
            </w:r>
            <w:r>
              <w:rPr>
                <w:rFonts w:hint="eastAsia" w:ascii="仿宋_GB2312" w:hAnsi="仿宋_GB2312" w:eastAsia="仿宋_GB2312" w:cs="仿宋_GB2312"/>
                <w:kern w:val="0"/>
                <w:sz w:val="24"/>
                <w:szCs w:val="24"/>
                <w:lang w:eastAsia="zh-CN"/>
              </w:rPr>
              <w:t>增强</w:t>
            </w:r>
            <w:r>
              <w:rPr>
                <w:rFonts w:hint="eastAsia" w:ascii="仿宋_GB2312" w:hAnsi="仿宋_GB2312" w:eastAsia="仿宋_GB2312" w:cs="仿宋_GB2312"/>
                <w:kern w:val="0"/>
                <w:sz w:val="24"/>
                <w:szCs w:val="24"/>
              </w:rPr>
              <w:t>使用者科学安全用药意识和水平。</w:t>
            </w:r>
          </w:p>
        </w:tc>
        <w:tc>
          <w:tcPr>
            <w:tcW w:w="1365" w:type="dxa"/>
            <w:noWrap w:val="0"/>
            <w:tcMar>
              <w:top w:w="15" w:type="dxa"/>
              <w:left w:w="15" w:type="dxa"/>
              <w:right w:w="15" w:type="dxa"/>
            </w:tcMar>
            <w:vAlign w:val="center"/>
          </w:tcPr>
          <w:p w14:paraId="07F56C2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年底前</w:t>
            </w:r>
          </w:p>
        </w:tc>
        <w:tc>
          <w:tcPr>
            <w:tcW w:w="1725" w:type="dxa"/>
            <w:noWrap w:val="0"/>
            <w:tcMar>
              <w:top w:w="15" w:type="dxa"/>
              <w:left w:w="15" w:type="dxa"/>
              <w:right w:w="15" w:type="dxa"/>
            </w:tcMar>
            <w:vAlign w:val="center"/>
          </w:tcPr>
          <w:p w14:paraId="25B189D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区农业农村局</w:t>
            </w:r>
          </w:p>
          <w:p w14:paraId="06F97FA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区园林绿化局</w:t>
            </w:r>
          </w:p>
        </w:tc>
        <w:tc>
          <w:tcPr>
            <w:tcW w:w="1749" w:type="dxa"/>
            <w:noWrap w:val="0"/>
            <w:tcMar>
              <w:top w:w="15" w:type="dxa"/>
              <w:left w:w="15" w:type="dxa"/>
              <w:right w:w="15" w:type="dxa"/>
            </w:tcMar>
            <w:vAlign w:val="center"/>
          </w:tcPr>
          <w:p w14:paraId="7A3D66D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w:t>
            </w:r>
          </w:p>
        </w:tc>
      </w:tr>
      <w:tr w14:paraId="69A3F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continue"/>
            <w:noWrap w:val="0"/>
            <w:tcMar>
              <w:top w:w="15" w:type="dxa"/>
              <w:left w:w="15" w:type="dxa"/>
              <w:right w:w="15" w:type="dxa"/>
            </w:tcMar>
            <w:vAlign w:val="center"/>
          </w:tcPr>
          <w:p w14:paraId="64C062F4">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p>
        </w:tc>
        <w:tc>
          <w:tcPr>
            <w:tcW w:w="1328" w:type="dxa"/>
            <w:vMerge w:val="continue"/>
            <w:noWrap w:val="0"/>
            <w:tcMar>
              <w:top w:w="15" w:type="dxa"/>
              <w:left w:w="15" w:type="dxa"/>
              <w:right w:w="15" w:type="dxa"/>
            </w:tcMar>
            <w:vAlign w:val="center"/>
          </w:tcPr>
          <w:p w14:paraId="401A05B5">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p>
        </w:tc>
        <w:tc>
          <w:tcPr>
            <w:tcW w:w="7799" w:type="dxa"/>
            <w:noWrap w:val="0"/>
            <w:tcMar>
              <w:top w:w="15" w:type="dxa"/>
              <w:left w:w="15" w:type="dxa"/>
              <w:right w:w="15" w:type="dxa"/>
            </w:tcMar>
            <w:vAlign w:val="center"/>
          </w:tcPr>
          <w:p w14:paraId="56CC6B4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按要求完成2026年度化学物质环境信息统计调查工作。</w:t>
            </w:r>
          </w:p>
        </w:tc>
        <w:tc>
          <w:tcPr>
            <w:tcW w:w="1365" w:type="dxa"/>
            <w:noWrap w:val="0"/>
            <w:tcMar>
              <w:top w:w="15" w:type="dxa"/>
              <w:left w:w="15" w:type="dxa"/>
              <w:right w:w="15" w:type="dxa"/>
            </w:tcMar>
            <w:vAlign w:val="center"/>
          </w:tcPr>
          <w:p w14:paraId="5882F5E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年底前</w:t>
            </w:r>
          </w:p>
        </w:tc>
        <w:tc>
          <w:tcPr>
            <w:tcW w:w="1725" w:type="dxa"/>
            <w:noWrap w:val="0"/>
            <w:tcMar>
              <w:top w:w="15" w:type="dxa"/>
              <w:left w:w="15" w:type="dxa"/>
              <w:right w:w="15" w:type="dxa"/>
            </w:tcMar>
            <w:vAlign w:val="center"/>
          </w:tcPr>
          <w:p w14:paraId="3046036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区生态环境局</w:t>
            </w:r>
          </w:p>
        </w:tc>
        <w:tc>
          <w:tcPr>
            <w:tcW w:w="1749" w:type="dxa"/>
            <w:noWrap w:val="0"/>
            <w:tcMar>
              <w:top w:w="15" w:type="dxa"/>
              <w:left w:w="15" w:type="dxa"/>
              <w:right w:w="15" w:type="dxa"/>
            </w:tcMar>
            <w:vAlign w:val="center"/>
          </w:tcPr>
          <w:p w14:paraId="0260F8B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黑体" w:hAnsi="黑体" w:eastAsia="黑体" w:cs="黑体"/>
                <w:color w:val="auto"/>
                <w:sz w:val="32"/>
                <w:szCs w:val="32"/>
                <w:lang w:eastAsia="zh-CN"/>
              </w:rPr>
            </w:pPr>
            <w:r>
              <w:rPr>
                <w:rFonts w:hint="eastAsia" w:ascii="仿宋_GB2312" w:hAnsi="仿宋_GB2312" w:eastAsia="仿宋_GB2312" w:cs="仿宋_GB2312"/>
                <w:kern w:val="0"/>
                <w:sz w:val="24"/>
                <w:szCs w:val="24"/>
              </w:rPr>
              <w:t>——</w:t>
            </w:r>
          </w:p>
        </w:tc>
      </w:tr>
      <w:tr w14:paraId="11D35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604" w:type="dxa"/>
            <w:gridSpan w:val="6"/>
            <w:noWrap w:val="0"/>
            <w:tcMar>
              <w:top w:w="15" w:type="dxa"/>
              <w:left w:w="15" w:type="dxa"/>
              <w:right w:w="15" w:type="dxa"/>
            </w:tcMar>
            <w:vAlign w:val="center"/>
          </w:tcPr>
          <w:p w14:paraId="40342F42">
            <w:pPr>
              <w:keepNext w:val="0"/>
              <w:keepLines w:val="0"/>
              <w:pageBreakBefore w:val="0"/>
              <w:widowControl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三、加强</w:t>
            </w:r>
            <w:r>
              <w:rPr>
                <w:rFonts w:hint="eastAsia" w:ascii="黑体" w:hAnsi="黑体" w:eastAsia="黑体" w:cs="黑体"/>
                <w:color w:val="auto"/>
                <w:sz w:val="32"/>
                <w:szCs w:val="32"/>
              </w:rPr>
              <w:t>生态保护</w:t>
            </w:r>
          </w:p>
        </w:tc>
      </w:tr>
      <w:tr w14:paraId="67DFE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604" w:type="dxa"/>
            <w:gridSpan w:val="6"/>
            <w:noWrap w:val="0"/>
            <w:tcMar>
              <w:top w:w="15" w:type="dxa"/>
              <w:left w:w="15" w:type="dxa"/>
              <w:right w:w="15" w:type="dxa"/>
            </w:tcMar>
            <w:vAlign w:val="center"/>
          </w:tcPr>
          <w:p w14:paraId="089E0DDD">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黑体" w:hAnsi="黑体" w:eastAsia="黑体" w:cs="黑体"/>
                <w:color w:val="auto"/>
                <w:sz w:val="24"/>
                <w:szCs w:val="24"/>
                <w:lang w:eastAsia="zh-CN"/>
              </w:rPr>
              <w:t>（一）</w:t>
            </w:r>
            <w:r>
              <w:rPr>
                <w:rFonts w:hint="eastAsia" w:ascii="黑体" w:hAnsi="黑体" w:eastAsia="黑体" w:cs="黑体"/>
                <w:color w:val="auto"/>
                <w:sz w:val="24"/>
                <w:szCs w:val="24"/>
              </w:rPr>
              <w:t>生态环境质量状况目标</w:t>
            </w:r>
          </w:p>
        </w:tc>
      </w:tr>
      <w:tr w14:paraId="31BED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638" w:type="dxa"/>
            <w:noWrap w:val="0"/>
            <w:tcMar>
              <w:top w:w="15" w:type="dxa"/>
              <w:left w:w="15" w:type="dxa"/>
              <w:right w:w="15" w:type="dxa"/>
            </w:tcMar>
            <w:vAlign w:val="center"/>
          </w:tcPr>
          <w:p w14:paraId="66ADB01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25</w:t>
            </w:r>
          </w:p>
        </w:tc>
        <w:tc>
          <w:tcPr>
            <w:tcW w:w="1328" w:type="dxa"/>
            <w:noWrap w:val="0"/>
            <w:tcMar>
              <w:top w:w="15" w:type="dxa"/>
              <w:left w:w="15" w:type="dxa"/>
              <w:right w:w="15" w:type="dxa"/>
            </w:tcMar>
            <w:vAlign w:val="center"/>
          </w:tcPr>
          <w:p w14:paraId="1A83BC6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目标任务</w:t>
            </w:r>
          </w:p>
        </w:tc>
        <w:tc>
          <w:tcPr>
            <w:tcW w:w="7799" w:type="dxa"/>
            <w:noWrap w:val="0"/>
            <w:tcMar>
              <w:top w:w="15" w:type="dxa"/>
              <w:left w:w="15" w:type="dxa"/>
              <w:right w:w="15" w:type="dxa"/>
            </w:tcMar>
            <w:vAlign w:val="center"/>
          </w:tcPr>
          <w:p w14:paraId="489B4174">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全区生态环境质量指数（EI）力争稳中向好。</w:t>
            </w:r>
          </w:p>
        </w:tc>
        <w:tc>
          <w:tcPr>
            <w:tcW w:w="1365" w:type="dxa"/>
            <w:noWrap w:val="0"/>
            <w:tcMar>
              <w:top w:w="15" w:type="dxa"/>
              <w:left w:w="15" w:type="dxa"/>
              <w:right w:w="15" w:type="dxa"/>
            </w:tcMar>
            <w:vAlign w:val="center"/>
          </w:tcPr>
          <w:p w14:paraId="1139E2F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03AF7087">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pacing w:val="0"/>
                <w:sz w:val="24"/>
                <w:szCs w:val="24"/>
                <w:highlight w:val="none"/>
                <w:lang w:eastAsia="zh-CN"/>
              </w:rPr>
              <w:t>区</w:t>
            </w:r>
            <w:r>
              <w:rPr>
                <w:rFonts w:hint="eastAsia" w:ascii="仿宋_GB2312" w:hAnsi="仿宋_GB2312" w:eastAsia="仿宋_GB2312" w:cs="仿宋_GB2312"/>
                <w:color w:val="auto"/>
                <w:sz w:val="24"/>
                <w:szCs w:val="24"/>
              </w:rPr>
              <w:t>生态环境局</w:t>
            </w:r>
          </w:p>
        </w:tc>
        <w:tc>
          <w:tcPr>
            <w:tcW w:w="1749" w:type="dxa"/>
            <w:noWrap w:val="0"/>
            <w:tcMar>
              <w:top w:w="15" w:type="dxa"/>
              <w:left w:w="15" w:type="dxa"/>
              <w:right w:w="15" w:type="dxa"/>
            </w:tcMar>
            <w:vAlign w:val="center"/>
          </w:tcPr>
          <w:p w14:paraId="2C1F1811">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区规</w:t>
            </w:r>
            <w:r>
              <w:rPr>
                <w:rFonts w:hint="eastAsia" w:ascii="仿宋_GB2312" w:hAnsi="仿宋_GB2312" w:eastAsia="仿宋_GB2312" w:cs="仿宋_GB2312"/>
                <w:color w:val="auto"/>
                <w:sz w:val="24"/>
                <w:szCs w:val="24"/>
              </w:rPr>
              <w:t>自</w:t>
            </w:r>
            <w:r>
              <w:rPr>
                <w:rFonts w:hint="eastAsia" w:ascii="仿宋_GB2312" w:hAnsi="仿宋_GB2312" w:eastAsia="仿宋_GB2312" w:cs="仿宋_GB2312"/>
                <w:color w:val="auto"/>
                <w:sz w:val="24"/>
                <w:szCs w:val="24"/>
                <w:lang w:eastAsia="zh-CN"/>
              </w:rPr>
              <w:t>分</w:t>
            </w:r>
            <w:r>
              <w:rPr>
                <w:rFonts w:hint="eastAsia" w:ascii="仿宋_GB2312" w:hAnsi="仿宋_GB2312" w:eastAsia="仿宋_GB2312" w:cs="仿宋_GB2312"/>
                <w:color w:val="auto"/>
                <w:sz w:val="24"/>
                <w:szCs w:val="24"/>
              </w:rPr>
              <w:t>局</w:t>
            </w:r>
          </w:p>
          <w:p w14:paraId="611E49B7">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pacing w:val="0"/>
                <w:sz w:val="24"/>
                <w:szCs w:val="24"/>
                <w:highlight w:val="none"/>
                <w:lang w:eastAsia="zh-CN"/>
              </w:rPr>
              <w:t>区</w:t>
            </w:r>
            <w:r>
              <w:rPr>
                <w:rFonts w:hint="eastAsia" w:ascii="仿宋_GB2312" w:hAnsi="仿宋_GB2312" w:eastAsia="仿宋_GB2312" w:cs="仿宋_GB2312"/>
                <w:color w:val="auto"/>
                <w:sz w:val="24"/>
                <w:szCs w:val="24"/>
                <w:highlight w:val="none"/>
                <w:lang w:eastAsia="zh-CN"/>
              </w:rPr>
              <w:t>园林绿化局</w:t>
            </w:r>
          </w:p>
          <w:p w14:paraId="2163EA2D">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CN"/>
              </w:rPr>
              <w:t>区水务局</w:t>
            </w:r>
          </w:p>
        </w:tc>
      </w:tr>
      <w:tr w14:paraId="464C2F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14604" w:type="dxa"/>
            <w:gridSpan w:val="6"/>
            <w:noWrap w:val="0"/>
            <w:tcMar>
              <w:top w:w="15" w:type="dxa"/>
              <w:left w:w="15" w:type="dxa"/>
              <w:right w:w="15" w:type="dxa"/>
            </w:tcMar>
            <w:vAlign w:val="center"/>
          </w:tcPr>
          <w:p w14:paraId="0D9D9D5D">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黑体" w:hAnsi="黑体" w:eastAsia="黑体" w:cs="黑体"/>
                <w:color w:val="auto"/>
                <w:sz w:val="24"/>
                <w:szCs w:val="24"/>
                <w:lang w:eastAsia="zh-CN"/>
              </w:rPr>
              <w:t>（二）</w:t>
            </w:r>
            <w:r>
              <w:rPr>
                <w:rFonts w:hint="eastAsia" w:ascii="黑体" w:hAnsi="黑体" w:eastAsia="黑体" w:cs="黑体"/>
                <w:color w:val="auto"/>
                <w:sz w:val="24"/>
                <w:szCs w:val="24"/>
              </w:rPr>
              <w:t>强化生物多样性保护</w:t>
            </w:r>
          </w:p>
        </w:tc>
      </w:tr>
      <w:tr w14:paraId="0DBDF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638" w:type="dxa"/>
            <w:noWrap w:val="0"/>
            <w:tcMar>
              <w:top w:w="15" w:type="dxa"/>
              <w:left w:w="15" w:type="dxa"/>
              <w:right w:w="15" w:type="dxa"/>
            </w:tcMar>
            <w:vAlign w:val="center"/>
          </w:tcPr>
          <w:p w14:paraId="60ECC1B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26</w:t>
            </w:r>
          </w:p>
        </w:tc>
        <w:tc>
          <w:tcPr>
            <w:tcW w:w="1328" w:type="dxa"/>
            <w:noWrap w:val="0"/>
            <w:tcMar>
              <w:top w:w="15" w:type="dxa"/>
              <w:left w:w="15" w:type="dxa"/>
              <w:right w:w="15" w:type="dxa"/>
            </w:tcMar>
            <w:vAlign w:val="center"/>
          </w:tcPr>
          <w:p w14:paraId="450D676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强化工作机制</w:t>
            </w:r>
          </w:p>
        </w:tc>
        <w:tc>
          <w:tcPr>
            <w:tcW w:w="7799" w:type="dxa"/>
            <w:noWrap w:val="0"/>
            <w:tcMar>
              <w:top w:w="15" w:type="dxa"/>
              <w:left w:w="15" w:type="dxa"/>
              <w:right w:w="15" w:type="dxa"/>
            </w:tcMar>
            <w:vAlign w:val="center"/>
          </w:tcPr>
          <w:p w14:paraId="28E95CD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lang w:val="en-US" w:eastAsia="zh-CN"/>
              </w:rPr>
              <w:t>深化生物多样性保护联席会议机制，加强跨部门信息互通、成果共享与协同联动，提升生态环境问题的响应与处置能力，</w:t>
            </w:r>
            <w:r>
              <w:rPr>
                <w:rFonts w:hint="eastAsia" w:ascii="仿宋_GB2312" w:hAnsi="仿宋_GB2312" w:eastAsia="仿宋_GB2312" w:cs="仿宋_GB2312"/>
                <w:color w:val="auto"/>
                <w:kern w:val="0"/>
                <w:sz w:val="24"/>
                <w:szCs w:val="24"/>
              </w:rPr>
              <w:t>统筹</w:t>
            </w:r>
            <w:r>
              <w:rPr>
                <w:rFonts w:hint="eastAsia" w:ascii="仿宋_GB2312" w:hAnsi="仿宋_GB2312" w:eastAsia="仿宋_GB2312" w:cs="仿宋_GB2312"/>
                <w:color w:val="auto"/>
                <w:kern w:val="0"/>
                <w:sz w:val="24"/>
                <w:szCs w:val="24"/>
                <w:lang w:val="en-US" w:eastAsia="zh-CN"/>
              </w:rPr>
              <w:t>推进</w:t>
            </w:r>
            <w:r>
              <w:rPr>
                <w:rFonts w:hint="eastAsia" w:ascii="仿宋_GB2312" w:hAnsi="仿宋_GB2312" w:eastAsia="仿宋_GB2312" w:cs="仿宋_GB2312"/>
                <w:color w:val="auto"/>
                <w:kern w:val="0"/>
                <w:sz w:val="24"/>
                <w:szCs w:val="24"/>
              </w:rPr>
              <w:t>生态环境质量</w:t>
            </w:r>
            <w:r>
              <w:rPr>
                <w:rFonts w:hint="eastAsia" w:ascii="仿宋_GB2312" w:hAnsi="仿宋_GB2312" w:eastAsia="仿宋_GB2312" w:cs="仿宋_GB2312"/>
                <w:color w:val="auto"/>
                <w:kern w:val="0"/>
                <w:sz w:val="24"/>
                <w:szCs w:val="24"/>
                <w:lang w:val="en-US" w:eastAsia="zh-CN"/>
              </w:rPr>
              <w:t>提升与</w:t>
            </w:r>
            <w:r>
              <w:rPr>
                <w:rFonts w:hint="eastAsia" w:ascii="仿宋_GB2312" w:hAnsi="仿宋_GB2312" w:eastAsia="仿宋_GB2312" w:cs="仿宋_GB2312"/>
                <w:color w:val="auto"/>
                <w:kern w:val="0"/>
                <w:sz w:val="24"/>
                <w:szCs w:val="24"/>
              </w:rPr>
              <w:t>生态保护修复监管</w:t>
            </w:r>
            <w:r>
              <w:rPr>
                <w:rFonts w:hint="eastAsia" w:ascii="仿宋_GB2312" w:hAnsi="仿宋_GB2312" w:eastAsia="仿宋_GB2312" w:cs="仿宋_GB2312"/>
                <w:color w:val="auto"/>
                <w:kern w:val="0"/>
                <w:sz w:val="24"/>
                <w:szCs w:val="24"/>
                <w:lang w:val="en-US" w:eastAsia="zh-CN"/>
              </w:rPr>
              <w:t>工作落实</w:t>
            </w:r>
            <w:r>
              <w:rPr>
                <w:rFonts w:hint="eastAsia" w:ascii="仿宋_GB2312" w:hAnsi="仿宋_GB2312" w:eastAsia="仿宋_GB2312" w:cs="仿宋_GB2312"/>
                <w:color w:val="auto"/>
                <w:kern w:val="0"/>
                <w:sz w:val="24"/>
                <w:szCs w:val="24"/>
              </w:rPr>
              <w:t>。</w:t>
            </w:r>
          </w:p>
        </w:tc>
        <w:tc>
          <w:tcPr>
            <w:tcW w:w="1365" w:type="dxa"/>
            <w:noWrap w:val="0"/>
            <w:tcMar>
              <w:top w:w="15" w:type="dxa"/>
              <w:left w:w="15" w:type="dxa"/>
              <w:right w:w="15" w:type="dxa"/>
            </w:tcMar>
            <w:vAlign w:val="center"/>
          </w:tcPr>
          <w:p w14:paraId="07E21D5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6B4FC46A">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pacing w:val="0"/>
                <w:sz w:val="24"/>
                <w:szCs w:val="24"/>
                <w:highlight w:val="none"/>
                <w:lang w:eastAsia="zh-CN"/>
              </w:rPr>
              <w:t>区生态环境局</w:t>
            </w:r>
          </w:p>
        </w:tc>
        <w:tc>
          <w:tcPr>
            <w:tcW w:w="1749" w:type="dxa"/>
            <w:noWrap w:val="0"/>
            <w:tcMar>
              <w:top w:w="15" w:type="dxa"/>
              <w:left w:w="15" w:type="dxa"/>
              <w:right w:w="15" w:type="dxa"/>
            </w:tcMar>
            <w:vAlign w:val="center"/>
          </w:tcPr>
          <w:p w14:paraId="01E5A5F5">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区园林绿化局</w:t>
            </w:r>
          </w:p>
          <w:p w14:paraId="610A36EC">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区农业农村局</w:t>
            </w:r>
          </w:p>
          <w:p w14:paraId="766AD86C">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区规自分局</w:t>
            </w:r>
          </w:p>
          <w:p w14:paraId="2E0B8CB9">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CN"/>
              </w:rPr>
              <w:t>百花山管理处</w:t>
            </w:r>
          </w:p>
        </w:tc>
      </w:tr>
      <w:tr w14:paraId="1B76D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638" w:type="dxa"/>
            <w:noWrap w:val="0"/>
            <w:tcMar>
              <w:top w:w="15" w:type="dxa"/>
              <w:left w:w="15" w:type="dxa"/>
              <w:right w:w="15" w:type="dxa"/>
            </w:tcMar>
            <w:vAlign w:val="center"/>
          </w:tcPr>
          <w:p w14:paraId="53B5D9F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27</w:t>
            </w:r>
          </w:p>
        </w:tc>
        <w:tc>
          <w:tcPr>
            <w:tcW w:w="1328" w:type="dxa"/>
            <w:noWrap w:val="0"/>
            <w:tcMar>
              <w:top w:w="15" w:type="dxa"/>
              <w:left w:w="15" w:type="dxa"/>
              <w:right w:w="15" w:type="dxa"/>
            </w:tcMar>
            <w:vAlign w:val="center"/>
          </w:tcPr>
          <w:p w14:paraId="25F2E3C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加强监测评估</w:t>
            </w:r>
          </w:p>
        </w:tc>
        <w:tc>
          <w:tcPr>
            <w:tcW w:w="7799" w:type="dxa"/>
            <w:noWrap w:val="0"/>
            <w:tcMar>
              <w:top w:w="15" w:type="dxa"/>
              <w:left w:w="15" w:type="dxa"/>
              <w:right w:w="15" w:type="dxa"/>
            </w:tcMar>
            <w:vAlign w:val="center"/>
          </w:tcPr>
          <w:p w14:paraId="0A71007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i w:val="0"/>
                <w:iCs w:val="0"/>
                <w:sz w:val="24"/>
                <w:szCs w:val="24"/>
              </w:rPr>
            </w:pPr>
            <w:r>
              <w:rPr>
                <w:rFonts w:hint="eastAsia" w:ascii="仿宋_GB2312" w:hAnsi="仿宋_GB2312" w:eastAsia="仿宋_GB2312" w:cs="仿宋_GB2312"/>
                <w:i w:val="0"/>
                <w:iCs w:val="0"/>
                <w:color w:val="auto"/>
                <w:sz w:val="24"/>
                <w:szCs w:val="24"/>
                <w:lang w:val="en-US" w:eastAsia="zh-CN"/>
              </w:rPr>
              <w:t>按照相关技术规范，继续优化完善区级生物多样性智慧观测网络，探索运用AI技术，提升物种识别精准度。以百花山国家级自然保护区为试点，推进智慧栖息地建设，组织开展生物多样性长期观测</w:t>
            </w:r>
            <w:r>
              <w:rPr>
                <w:rFonts w:hint="eastAsia" w:ascii="仿宋_GB2312" w:hAnsi="仿宋_GB2312" w:eastAsia="仿宋_GB2312" w:cs="仿宋_GB2312"/>
                <w:i w:val="0"/>
                <w:iCs w:val="0"/>
                <w:color w:val="auto"/>
                <w:sz w:val="24"/>
                <w:szCs w:val="24"/>
                <w:lang w:eastAsia="zh-CN"/>
              </w:rPr>
              <w:t>。</w:t>
            </w:r>
          </w:p>
        </w:tc>
        <w:tc>
          <w:tcPr>
            <w:tcW w:w="1365" w:type="dxa"/>
            <w:noWrap w:val="0"/>
            <w:tcMar>
              <w:top w:w="15" w:type="dxa"/>
              <w:left w:w="15" w:type="dxa"/>
              <w:right w:w="15" w:type="dxa"/>
            </w:tcMar>
            <w:vAlign w:val="center"/>
          </w:tcPr>
          <w:p w14:paraId="2B11C8D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i w:val="0"/>
                <w:iCs w:val="0"/>
                <w:color w:val="auto"/>
                <w:sz w:val="24"/>
                <w:szCs w:val="24"/>
              </w:rPr>
            </w:pPr>
            <w:r>
              <w:rPr>
                <w:rFonts w:hint="eastAsia" w:ascii="仿宋_GB2312" w:hAnsi="仿宋_GB2312" w:eastAsia="仿宋_GB2312" w:cs="仿宋_GB2312"/>
                <w:i w:val="0"/>
                <w:iCs w:val="0"/>
                <w:color w:val="auto"/>
                <w:sz w:val="24"/>
                <w:szCs w:val="24"/>
              </w:rPr>
              <w:t>年底前</w:t>
            </w:r>
          </w:p>
          <w:p w14:paraId="38845AA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i w:val="0"/>
                <w:iCs w:val="0"/>
                <w:sz w:val="24"/>
                <w:szCs w:val="24"/>
              </w:rPr>
            </w:pPr>
          </w:p>
        </w:tc>
        <w:tc>
          <w:tcPr>
            <w:tcW w:w="1725" w:type="dxa"/>
            <w:noWrap w:val="0"/>
            <w:tcMar>
              <w:top w:w="15" w:type="dxa"/>
              <w:left w:w="15" w:type="dxa"/>
              <w:right w:w="15" w:type="dxa"/>
            </w:tcMar>
            <w:vAlign w:val="center"/>
          </w:tcPr>
          <w:p w14:paraId="3CFAA170">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i w:val="0"/>
                <w:iCs w:val="0"/>
                <w:color w:val="auto"/>
                <w:sz w:val="24"/>
                <w:szCs w:val="24"/>
                <w:lang w:eastAsia="zh-CN"/>
              </w:rPr>
            </w:pPr>
            <w:r>
              <w:rPr>
                <w:rFonts w:hint="eastAsia" w:ascii="仿宋_GB2312" w:hAnsi="仿宋_GB2312" w:eastAsia="仿宋_GB2312" w:cs="仿宋_GB2312"/>
                <w:i w:val="0"/>
                <w:iCs w:val="0"/>
                <w:color w:val="auto"/>
                <w:sz w:val="24"/>
                <w:szCs w:val="24"/>
                <w:lang w:eastAsia="zh-CN"/>
              </w:rPr>
              <w:t>百花山管理处</w:t>
            </w:r>
          </w:p>
          <w:p w14:paraId="045F8D5D">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i w:val="0"/>
                <w:iCs w:val="0"/>
                <w:color w:val="auto"/>
                <w:sz w:val="24"/>
                <w:szCs w:val="24"/>
              </w:rPr>
            </w:pPr>
            <w:r>
              <w:rPr>
                <w:rFonts w:hint="eastAsia" w:ascii="仿宋_GB2312" w:hAnsi="仿宋_GB2312" w:eastAsia="仿宋_GB2312" w:cs="仿宋_GB2312"/>
                <w:i w:val="0"/>
                <w:iCs w:val="0"/>
                <w:color w:val="auto"/>
                <w:sz w:val="24"/>
                <w:szCs w:val="24"/>
                <w:lang w:eastAsia="zh-CN"/>
              </w:rPr>
              <w:t>区</w:t>
            </w:r>
            <w:r>
              <w:rPr>
                <w:rFonts w:hint="eastAsia" w:ascii="仿宋_GB2312" w:hAnsi="仿宋_GB2312" w:eastAsia="仿宋_GB2312" w:cs="仿宋_GB2312"/>
                <w:i w:val="0"/>
                <w:iCs w:val="0"/>
                <w:color w:val="auto"/>
                <w:sz w:val="24"/>
                <w:szCs w:val="24"/>
              </w:rPr>
              <w:t>生态环境局</w:t>
            </w:r>
          </w:p>
          <w:p w14:paraId="55594C28">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sz w:val="24"/>
                <w:szCs w:val="24"/>
              </w:rPr>
            </w:pPr>
            <w:r>
              <w:rPr>
                <w:rFonts w:hint="eastAsia" w:ascii="仿宋_GB2312" w:hAnsi="仿宋_GB2312" w:eastAsia="仿宋_GB2312" w:cs="仿宋_GB2312"/>
                <w:i w:val="0"/>
                <w:iCs w:val="0"/>
                <w:color w:val="auto"/>
                <w:sz w:val="24"/>
                <w:szCs w:val="24"/>
                <w:lang w:eastAsia="zh-CN"/>
              </w:rPr>
              <w:t>区园林绿化局</w:t>
            </w:r>
          </w:p>
        </w:tc>
        <w:tc>
          <w:tcPr>
            <w:tcW w:w="1749" w:type="dxa"/>
            <w:noWrap w:val="0"/>
            <w:tcMar>
              <w:top w:w="15" w:type="dxa"/>
              <w:left w:w="15" w:type="dxa"/>
              <w:right w:w="15" w:type="dxa"/>
            </w:tcMar>
            <w:vAlign w:val="center"/>
          </w:tcPr>
          <w:p w14:paraId="47499C1E">
            <w:pPr>
              <w:keepNext w:val="0"/>
              <w:keepLines w:val="0"/>
              <w:pageBreakBefore w:val="0"/>
              <w:kinsoku/>
              <w:wordWrap/>
              <w:overflowPunct/>
              <w:topLinePunct w:val="0"/>
              <w:autoSpaceDE w:val="0"/>
              <w:autoSpaceDN/>
              <w:bidi w:val="0"/>
              <w:adjustRightInd w:val="0"/>
              <w:snapToGrid w:val="0"/>
              <w:spacing w:beforeAutospacing="0" w:afterAutospacing="0"/>
              <w:ind w:left="0" w:leftChars="0" w:right="0" w:rightChars="0" w:firstLineChars="0"/>
              <w:jc w:val="center"/>
              <w:rPr>
                <w:rFonts w:hint="eastAsia" w:ascii="仿宋_GB2312" w:hAnsi="仿宋_GB2312" w:eastAsia="仿宋_GB2312" w:cs="仿宋_GB2312"/>
                <w:i w:val="0"/>
                <w:iCs w:val="0"/>
                <w:sz w:val="24"/>
                <w:szCs w:val="24"/>
              </w:rPr>
            </w:pPr>
            <w:r>
              <w:rPr>
                <w:rFonts w:hint="eastAsia" w:ascii="仿宋_GB2312" w:hAnsi="仿宋_GB2312" w:eastAsia="仿宋_GB2312" w:cs="仿宋_GB2312"/>
                <w:sz w:val="24"/>
                <w:szCs w:val="24"/>
              </w:rPr>
              <w:t>——</w:t>
            </w:r>
          </w:p>
        </w:tc>
      </w:tr>
      <w:tr w14:paraId="69BCF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noWrap w:val="0"/>
            <w:tcMar>
              <w:top w:w="15" w:type="dxa"/>
              <w:left w:w="15" w:type="dxa"/>
              <w:right w:w="15" w:type="dxa"/>
            </w:tcMar>
            <w:vAlign w:val="center"/>
          </w:tcPr>
          <w:p w14:paraId="17C8D26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28</w:t>
            </w:r>
          </w:p>
        </w:tc>
        <w:tc>
          <w:tcPr>
            <w:tcW w:w="1328" w:type="dxa"/>
            <w:noWrap w:val="0"/>
            <w:tcMar>
              <w:top w:w="15" w:type="dxa"/>
              <w:left w:w="15" w:type="dxa"/>
              <w:right w:w="15" w:type="dxa"/>
            </w:tcMar>
            <w:vAlign w:val="center"/>
          </w:tcPr>
          <w:p w14:paraId="6763E8F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强化外来入侵物种防控</w:t>
            </w:r>
          </w:p>
        </w:tc>
        <w:tc>
          <w:tcPr>
            <w:tcW w:w="7799" w:type="dxa"/>
            <w:noWrap w:val="0"/>
            <w:tcMar>
              <w:top w:w="15" w:type="dxa"/>
              <w:left w:w="15" w:type="dxa"/>
              <w:right w:w="15" w:type="dxa"/>
            </w:tcMar>
            <w:vAlign w:val="center"/>
          </w:tcPr>
          <w:p w14:paraId="58CAB11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做好引进植物审批监管</w:t>
            </w:r>
            <w:r>
              <w:rPr>
                <w:rFonts w:hint="eastAsia" w:ascii="仿宋_GB2312" w:hAnsi="仿宋_GB2312" w:eastAsia="仿宋_GB2312" w:cs="仿宋_GB2312"/>
                <w:color w:val="auto"/>
                <w:sz w:val="24"/>
                <w:szCs w:val="24"/>
                <w:lang w:val="en-US" w:eastAsia="zh-CN"/>
              </w:rPr>
              <w:t>与豚草、番茄潜叶蛾、空心莲子草、美国白蛾、松材线虫等</w:t>
            </w:r>
            <w:r>
              <w:rPr>
                <w:rFonts w:hint="eastAsia" w:ascii="仿宋_GB2312" w:hAnsi="仿宋_GB2312" w:eastAsia="仿宋_GB2312" w:cs="仿宋_GB2312"/>
                <w:color w:val="auto"/>
                <w:sz w:val="24"/>
                <w:szCs w:val="24"/>
              </w:rPr>
              <w:t>外来入侵物种</w:t>
            </w:r>
            <w:r>
              <w:rPr>
                <w:rFonts w:hint="eastAsia" w:ascii="仿宋_GB2312" w:hAnsi="仿宋_GB2312" w:eastAsia="仿宋_GB2312" w:cs="仿宋_GB2312"/>
                <w:color w:val="auto"/>
                <w:sz w:val="24"/>
                <w:szCs w:val="24"/>
                <w:lang w:eastAsia="zh-CN"/>
              </w:rPr>
              <w:t>监测和</w:t>
            </w:r>
            <w:r>
              <w:rPr>
                <w:rFonts w:hint="eastAsia" w:ascii="仿宋_GB2312" w:hAnsi="仿宋_GB2312" w:eastAsia="仿宋_GB2312" w:cs="仿宋_GB2312"/>
                <w:color w:val="auto"/>
                <w:sz w:val="24"/>
                <w:szCs w:val="24"/>
                <w:lang w:val="en-US" w:eastAsia="zh-CN"/>
              </w:rPr>
              <w:t>综合治理。</w:t>
            </w:r>
          </w:p>
        </w:tc>
        <w:tc>
          <w:tcPr>
            <w:tcW w:w="1365" w:type="dxa"/>
            <w:noWrap w:val="0"/>
            <w:tcMar>
              <w:top w:w="15" w:type="dxa"/>
              <w:left w:w="15" w:type="dxa"/>
              <w:right w:w="15" w:type="dxa"/>
            </w:tcMar>
            <w:vAlign w:val="center"/>
          </w:tcPr>
          <w:p w14:paraId="2743BC2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7C116AB2">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农业农村局</w:t>
            </w:r>
          </w:p>
          <w:p w14:paraId="2A94B8A3">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tc>
        <w:tc>
          <w:tcPr>
            <w:tcW w:w="1749" w:type="dxa"/>
            <w:noWrap w:val="0"/>
            <w:tcMar>
              <w:top w:w="15" w:type="dxa"/>
              <w:left w:w="15" w:type="dxa"/>
              <w:right w:w="15" w:type="dxa"/>
            </w:tcMar>
            <w:vAlign w:val="center"/>
          </w:tcPr>
          <w:p w14:paraId="2960EF52">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0BDD1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638" w:type="dxa"/>
            <w:vMerge w:val="restart"/>
            <w:noWrap w:val="0"/>
            <w:tcMar>
              <w:top w:w="15" w:type="dxa"/>
              <w:left w:w="15" w:type="dxa"/>
              <w:right w:w="15" w:type="dxa"/>
            </w:tcMar>
            <w:vAlign w:val="center"/>
          </w:tcPr>
          <w:p w14:paraId="2AC7425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29</w:t>
            </w:r>
          </w:p>
        </w:tc>
        <w:tc>
          <w:tcPr>
            <w:tcW w:w="1328" w:type="dxa"/>
            <w:vMerge w:val="restart"/>
            <w:noWrap w:val="0"/>
            <w:tcMar>
              <w:top w:w="15" w:type="dxa"/>
              <w:left w:w="15" w:type="dxa"/>
              <w:right w:w="15" w:type="dxa"/>
            </w:tcMar>
            <w:vAlign w:val="center"/>
          </w:tcPr>
          <w:p w14:paraId="7CE549C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保护重点生物遗传资源</w:t>
            </w:r>
          </w:p>
        </w:tc>
        <w:tc>
          <w:tcPr>
            <w:tcW w:w="7799" w:type="dxa"/>
            <w:noWrap w:val="0"/>
            <w:tcMar>
              <w:top w:w="15" w:type="dxa"/>
              <w:left w:w="15" w:type="dxa"/>
              <w:right w:w="15" w:type="dxa"/>
            </w:tcMar>
            <w:vAlign w:val="center"/>
          </w:tcPr>
          <w:p w14:paraId="19E926F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加强重点农作物、畜禽、水产等种质资源保护</w:t>
            </w:r>
            <w:r>
              <w:rPr>
                <w:rFonts w:hint="eastAsia" w:ascii="仿宋_GB2312" w:hAnsi="仿宋_GB2312" w:eastAsia="仿宋_GB2312" w:cs="仿宋_GB2312"/>
                <w:color w:val="auto"/>
                <w:sz w:val="24"/>
                <w:szCs w:val="24"/>
                <w:lang w:val="en-US" w:eastAsia="zh-CN"/>
              </w:rPr>
              <w:t>与应用</w:t>
            </w:r>
            <w:r>
              <w:rPr>
                <w:rFonts w:hint="eastAsia" w:ascii="仿宋_GB2312" w:hAnsi="仿宋_GB2312" w:eastAsia="仿宋_GB2312" w:cs="仿宋_GB2312"/>
                <w:color w:val="auto"/>
                <w:sz w:val="24"/>
                <w:szCs w:val="24"/>
              </w:rPr>
              <w:t>。</w:t>
            </w:r>
          </w:p>
        </w:tc>
        <w:tc>
          <w:tcPr>
            <w:tcW w:w="1365" w:type="dxa"/>
            <w:noWrap w:val="0"/>
            <w:tcMar>
              <w:top w:w="15" w:type="dxa"/>
              <w:left w:w="15" w:type="dxa"/>
              <w:right w:w="15" w:type="dxa"/>
            </w:tcMar>
            <w:vAlign w:val="center"/>
          </w:tcPr>
          <w:p w14:paraId="0A6DBF6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2BEF1F55">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农业农村局</w:t>
            </w:r>
          </w:p>
        </w:tc>
        <w:tc>
          <w:tcPr>
            <w:tcW w:w="1749" w:type="dxa"/>
            <w:noWrap w:val="0"/>
            <w:tcMar>
              <w:top w:w="15" w:type="dxa"/>
              <w:left w:w="15" w:type="dxa"/>
              <w:right w:w="15" w:type="dxa"/>
            </w:tcMar>
            <w:vAlign w:val="center"/>
          </w:tcPr>
          <w:p w14:paraId="0B068E61">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3C125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continue"/>
            <w:noWrap w:val="0"/>
            <w:tcMar>
              <w:top w:w="15" w:type="dxa"/>
              <w:left w:w="15" w:type="dxa"/>
              <w:right w:w="15" w:type="dxa"/>
            </w:tcMar>
            <w:vAlign w:val="center"/>
          </w:tcPr>
          <w:p w14:paraId="1248204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0EDE2F2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p>
        </w:tc>
        <w:tc>
          <w:tcPr>
            <w:tcW w:w="7799" w:type="dxa"/>
            <w:noWrap w:val="0"/>
            <w:tcMar>
              <w:top w:w="15" w:type="dxa"/>
              <w:left w:w="15" w:type="dxa"/>
              <w:right w:w="15" w:type="dxa"/>
            </w:tcMar>
            <w:vAlign w:val="center"/>
          </w:tcPr>
          <w:p w14:paraId="365DB70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0"/>
                <w:sz w:val="24"/>
                <w:szCs w:val="24"/>
              </w:rPr>
              <w:t>★</w:t>
            </w:r>
            <w:r>
              <w:rPr>
                <w:rFonts w:hint="eastAsia" w:ascii="仿宋_GB2312" w:hAnsi="仿宋_GB2312" w:eastAsia="仿宋_GB2312" w:cs="仿宋_GB2312"/>
                <w:color w:val="auto"/>
                <w:sz w:val="24"/>
                <w:szCs w:val="24"/>
                <w:highlight w:val="none"/>
                <w:lang w:val="en-US" w:eastAsia="zh-CN"/>
              </w:rPr>
              <w:t>开展百花山葡萄野外回归及种质资源潜力分析，提升极小种群保育水平。</w:t>
            </w:r>
          </w:p>
        </w:tc>
        <w:tc>
          <w:tcPr>
            <w:tcW w:w="1365" w:type="dxa"/>
            <w:noWrap w:val="0"/>
            <w:tcMar>
              <w:top w:w="15" w:type="dxa"/>
              <w:left w:w="15" w:type="dxa"/>
              <w:right w:w="15" w:type="dxa"/>
            </w:tcMar>
            <w:vAlign w:val="center"/>
          </w:tcPr>
          <w:p w14:paraId="0BA3D1F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长期实施</w:t>
            </w:r>
          </w:p>
        </w:tc>
        <w:tc>
          <w:tcPr>
            <w:tcW w:w="1725" w:type="dxa"/>
            <w:noWrap w:val="0"/>
            <w:tcMar>
              <w:top w:w="15" w:type="dxa"/>
              <w:left w:w="15" w:type="dxa"/>
              <w:right w:w="15" w:type="dxa"/>
            </w:tcMar>
            <w:vAlign w:val="center"/>
          </w:tcPr>
          <w:p w14:paraId="6B92866F">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百花山管理处</w:t>
            </w:r>
          </w:p>
        </w:tc>
        <w:tc>
          <w:tcPr>
            <w:tcW w:w="1749" w:type="dxa"/>
            <w:noWrap w:val="0"/>
            <w:tcMar>
              <w:top w:w="15" w:type="dxa"/>
              <w:left w:w="15" w:type="dxa"/>
              <w:right w:w="15" w:type="dxa"/>
            </w:tcMar>
            <w:vAlign w:val="center"/>
          </w:tcPr>
          <w:p w14:paraId="3BBE339F">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23824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638" w:type="dxa"/>
            <w:vMerge w:val="restart"/>
            <w:noWrap w:val="0"/>
            <w:tcMar>
              <w:top w:w="15" w:type="dxa"/>
              <w:left w:w="15" w:type="dxa"/>
              <w:right w:w="15" w:type="dxa"/>
            </w:tcMar>
            <w:vAlign w:val="center"/>
          </w:tcPr>
          <w:p w14:paraId="5C50BF0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30</w:t>
            </w:r>
          </w:p>
        </w:tc>
        <w:tc>
          <w:tcPr>
            <w:tcW w:w="1328" w:type="dxa"/>
            <w:vMerge w:val="restart"/>
            <w:noWrap w:val="0"/>
            <w:tcMar>
              <w:top w:w="15" w:type="dxa"/>
              <w:left w:w="15" w:type="dxa"/>
              <w:right w:w="15" w:type="dxa"/>
            </w:tcMar>
            <w:vAlign w:val="center"/>
          </w:tcPr>
          <w:p w14:paraId="200B3A7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加强执法检查</w:t>
            </w:r>
          </w:p>
        </w:tc>
        <w:tc>
          <w:tcPr>
            <w:tcW w:w="7799" w:type="dxa"/>
            <w:noWrap w:val="0"/>
            <w:tcMar>
              <w:top w:w="15" w:type="dxa"/>
              <w:left w:w="15" w:type="dxa"/>
              <w:right w:w="15" w:type="dxa"/>
            </w:tcMar>
            <w:vAlign w:val="center"/>
          </w:tcPr>
          <w:p w14:paraId="7414CAD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强化陆生野生动物及其制品交易监管，深入开展鸟类保护、</w:t>
            </w:r>
            <w:r>
              <w:rPr>
                <w:rFonts w:hint="eastAsia" w:ascii="仿宋_GB2312" w:hAnsi="仿宋_GB2312" w:eastAsia="仿宋_GB2312" w:cs="仿宋_GB2312"/>
                <w:color w:val="auto"/>
                <w:sz w:val="24"/>
                <w:szCs w:val="24"/>
              </w:rPr>
              <w:t>打击非法捕猎贩卖鸟类</w:t>
            </w:r>
            <w:r>
              <w:rPr>
                <w:rFonts w:hint="eastAsia" w:ascii="仿宋_GB2312" w:hAnsi="仿宋_GB2312" w:eastAsia="仿宋_GB2312" w:cs="仿宋_GB2312"/>
                <w:color w:val="auto"/>
                <w:sz w:val="24"/>
                <w:szCs w:val="24"/>
                <w:lang w:val="en-US" w:eastAsia="zh-CN"/>
              </w:rPr>
              <w:t>专项行动，依法严厉打击破坏陆生野生动植物资源</w:t>
            </w:r>
            <w:r>
              <w:rPr>
                <w:rFonts w:hint="eastAsia" w:ascii="仿宋_GB2312" w:hAnsi="仿宋_GB2312" w:eastAsia="仿宋_GB2312" w:cs="仿宋_GB2312"/>
                <w:color w:val="auto"/>
                <w:sz w:val="24"/>
                <w:szCs w:val="24"/>
              </w:rPr>
              <w:t>及</w:t>
            </w:r>
            <w:r>
              <w:rPr>
                <w:rFonts w:hint="eastAsia" w:ascii="仿宋_GB2312" w:hAnsi="仿宋_GB2312" w:eastAsia="仿宋_GB2312" w:cs="仿宋_GB2312"/>
                <w:color w:val="auto"/>
                <w:sz w:val="24"/>
                <w:szCs w:val="24"/>
                <w:lang w:val="en-US" w:eastAsia="zh-CN"/>
              </w:rPr>
              <w:t>其</w:t>
            </w:r>
            <w:r>
              <w:rPr>
                <w:rFonts w:hint="eastAsia" w:ascii="仿宋_GB2312" w:hAnsi="仿宋_GB2312" w:eastAsia="仿宋_GB2312" w:cs="仿宋_GB2312"/>
                <w:color w:val="auto"/>
                <w:sz w:val="24"/>
                <w:szCs w:val="24"/>
              </w:rPr>
              <w:t>栖息地、侵占和破坏林木种质资源等违法行为</w:t>
            </w:r>
            <w:r>
              <w:rPr>
                <w:rFonts w:hint="eastAsia" w:ascii="仿宋_GB2312" w:hAnsi="仿宋_GB2312" w:eastAsia="仿宋_GB2312" w:cs="仿宋_GB2312"/>
                <w:color w:val="auto"/>
                <w:sz w:val="24"/>
                <w:szCs w:val="24"/>
                <w:lang w:eastAsia="zh-CN"/>
              </w:rPr>
              <w:t>。</w:t>
            </w:r>
          </w:p>
        </w:tc>
        <w:tc>
          <w:tcPr>
            <w:tcW w:w="1365" w:type="dxa"/>
            <w:noWrap w:val="0"/>
            <w:tcMar>
              <w:top w:w="15" w:type="dxa"/>
              <w:left w:w="15" w:type="dxa"/>
              <w:right w:w="15" w:type="dxa"/>
            </w:tcMar>
            <w:vAlign w:val="center"/>
          </w:tcPr>
          <w:p w14:paraId="6E1DB6F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6F9AE117">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tc>
        <w:tc>
          <w:tcPr>
            <w:tcW w:w="1749" w:type="dxa"/>
            <w:noWrap w:val="0"/>
            <w:tcMar>
              <w:top w:w="15" w:type="dxa"/>
              <w:left w:w="15" w:type="dxa"/>
              <w:right w:w="15" w:type="dxa"/>
            </w:tcMar>
            <w:vAlign w:val="center"/>
          </w:tcPr>
          <w:p w14:paraId="463AE9D1">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公安</w:t>
            </w:r>
            <w:r>
              <w:rPr>
                <w:rFonts w:hint="eastAsia" w:ascii="仿宋_GB2312" w:hAnsi="仿宋_GB2312" w:eastAsia="仿宋_GB2312" w:cs="仿宋_GB2312"/>
                <w:color w:val="auto"/>
                <w:sz w:val="24"/>
                <w:szCs w:val="24"/>
                <w:lang w:val="en-US" w:eastAsia="zh-CN"/>
              </w:rPr>
              <w:t>分</w:t>
            </w:r>
            <w:r>
              <w:rPr>
                <w:rFonts w:hint="eastAsia" w:ascii="仿宋_GB2312" w:hAnsi="仿宋_GB2312" w:eastAsia="仿宋_GB2312" w:cs="仿宋_GB2312"/>
                <w:color w:val="auto"/>
                <w:sz w:val="24"/>
                <w:szCs w:val="24"/>
              </w:rPr>
              <w:t>局</w:t>
            </w:r>
          </w:p>
          <w:p w14:paraId="08F563F4">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区农业农村局</w:t>
            </w:r>
          </w:p>
          <w:p w14:paraId="57E26C91">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市场监管局</w:t>
            </w:r>
          </w:p>
          <w:p w14:paraId="0754944E">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lang w:eastAsia="zh-CN"/>
              </w:rPr>
              <w:t>城管执法局</w:t>
            </w:r>
          </w:p>
        </w:tc>
      </w:tr>
      <w:tr w14:paraId="5466F8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73C9941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57BC13D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7EFB715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强化</w:t>
            </w:r>
            <w:r>
              <w:rPr>
                <w:rFonts w:hint="eastAsia" w:ascii="仿宋_GB2312" w:hAnsi="仿宋_GB2312" w:eastAsia="仿宋_GB2312" w:cs="仿宋_GB2312"/>
                <w:color w:val="auto"/>
                <w:sz w:val="24"/>
                <w:szCs w:val="24"/>
              </w:rPr>
              <w:t>水生野生动物及其制品交易</w:t>
            </w:r>
            <w:r>
              <w:rPr>
                <w:rFonts w:hint="eastAsia" w:ascii="仿宋_GB2312" w:hAnsi="仿宋_GB2312" w:eastAsia="仿宋_GB2312" w:cs="仿宋_GB2312"/>
                <w:color w:val="auto"/>
                <w:sz w:val="24"/>
                <w:szCs w:val="24"/>
                <w:lang w:val="en-US" w:eastAsia="zh-CN"/>
              </w:rPr>
              <w:t>监管</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依法查处破坏水生野生动植物资源及</w:t>
            </w:r>
            <w:r>
              <w:rPr>
                <w:rFonts w:hint="eastAsia" w:ascii="仿宋_GB2312" w:hAnsi="仿宋_GB2312" w:eastAsia="仿宋_GB2312" w:cs="仿宋_GB2312"/>
                <w:color w:val="auto"/>
                <w:sz w:val="24"/>
                <w:szCs w:val="24"/>
                <w:lang w:val="en-US" w:eastAsia="zh-CN"/>
              </w:rPr>
              <w:t>其</w:t>
            </w:r>
            <w:r>
              <w:rPr>
                <w:rFonts w:hint="eastAsia" w:ascii="仿宋_GB2312" w:hAnsi="仿宋_GB2312" w:eastAsia="仿宋_GB2312" w:cs="仿宋_GB2312"/>
                <w:color w:val="auto"/>
                <w:sz w:val="24"/>
                <w:szCs w:val="24"/>
              </w:rPr>
              <w:t>栖息地、侵占破坏农作物种质资源、违规引</w:t>
            </w:r>
            <w:r>
              <w:rPr>
                <w:rFonts w:hint="eastAsia" w:ascii="仿宋_GB2312" w:hAnsi="仿宋_GB2312" w:eastAsia="仿宋_GB2312" w:cs="仿宋_GB2312"/>
                <w:color w:val="auto"/>
                <w:sz w:val="24"/>
                <w:szCs w:val="24"/>
                <w:lang w:eastAsia="zh-CN"/>
              </w:rPr>
              <w:t>进、</w:t>
            </w:r>
            <w:r>
              <w:rPr>
                <w:rFonts w:hint="eastAsia" w:ascii="仿宋_GB2312" w:hAnsi="仿宋_GB2312" w:eastAsia="仿宋_GB2312" w:cs="仿宋_GB2312"/>
                <w:color w:val="auto"/>
                <w:sz w:val="24"/>
                <w:szCs w:val="24"/>
                <w:lang w:val="en-US" w:eastAsia="zh-CN"/>
              </w:rPr>
              <w:t>释放</w:t>
            </w:r>
            <w:r>
              <w:rPr>
                <w:rFonts w:hint="eastAsia" w:ascii="仿宋_GB2312" w:hAnsi="仿宋_GB2312" w:eastAsia="仿宋_GB2312" w:cs="仿宋_GB2312"/>
                <w:color w:val="auto"/>
                <w:sz w:val="24"/>
                <w:szCs w:val="24"/>
              </w:rPr>
              <w:t>或丢弃外来物种等违法行为。</w:t>
            </w:r>
          </w:p>
        </w:tc>
        <w:tc>
          <w:tcPr>
            <w:tcW w:w="1365" w:type="dxa"/>
            <w:noWrap w:val="0"/>
            <w:tcMar>
              <w:top w:w="15" w:type="dxa"/>
              <w:left w:w="15" w:type="dxa"/>
              <w:right w:w="15" w:type="dxa"/>
            </w:tcMar>
            <w:vAlign w:val="center"/>
          </w:tcPr>
          <w:p w14:paraId="394266D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49423F2B">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农业农村局</w:t>
            </w:r>
          </w:p>
        </w:tc>
        <w:tc>
          <w:tcPr>
            <w:tcW w:w="1749" w:type="dxa"/>
            <w:noWrap w:val="0"/>
            <w:tcMar>
              <w:top w:w="15" w:type="dxa"/>
              <w:left w:w="15" w:type="dxa"/>
              <w:right w:w="15" w:type="dxa"/>
            </w:tcMar>
            <w:vAlign w:val="center"/>
          </w:tcPr>
          <w:p w14:paraId="3CEDD944">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区公安分局</w:t>
            </w:r>
          </w:p>
          <w:p w14:paraId="68B4D1F6">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p w14:paraId="6C2EE411">
            <w:pPr>
              <w:pStyle w:val="8"/>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市场监管局</w:t>
            </w:r>
          </w:p>
        </w:tc>
      </w:tr>
      <w:tr w14:paraId="6FD559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14604" w:type="dxa"/>
            <w:gridSpan w:val="6"/>
            <w:noWrap w:val="0"/>
            <w:tcMar>
              <w:top w:w="15" w:type="dxa"/>
              <w:left w:w="15" w:type="dxa"/>
              <w:right w:w="15" w:type="dxa"/>
            </w:tcMar>
            <w:vAlign w:val="center"/>
          </w:tcPr>
          <w:p w14:paraId="1265A444">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黑体" w:hAnsi="黑体" w:eastAsia="黑体" w:cs="黑体"/>
                <w:color w:val="auto"/>
                <w:sz w:val="24"/>
                <w:szCs w:val="24"/>
                <w:lang w:eastAsia="zh-CN"/>
              </w:rPr>
              <w:t>（三）</w:t>
            </w:r>
            <w:r>
              <w:rPr>
                <w:rFonts w:hint="eastAsia" w:ascii="黑体" w:hAnsi="黑体" w:eastAsia="黑体" w:cs="黑体"/>
                <w:color w:val="auto"/>
                <w:sz w:val="24"/>
                <w:szCs w:val="24"/>
              </w:rPr>
              <w:t>维护生态空间格局稳定性</w:t>
            </w:r>
          </w:p>
        </w:tc>
      </w:tr>
      <w:tr w14:paraId="73A92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7" w:hRule="atLeast"/>
        </w:trPr>
        <w:tc>
          <w:tcPr>
            <w:tcW w:w="638" w:type="dxa"/>
            <w:vMerge w:val="restart"/>
            <w:noWrap w:val="0"/>
            <w:tcMar>
              <w:top w:w="15" w:type="dxa"/>
              <w:left w:w="15" w:type="dxa"/>
              <w:right w:w="15" w:type="dxa"/>
            </w:tcMar>
            <w:vAlign w:val="center"/>
          </w:tcPr>
          <w:p w14:paraId="2FC4B6D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31</w:t>
            </w:r>
          </w:p>
        </w:tc>
        <w:tc>
          <w:tcPr>
            <w:tcW w:w="1328" w:type="dxa"/>
            <w:vMerge w:val="restart"/>
            <w:noWrap w:val="0"/>
            <w:tcMar>
              <w:top w:w="15" w:type="dxa"/>
              <w:left w:w="15" w:type="dxa"/>
              <w:right w:w="15" w:type="dxa"/>
            </w:tcMar>
            <w:vAlign w:val="center"/>
          </w:tcPr>
          <w:p w14:paraId="03F16D2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CN"/>
              </w:rPr>
              <w:t>着力提升建成区绿视率</w:t>
            </w:r>
          </w:p>
        </w:tc>
        <w:tc>
          <w:tcPr>
            <w:tcW w:w="7799" w:type="dxa"/>
            <w:noWrap w:val="0"/>
            <w:tcMar>
              <w:top w:w="15" w:type="dxa"/>
              <w:left w:w="15" w:type="dxa"/>
              <w:right w:w="15" w:type="dxa"/>
            </w:tcMar>
            <w:vAlign w:val="center"/>
          </w:tcPr>
          <w:p w14:paraId="685C2539">
            <w:pPr>
              <w:pStyle w:val="10"/>
              <w:keepNext w:val="0"/>
              <w:keepLines w:val="0"/>
              <w:pageBreakBefore w:val="0"/>
              <w:kinsoku/>
              <w:wordWrap/>
              <w:overflowPunct/>
              <w:topLinePunct w:val="0"/>
              <w:autoSpaceDN/>
              <w:bidi w:val="0"/>
              <w:snapToGrid w:val="0"/>
              <w:spacing w:before="0" w:beforeAutospacing="0" w:after="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推进园林绿化“增绿提质”</w:t>
            </w:r>
            <w:r>
              <w:rPr>
                <w:rFonts w:hint="eastAsia" w:ascii="仿宋_GB2312" w:hAnsi="仿宋_GB2312" w:eastAsia="仿宋_GB2312" w:cs="仿宋_GB2312"/>
                <w:color w:val="auto"/>
                <w:sz w:val="24"/>
                <w:szCs w:val="24"/>
                <w:lang w:eastAsia="zh-CN"/>
              </w:rPr>
              <w:t>，全区森林覆盖率达到</w:t>
            </w:r>
            <w:r>
              <w:rPr>
                <w:rFonts w:hint="eastAsia" w:ascii="仿宋_GB2312" w:hAnsi="仿宋_GB2312" w:eastAsia="仿宋_GB2312" w:cs="仿宋_GB2312"/>
                <w:color w:val="auto"/>
                <w:sz w:val="24"/>
                <w:szCs w:val="24"/>
                <w:lang w:val="en-US" w:eastAsia="zh-CN"/>
              </w:rPr>
              <w:t>市级要求。</w:t>
            </w:r>
            <w:r>
              <w:rPr>
                <w:rFonts w:hint="eastAsia" w:ascii="仿宋_GB2312" w:hAnsi="仿宋_GB2312" w:eastAsia="仿宋_GB2312" w:cs="仿宋_GB2312"/>
                <w:color w:val="auto"/>
                <w:sz w:val="24"/>
                <w:szCs w:val="24"/>
                <w:highlight w:val="none"/>
                <w:lang w:val="en-US" w:eastAsia="zh-CN"/>
              </w:rPr>
              <w:t>推进生物多样性保护，</w:t>
            </w:r>
            <w:r>
              <w:rPr>
                <w:rFonts w:hint="eastAsia" w:ascii="仿宋_GB2312" w:hAnsi="仿宋_GB2312" w:eastAsia="仿宋_GB2312" w:cs="仿宋_GB2312"/>
                <w:color w:val="auto"/>
                <w:sz w:val="24"/>
                <w:szCs w:val="24"/>
              </w:rPr>
              <w:t>建设生态保育小区</w:t>
            </w:r>
            <w:r>
              <w:rPr>
                <w:rFonts w:hint="eastAsia" w:ascii="仿宋_GB2312" w:hAnsi="仿宋_GB2312" w:eastAsia="仿宋_GB2312" w:cs="仿宋_GB2312"/>
                <w:color w:val="auto"/>
                <w:sz w:val="24"/>
                <w:szCs w:val="24"/>
                <w:lang w:val="en-US" w:eastAsia="zh-CN"/>
              </w:rPr>
              <w:t>2处，</w:t>
            </w:r>
            <w:r>
              <w:rPr>
                <w:rFonts w:hint="eastAsia" w:ascii="仿宋_GB2312" w:hAnsi="仿宋_GB2312" w:eastAsia="仿宋_GB2312" w:cs="仿宋_GB2312"/>
                <w:color w:val="auto"/>
                <w:sz w:val="24"/>
                <w:szCs w:val="24"/>
                <w:lang w:eastAsia="zh-CN"/>
              </w:rPr>
              <w:t>提升</w:t>
            </w:r>
            <w:r>
              <w:rPr>
                <w:rFonts w:hint="eastAsia" w:ascii="仿宋_GB2312" w:hAnsi="仿宋_GB2312" w:eastAsia="仿宋_GB2312" w:cs="仿宋_GB2312"/>
                <w:color w:val="auto"/>
                <w:sz w:val="24"/>
                <w:szCs w:val="24"/>
              </w:rPr>
              <w:t>平原生态林养护经营示范区</w:t>
            </w:r>
            <w:r>
              <w:rPr>
                <w:rFonts w:hint="eastAsia" w:ascii="仿宋_GB2312" w:hAnsi="仿宋_GB2312" w:eastAsia="仿宋_GB2312" w:cs="仿宋_GB2312"/>
                <w:color w:val="auto"/>
                <w:sz w:val="24"/>
                <w:szCs w:val="24"/>
                <w:lang w:val="en-US" w:eastAsia="zh-CN"/>
              </w:rPr>
              <w:t>1处。</w:t>
            </w:r>
          </w:p>
        </w:tc>
        <w:tc>
          <w:tcPr>
            <w:tcW w:w="1365" w:type="dxa"/>
            <w:noWrap w:val="0"/>
            <w:tcMar>
              <w:top w:w="15" w:type="dxa"/>
              <w:left w:w="15" w:type="dxa"/>
              <w:right w:w="15" w:type="dxa"/>
            </w:tcMar>
            <w:vAlign w:val="center"/>
          </w:tcPr>
          <w:p w14:paraId="57C1263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64D77C25">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tc>
        <w:tc>
          <w:tcPr>
            <w:tcW w:w="1749" w:type="dxa"/>
            <w:noWrap w:val="0"/>
            <w:tcMar>
              <w:top w:w="15" w:type="dxa"/>
              <w:left w:w="15" w:type="dxa"/>
              <w:right w:w="15" w:type="dxa"/>
            </w:tcMar>
            <w:vAlign w:val="center"/>
          </w:tcPr>
          <w:p w14:paraId="2D27AB94">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w:t>
            </w:r>
          </w:p>
        </w:tc>
      </w:tr>
      <w:tr w14:paraId="0682C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atLeast"/>
        </w:trPr>
        <w:tc>
          <w:tcPr>
            <w:tcW w:w="638" w:type="dxa"/>
            <w:vMerge w:val="continue"/>
            <w:noWrap w:val="0"/>
            <w:tcMar>
              <w:top w:w="15" w:type="dxa"/>
              <w:left w:w="15" w:type="dxa"/>
              <w:right w:w="15" w:type="dxa"/>
            </w:tcMar>
            <w:vAlign w:val="center"/>
          </w:tcPr>
          <w:p w14:paraId="332828A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0B11DC0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0FA728E4">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highlight w:val="none"/>
                <w:u w:val="none"/>
                <w:lang w:eastAsia="zh-CN"/>
              </w:rPr>
              <w:t>推进建筑物墙面、围栏、围墙垂直绿化，建设屋顶花园，优化乔灌草立体结构，推进花园示范街区建设，提升城市生态系统质量；推进花园住宅建设；</w:t>
            </w:r>
            <w:r>
              <w:rPr>
                <w:rFonts w:hint="eastAsia" w:ascii="仿宋_GB2312" w:hAnsi="仿宋_GB2312" w:eastAsia="仿宋_GB2312" w:cs="仿宋_GB2312"/>
                <w:color w:val="auto"/>
                <w:sz w:val="24"/>
                <w:szCs w:val="24"/>
                <w:highlight w:val="none"/>
                <w:u w:val="none"/>
                <w:lang w:val="en-US" w:eastAsia="zh-CN"/>
              </w:rPr>
              <w:t>配合市级部门</w:t>
            </w:r>
            <w:r>
              <w:rPr>
                <w:rFonts w:hint="eastAsia" w:ascii="仿宋_GB2312" w:hAnsi="仿宋_GB2312" w:eastAsia="仿宋_GB2312" w:cs="仿宋_GB2312"/>
                <w:color w:val="auto"/>
                <w:sz w:val="24"/>
                <w:szCs w:val="24"/>
                <w:highlight w:val="none"/>
                <w:u w:val="none"/>
                <w:lang w:eastAsia="zh-CN"/>
              </w:rPr>
              <w:t>开展建成区绿视率调查评估，科学评价城市生态建设成效。</w:t>
            </w:r>
          </w:p>
        </w:tc>
        <w:tc>
          <w:tcPr>
            <w:tcW w:w="1365" w:type="dxa"/>
            <w:noWrap w:val="0"/>
            <w:tcMar>
              <w:top w:w="15" w:type="dxa"/>
              <w:left w:w="15" w:type="dxa"/>
              <w:right w:w="15" w:type="dxa"/>
            </w:tcMar>
            <w:vAlign w:val="center"/>
          </w:tcPr>
          <w:p w14:paraId="015FE90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1708E5FF">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p w14:paraId="649E9DF7">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生态环境局</w:t>
            </w:r>
          </w:p>
        </w:tc>
        <w:tc>
          <w:tcPr>
            <w:tcW w:w="1749" w:type="dxa"/>
            <w:noWrap w:val="0"/>
            <w:tcMar>
              <w:top w:w="15" w:type="dxa"/>
              <w:left w:w="15" w:type="dxa"/>
              <w:right w:w="15" w:type="dxa"/>
            </w:tcMar>
            <w:vAlign w:val="center"/>
          </w:tcPr>
          <w:p w14:paraId="2504B181">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kern w:val="2"/>
                <w:sz w:val="24"/>
                <w:szCs w:val="24"/>
                <w:lang w:val="en-US" w:eastAsia="zh-CN" w:bidi="ar-SA"/>
              </w:rPr>
              <w:t>区规自分局</w:t>
            </w:r>
          </w:p>
          <w:p w14:paraId="336E286C">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区住建委</w:t>
            </w:r>
          </w:p>
        </w:tc>
      </w:tr>
      <w:tr w14:paraId="0A0B0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5" w:hRule="atLeast"/>
        </w:trPr>
        <w:tc>
          <w:tcPr>
            <w:tcW w:w="638" w:type="dxa"/>
            <w:vMerge w:val="restart"/>
            <w:noWrap w:val="0"/>
            <w:tcMar>
              <w:top w:w="15" w:type="dxa"/>
              <w:left w:w="15" w:type="dxa"/>
              <w:right w:w="15" w:type="dxa"/>
            </w:tcMar>
            <w:vAlign w:val="center"/>
          </w:tcPr>
          <w:p w14:paraId="62BE39D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32</w:t>
            </w:r>
          </w:p>
        </w:tc>
        <w:tc>
          <w:tcPr>
            <w:tcW w:w="1328" w:type="dxa"/>
            <w:vMerge w:val="restart"/>
            <w:noWrap w:val="0"/>
            <w:tcMar>
              <w:top w:w="15" w:type="dxa"/>
              <w:left w:w="15" w:type="dxa"/>
              <w:right w:w="15" w:type="dxa"/>
            </w:tcMar>
            <w:vAlign w:val="center"/>
          </w:tcPr>
          <w:p w14:paraId="548ECF9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加强重要生态空间监督管理</w:t>
            </w:r>
          </w:p>
        </w:tc>
        <w:tc>
          <w:tcPr>
            <w:tcW w:w="7799" w:type="dxa"/>
            <w:noWrap w:val="0"/>
            <w:tcMar>
              <w:top w:w="15" w:type="dxa"/>
              <w:left w:w="15" w:type="dxa"/>
              <w:right w:w="15" w:type="dxa"/>
            </w:tcMar>
            <w:vAlign w:val="center"/>
          </w:tcPr>
          <w:p w14:paraId="60414713">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全面</w:t>
            </w:r>
            <w:r>
              <w:rPr>
                <w:rFonts w:hint="eastAsia" w:ascii="仿宋_GB2312" w:hAnsi="仿宋_GB2312" w:eastAsia="仿宋_GB2312" w:cs="仿宋_GB2312"/>
                <w:color w:val="auto"/>
                <w:sz w:val="24"/>
                <w:szCs w:val="24"/>
                <w:lang w:eastAsia="zh"/>
              </w:rPr>
              <w:t>落实《关于进一步加强生态保护红线管理工作的意见</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eastAsia="zh"/>
              </w:rPr>
              <w:t>试行</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eastAsia="zh"/>
              </w:rPr>
              <w:t>》</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eastAsia="zh"/>
              </w:rPr>
              <w:t>实施分区差别化管控，规范人为活动。</w:t>
            </w:r>
            <w:r>
              <w:rPr>
                <w:rFonts w:hint="eastAsia" w:ascii="仿宋_GB2312" w:hAnsi="仿宋_GB2312" w:eastAsia="仿宋_GB2312" w:cs="仿宋_GB2312"/>
                <w:color w:val="auto"/>
                <w:sz w:val="24"/>
                <w:szCs w:val="24"/>
                <w:lang w:val="en-US" w:eastAsia="zh-CN"/>
              </w:rPr>
              <w:t>强化</w:t>
            </w:r>
            <w:r>
              <w:rPr>
                <w:rFonts w:hint="eastAsia" w:ascii="仿宋_GB2312" w:hAnsi="仿宋_GB2312" w:eastAsia="仿宋_GB2312" w:cs="仿宋_GB2312"/>
                <w:color w:val="auto"/>
                <w:sz w:val="24"/>
                <w:szCs w:val="24"/>
              </w:rPr>
              <w:t>国土空间用途管制</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加强生态保护红线内临时用地</w:t>
            </w:r>
            <w:r>
              <w:rPr>
                <w:rFonts w:hint="eastAsia" w:ascii="仿宋_GB2312" w:hAnsi="仿宋_GB2312" w:eastAsia="仿宋_GB2312" w:cs="仿宋_GB2312"/>
                <w:color w:val="auto"/>
                <w:sz w:val="24"/>
                <w:szCs w:val="24"/>
                <w:lang w:eastAsia="zh"/>
              </w:rPr>
              <w:t>管理及后期恢复监督</w:t>
            </w:r>
            <w:r>
              <w:rPr>
                <w:rFonts w:hint="eastAsia" w:ascii="仿宋_GB2312" w:hAnsi="仿宋_GB2312" w:eastAsia="仿宋_GB2312" w:cs="仿宋_GB2312"/>
                <w:color w:val="auto"/>
                <w:sz w:val="24"/>
                <w:szCs w:val="24"/>
              </w:rPr>
              <w:t>。</w:t>
            </w:r>
          </w:p>
          <w:p w14:paraId="150CFCD7">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color w:val="auto"/>
                <w:sz w:val="24"/>
                <w:szCs w:val="24"/>
                <w:lang w:eastAsia="zh"/>
              </w:rPr>
            </w:pPr>
            <w:r>
              <w:rPr>
                <w:rFonts w:hint="eastAsia" w:ascii="仿宋_GB2312" w:hAnsi="仿宋_GB2312" w:eastAsia="仿宋_GB2312" w:cs="仿宋_GB2312"/>
                <w:color w:val="auto"/>
                <w:sz w:val="24"/>
                <w:szCs w:val="24"/>
                <w:lang w:val="en-US" w:eastAsia="zh-CN"/>
              </w:rPr>
              <w:t>按照</w:t>
            </w:r>
            <w:r>
              <w:rPr>
                <w:rFonts w:hint="eastAsia" w:ascii="仿宋_GB2312" w:hAnsi="仿宋_GB2312" w:eastAsia="仿宋_GB2312" w:cs="仿宋_GB2312"/>
                <w:color w:val="auto"/>
                <w:sz w:val="24"/>
                <w:szCs w:val="24"/>
                <w:lang w:eastAsia="zh-CN"/>
              </w:rPr>
              <w:t>市级</w:t>
            </w:r>
            <w:r>
              <w:rPr>
                <w:rFonts w:hint="eastAsia" w:ascii="仿宋_GB2312" w:hAnsi="仿宋_GB2312" w:eastAsia="仿宋_GB2312" w:cs="仿宋_GB2312"/>
                <w:color w:val="auto"/>
                <w:sz w:val="24"/>
                <w:szCs w:val="24"/>
                <w:lang w:val="en-US" w:eastAsia="zh-CN"/>
              </w:rPr>
              <w:t>部署要求</w:t>
            </w:r>
            <w:r>
              <w:rPr>
                <w:rFonts w:hint="eastAsia" w:ascii="仿宋_GB2312" w:hAnsi="仿宋_GB2312" w:eastAsia="仿宋_GB2312" w:cs="仿宋_GB2312"/>
                <w:color w:val="auto"/>
                <w:sz w:val="24"/>
                <w:szCs w:val="24"/>
                <w:lang w:eastAsia="zh"/>
              </w:rPr>
              <w:t>，</w:t>
            </w:r>
            <w:r>
              <w:rPr>
                <w:rFonts w:hint="eastAsia" w:ascii="仿宋_GB2312" w:hAnsi="仿宋_GB2312" w:eastAsia="仿宋_GB2312" w:cs="仿宋_GB2312"/>
                <w:color w:val="auto"/>
                <w:sz w:val="24"/>
                <w:szCs w:val="24"/>
                <w:lang w:val="en-US" w:eastAsia="zh-CN"/>
              </w:rPr>
              <w:t>推进</w:t>
            </w:r>
            <w:r>
              <w:rPr>
                <w:rFonts w:hint="eastAsia" w:ascii="仿宋_GB2312" w:hAnsi="仿宋_GB2312" w:eastAsia="仿宋_GB2312" w:cs="仿宋_GB2312"/>
                <w:color w:val="auto"/>
                <w:sz w:val="24"/>
                <w:szCs w:val="24"/>
                <w:lang w:eastAsia="zh"/>
              </w:rPr>
              <w:t>自然保护地体系建设</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严格开展</w:t>
            </w:r>
            <w:r>
              <w:rPr>
                <w:rFonts w:hint="eastAsia" w:ascii="仿宋_GB2312" w:hAnsi="仿宋_GB2312" w:eastAsia="仿宋_GB2312" w:cs="仿宋_GB2312"/>
                <w:color w:val="auto"/>
                <w:sz w:val="24"/>
                <w:szCs w:val="24"/>
                <w:lang w:eastAsia="zh"/>
              </w:rPr>
              <w:t>自然保护地监督管理。</w:t>
            </w:r>
          </w:p>
          <w:p w14:paraId="62E63C31">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
              </w:rPr>
              <w:t>发挥北京旅游工作协调机制作用，规范</w:t>
            </w:r>
            <w:r>
              <w:rPr>
                <w:rFonts w:hint="eastAsia" w:ascii="仿宋_GB2312" w:hAnsi="仿宋_GB2312" w:eastAsia="仿宋_GB2312" w:cs="仿宋_GB2312"/>
                <w:color w:val="auto"/>
                <w:sz w:val="24"/>
                <w:szCs w:val="24"/>
                <w:lang w:val="en-US" w:eastAsia="zh-CN"/>
              </w:rPr>
              <w:t>灵山等</w:t>
            </w:r>
            <w:r>
              <w:rPr>
                <w:rFonts w:hint="eastAsia" w:ascii="仿宋_GB2312" w:hAnsi="仿宋_GB2312" w:eastAsia="仿宋_GB2312" w:cs="仿宋_GB2312"/>
                <w:color w:val="auto"/>
                <w:sz w:val="24"/>
                <w:szCs w:val="24"/>
                <w:lang w:eastAsia="zh"/>
              </w:rPr>
              <w:t>生态空间旅游活动</w:t>
            </w:r>
            <w:r>
              <w:rPr>
                <w:rFonts w:hint="eastAsia" w:ascii="仿宋_GB2312" w:hAnsi="仿宋_GB2312" w:eastAsia="仿宋_GB2312" w:cs="仿宋_GB2312"/>
                <w:color w:val="auto"/>
                <w:sz w:val="24"/>
                <w:szCs w:val="24"/>
                <w:lang w:eastAsia="zh-CN"/>
              </w:rPr>
              <w:t>。</w:t>
            </w:r>
          </w:p>
          <w:p w14:paraId="2910E75B">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组织开展</w:t>
            </w:r>
            <w:r>
              <w:rPr>
                <w:rFonts w:hint="eastAsia" w:ascii="仿宋_GB2312" w:hAnsi="仿宋_GB2312" w:eastAsia="仿宋_GB2312" w:cs="仿宋_GB2312"/>
                <w:color w:val="auto"/>
                <w:sz w:val="24"/>
                <w:szCs w:val="24"/>
                <w:lang w:eastAsia="zh"/>
              </w:rPr>
              <w:t>重要生态空间生态</w:t>
            </w:r>
            <w:r>
              <w:rPr>
                <w:rFonts w:hint="eastAsia" w:ascii="仿宋_GB2312" w:hAnsi="仿宋_GB2312" w:eastAsia="仿宋_GB2312" w:cs="仿宋_GB2312"/>
                <w:color w:val="auto"/>
                <w:sz w:val="24"/>
                <w:szCs w:val="24"/>
              </w:rPr>
              <w:t>问题线索</w:t>
            </w:r>
            <w:r>
              <w:rPr>
                <w:rFonts w:hint="eastAsia" w:ascii="仿宋_GB2312" w:hAnsi="仿宋_GB2312" w:eastAsia="仿宋_GB2312" w:cs="仿宋_GB2312"/>
                <w:color w:val="auto"/>
                <w:sz w:val="24"/>
                <w:szCs w:val="24"/>
                <w:lang w:eastAsia="zh"/>
              </w:rPr>
              <w:t>监测核实，</w:t>
            </w:r>
            <w:r>
              <w:rPr>
                <w:rFonts w:hint="eastAsia" w:ascii="仿宋_GB2312" w:hAnsi="仿宋_GB2312" w:eastAsia="仿宋_GB2312" w:cs="仿宋_GB2312"/>
                <w:color w:val="auto"/>
                <w:sz w:val="24"/>
                <w:szCs w:val="24"/>
                <w:lang w:eastAsia="zh-CN"/>
              </w:rPr>
              <w:t>并</w:t>
            </w:r>
            <w:r>
              <w:rPr>
                <w:rFonts w:hint="eastAsia" w:ascii="仿宋_GB2312" w:hAnsi="仿宋_GB2312" w:eastAsia="仿宋_GB2312" w:cs="仿宋_GB2312"/>
                <w:color w:val="auto"/>
                <w:sz w:val="24"/>
                <w:szCs w:val="24"/>
                <w:lang w:eastAsia="zh"/>
              </w:rPr>
              <w:t>推动</w:t>
            </w:r>
            <w:r>
              <w:rPr>
                <w:rFonts w:hint="eastAsia" w:ascii="仿宋_GB2312" w:hAnsi="仿宋_GB2312" w:eastAsia="仿宋_GB2312" w:cs="仿宋_GB2312"/>
                <w:color w:val="auto"/>
                <w:sz w:val="24"/>
                <w:szCs w:val="24"/>
                <w:lang w:val="en-US" w:eastAsia="zh-CN"/>
              </w:rPr>
              <w:t>整改</w:t>
            </w:r>
            <w:r>
              <w:rPr>
                <w:rFonts w:hint="eastAsia" w:ascii="仿宋_GB2312" w:hAnsi="仿宋_GB2312" w:eastAsia="仿宋_GB2312" w:cs="仿宋_GB2312"/>
                <w:color w:val="auto"/>
                <w:sz w:val="24"/>
                <w:szCs w:val="24"/>
              </w:rPr>
              <w:t>。</w:t>
            </w:r>
          </w:p>
        </w:tc>
        <w:tc>
          <w:tcPr>
            <w:tcW w:w="1365" w:type="dxa"/>
            <w:noWrap w:val="0"/>
            <w:tcMar>
              <w:top w:w="15" w:type="dxa"/>
              <w:left w:w="15" w:type="dxa"/>
              <w:right w:w="15" w:type="dxa"/>
            </w:tcMar>
            <w:vAlign w:val="center"/>
          </w:tcPr>
          <w:p w14:paraId="0FD7079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7D909585">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区规自分局</w:t>
            </w:r>
          </w:p>
          <w:p w14:paraId="55349320">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kern w:val="0"/>
                <w:sz w:val="24"/>
                <w:szCs w:val="24"/>
              </w:rPr>
              <w:t>园林绿化局</w:t>
            </w:r>
          </w:p>
          <w:p w14:paraId="370D5D49">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区文旅局</w:t>
            </w:r>
          </w:p>
          <w:p w14:paraId="4B154C0A">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生态环境局</w:t>
            </w:r>
          </w:p>
          <w:p w14:paraId="6C9223BD">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百花山管理处</w:t>
            </w:r>
          </w:p>
          <w:p w14:paraId="28D67C7F">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lang w:val="en-US" w:eastAsia="zh-CN"/>
              </w:rPr>
              <w:t>各镇街</w:t>
            </w:r>
          </w:p>
        </w:tc>
        <w:tc>
          <w:tcPr>
            <w:tcW w:w="1749" w:type="dxa"/>
            <w:noWrap w:val="0"/>
            <w:tcMar>
              <w:top w:w="15" w:type="dxa"/>
              <w:left w:w="15" w:type="dxa"/>
              <w:right w:w="15" w:type="dxa"/>
            </w:tcMar>
            <w:vAlign w:val="center"/>
          </w:tcPr>
          <w:p w14:paraId="2084BEA3">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kern w:val="0"/>
                <w:sz w:val="24"/>
                <w:szCs w:val="24"/>
              </w:rPr>
              <w:t>水务局</w:t>
            </w:r>
          </w:p>
          <w:p w14:paraId="5B436821">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kern w:val="0"/>
                <w:sz w:val="24"/>
                <w:szCs w:val="24"/>
              </w:rPr>
              <w:t>交通</w:t>
            </w:r>
            <w:r>
              <w:rPr>
                <w:rFonts w:hint="eastAsia" w:ascii="仿宋_GB2312" w:hAnsi="仿宋_GB2312" w:eastAsia="仿宋_GB2312" w:cs="仿宋_GB2312"/>
                <w:color w:val="auto"/>
                <w:kern w:val="0"/>
                <w:sz w:val="24"/>
                <w:szCs w:val="24"/>
                <w:lang w:val="en-US" w:eastAsia="zh-CN"/>
              </w:rPr>
              <w:t>局</w:t>
            </w:r>
          </w:p>
        </w:tc>
      </w:tr>
      <w:tr w14:paraId="28E3B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continue"/>
            <w:noWrap w:val="0"/>
            <w:tcMar>
              <w:top w:w="15" w:type="dxa"/>
              <w:left w:w="15" w:type="dxa"/>
              <w:right w:w="15" w:type="dxa"/>
            </w:tcMar>
            <w:vAlign w:val="center"/>
          </w:tcPr>
          <w:p w14:paraId="453CAC3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both"/>
              <w:textAlignment w:val="auto"/>
              <w:rPr>
                <w:rFonts w:hint="default" w:ascii="仿宋_GB2312" w:hAnsi="仿宋_GB2312" w:eastAsia="仿宋_GB2312" w:cs="仿宋_GB2312"/>
                <w:color w:val="000000"/>
                <w:sz w:val="24"/>
                <w:szCs w:val="24"/>
                <w:lang w:val="en-US" w:eastAsia="zh-CN"/>
              </w:rPr>
            </w:pPr>
          </w:p>
        </w:tc>
        <w:tc>
          <w:tcPr>
            <w:tcW w:w="1328" w:type="dxa"/>
            <w:vMerge w:val="continue"/>
            <w:noWrap w:val="0"/>
            <w:tcMar>
              <w:top w:w="15" w:type="dxa"/>
              <w:left w:w="15" w:type="dxa"/>
              <w:right w:w="15" w:type="dxa"/>
            </w:tcMar>
            <w:vAlign w:val="center"/>
          </w:tcPr>
          <w:p w14:paraId="1368087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50870585">
            <w:pPr>
              <w:pStyle w:val="15"/>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lang w:val="en-US" w:eastAsia="zh-CN"/>
              </w:rPr>
              <w:t>进一步加强</w:t>
            </w:r>
            <w:r>
              <w:rPr>
                <w:rFonts w:hint="eastAsia" w:ascii="仿宋_GB2312" w:hAnsi="仿宋_GB2312" w:eastAsia="仿宋_GB2312" w:cs="仿宋_GB2312"/>
                <w:color w:val="auto"/>
                <w:kern w:val="0"/>
                <w:sz w:val="24"/>
                <w:szCs w:val="24"/>
              </w:rPr>
              <w:t>自然保护地和生态保护红线</w:t>
            </w:r>
            <w:r>
              <w:rPr>
                <w:rFonts w:hint="eastAsia" w:ascii="仿宋_GB2312" w:hAnsi="仿宋_GB2312" w:eastAsia="仿宋_GB2312" w:cs="仿宋_GB2312"/>
                <w:color w:val="auto"/>
                <w:sz w:val="24"/>
                <w:szCs w:val="24"/>
                <w:lang w:val="en-US" w:eastAsia="zh-CN"/>
              </w:rPr>
              <w:t>监管</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lang w:val="en-US" w:eastAsia="zh-CN"/>
              </w:rPr>
              <w:t>持续开展生态问题“监测－</w:t>
            </w:r>
            <w:r>
              <w:rPr>
                <w:rFonts w:hint="eastAsia" w:ascii="仿宋_GB2312" w:hAnsi="仿宋_GB2312" w:eastAsia="仿宋_GB2312" w:cs="仿宋_GB2312"/>
                <w:color w:val="auto"/>
                <w:kern w:val="0"/>
                <w:sz w:val="24"/>
                <w:szCs w:val="24"/>
              </w:rPr>
              <w:t>核查</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rPr>
              <w:t>整改</w:t>
            </w:r>
            <w:r>
              <w:rPr>
                <w:rFonts w:hint="eastAsia" w:ascii="仿宋_GB2312" w:hAnsi="仿宋_GB2312" w:eastAsia="仿宋_GB2312" w:cs="仿宋_GB2312"/>
                <w:color w:val="auto"/>
                <w:kern w:val="0"/>
                <w:sz w:val="24"/>
                <w:szCs w:val="24"/>
                <w:lang w:val="en-US" w:eastAsia="zh-CN"/>
              </w:rPr>
              <w:t>”闭环管理，</w:t>
            </w:r>
            <w:r>
              <w:rPr>
                <w:rFonts w:hint="eastAsia" w:ascii="仿宋_GB2312" w:hAnsi="仿宋_GB2312" w:eastAsia="仿宋_GB2312" w:cs="仿宋_GB2312"/>
                <w:color w:val="auto"/>
                <w:kern w:val="0"/>
                <w:sz w:val="24"/>
                <w:szCs w:val="24"/>
                <w:lang w:eastAsia="zh"/>
              </w:rPr>
              <w:t>重点监督重大工程</w:t>
            </w:r>
            <w:r>
              <w:rPr>
                <w:rFonts w:hint="eastAsia" w:ascii="仿宋_GB2312" w:hAnsi="仿宋_GB2312" w:eastAsia="仿宋_GB2312" w:cs="仿宋_GB2312"/>
                <w:color w:val="auto"/>
                <w:kern w:val="0"/>
                <w:sz w:val="24"/>
                <w:szCs w:val="24"/>
                <w:lang w:val="en-US" w:eastAsia="zh-CN"/>
              </w:rPr>
              <w:t>施工期生态影响。强化</w:t>
            </w:r>
            <w:r>
              <w:rPr>
                <w:rFonts w:hint="eastAsia" w:ascii="仿宋_GB2312" w:hAnsi="仿宋_GB2312" w:eastAsia="仿宋_GB2312" w:cs="仿宋_GB2312"/>
                <w:color w:val="auto"/>
                <w:kern w:val="0"/>
                <w:sz w:val="24"/>
                <w:szCs w:val="24"/>
                <w:lang w:eastAsia="zh"/>
              </w:rPr>
              <w:t>违法违规</w:t>
            </w:r>
            <w:r>
              <w:rPr>
                <w:rFonts w:hint="eastAsia" w:ascii="仿宋_GB2312" w:hAnsi="仿宋_GB2312" w:eastAsia="仿宋_GB2312" w:cs="仿宋_GB2312"/>
                <w:color w:val="auto"/>
                <w:kern w:val="0"/>
                <w:sz w:val="24"/>
                <w:szCs w:val="24"/>
                <w:lang w:val="en-US" w:eastAsia="zh-CN"/>
              </w:rPr>
              <w:t>旅游活动管控力度，</w:t>
            </w:r>
            <w:r>
              <w:rPr>
                <w:rFonts w:hint="eastAsia" w:ascii="仿宋_GB2312" w:hAnsi="仿宋_GB2312" w:eastAsia="仿宋_GB2312" w:cs="仿宋_GB2312"/>
                <w:color w:val="auto"/>
                <w:kern w:val="0"/>
                <w:sz w:val="24"/>
                <w:szCs w:val="24"/>
                <w:lang w:eastAsia="zh-CN"/>
              </w:rPr>
              <w:t>严肃</w:t>
            </w:r>
            <w:r>
              <w:rPr>
                <w:rFonts w:hint="eastAsia" w:ascii="仿宋_GB2312" w:hAnsi="仿宋_GB2312" w:eastAsia="仿宋_GB2312" w:cs="仿宋_GB2312"/>
                <w:color w:val="auto"/>
                <w:kern w:val="0"/>
                <w:sz w:val="24"/>
                <w:szCs w:val="24"/>
              </w:rPr>
              <w:t>查处不符合空间管控要求的违法违规行为</w:t>
            </w:r>
            <w:r>
              <w:rPr>
                <w:rFonts w:hint="eastAsia" w:ascii="仿宋_GB2312" w:hAnsi="仿宋_GB2312" w:eastAsia="仿宋_GB2312" w:cs="仿宋_GB2312"/>
                <w:color w:val="auto"/>
                <w:kern w:val="0"/>
                <w:sz w:val="24"/>
                <w:szCs w:val="24"/>
                <w:lang w:eastAsia="zh-CN"/>
              </w:rPr>
              <w:t>。</w:t>
            </w:r>
          </w:p>
        </w:tc>
        <w:tc>
          <w:tcPr>
            <w:tcW w:w="1365" w:type="dxa"/>
            <w:noWrap w:val="0"/>
            <w:tcMar>
              <w:top w:w="15" w:type="dxa"/>
              <w:left w:w="15" w:type="dxa"/>
              <w:right w:w="15" w:type="dxa"/>
            </w:tcMar>
            <w:vAlign w:val="center"/>
          </w:tcPr>
          <w:p w14:paraId="577155F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rPr>
              <w:t>年底前</w:t>
            </w:r>
          </w:p>
        </w:tc>
        <w:tc>
          <w:tcPr>
            <w:tcW w:w="1725" w:type="dxa"/>
            <w:noWrap w:val="0"/>
            <w:tcMar>
              <w:top w:w="15" w:type="dxa"/>
              <w:left w:w="15" w:type="dxa"/>
              <w:right w:w="15" w:type="dxa"/>
            </w:tcMar>
            <w:vAlign w:val="center"/>
          </w:tcPr>
          <w:p w14:paraId="430436D1">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区规自分局</w:t>
            </w:r>
          </w:p>
          <w:p w14:paraId="1CEDDA47">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kern w:val="0"/>
                <w:sz w:val="24"/>
                <w:szCs w:val="24"/>
              </w:rPr>
              <w:t>园林绿化局</w:t>
            </w:r>
          </w:p>
          <w:p w14:paraId="4FA49CB3">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区文旅局</w:t>
            </w:r>
          </w:p>
          <w:p w14:paraId="363E556B">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生态环境局</w:t>
            </w:r>
          </w:p>
          <w:p w14:paraId="539AAFEE">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百花山管理处</w:t>
            </w:r>
          </w:p>
          <w:p w14:paraId="742347EC">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lang w:val="en-US" w:eastAsia="zh-CN"/>
              </w:rPr>
              <w:t>各镇街</w:t>
            </w:r>
          </w:p>
        </w:tc>
        <w:tc>
          <w:tcPr>
            <w:tcW w:w="1749" w:type="dxa"/>
            <w:noWrap w:val="0"/>
            <w:tcMar>
              <w:top w:w="15" w:type="dxa"/>
              <w:left w:w="15" w:type="dxa"/>
              <w:right w:w="15" w:type="dxa"/>
            </w:tcMar>
            <w:vAlign w:val="center"/>
          </w:tcPr>
          <w:p w14:paraId="7E1BD7D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w:t>
            </w:r>
          </w:p>
        </w:tc>
      </w:tr>
      <w:tr w14:paraId="29DC9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38" w:type="dxa"/>
            <w:noWrap w:val="0"/>
            <w:tcMar>
              <w:top w:w="15" w:type="dxa"/>
              <w:left w:w="15" w:type="dxa"/>
              <w:right w:w="15" w:type="dxa"/>
            </w:tcMar>
            <w:vAlign w:val="center"/>
          </w:tcPr>
          <w:p w14:paraId="3FC6E07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33</w:t>
            </w:r>
          </w:p>
        </w:tc>
        <w:tc>
          <w:tcPr>
            <w:tcW w:w="1328" w:type="dxa"/>
            <w:noWrap w:val="0"/>
            <w:tcMar>
              <w:top w:w="15" w:type="dxa"/>
              <w:left w:w="15" w:type="dxa"/>
              <w:right w:w="15" w:type="dxa"/>
            </w:tcMar>
            <w:vAlign w:val="center"/>
          </w:tcPr>
          <w:p w14:paraId="4E5D356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加强涉矿违法行为查处</w:t>
            </w:r>
          </w:p>
        </w:tc>
        <w:tc>
          <w:tcPr>
            <w:tcW w:w="7799" w:type="dxa"/>
            <w:noWrap w:val="0"/>
            <w:tcMar>
              <w:top w:w="15" w:type="dxa"/>
              <w:left w:w="15" w:type="dxa"/>
              <w:right w:w="15" w:type="dxa"/>
            </w:tcMar>
            <w:vAlign w:val="center"/>
          </w:tcPr>
          <w:p w14:paraId="0C55338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严厉打击</w:t>
            </w:r>
            <w:r>
              <w:rPr>
                <w:rFonts w:hint="eastAsia" w:ascii="仿宋_GB2312" w:hAnsi="仿宋_GB2312" w:eastAsia="仿宋_GB2312" w:cs="仿宋_GB2312"/>
                <w:color w:val="auto"/>
                <w:sz w:val="24"/>
                <w:szCs w:val="24"/>
                <w:lang w:eastAsia="zh-CN"/>
              </w:rPr>
              <w:t>和</w:t>
            </w:r>
            <w:r>
              <w:rPr>
                <w:rFonts w:hint="eastAsia" w:ascii="仿宋_GB2312" w:hAnsi="仿宋_GB2312" w:eastAsia="仿宋_GB2312" w:cs="仿宋_GB2312"/>
                <w:color w:val="auto"/>
                <w:sz w:val="24"/>
                <w:szCs w:val="24"/>
              </w:rPr>
              <w:t>查处私挖盗采活动</w:t>
            </w:r>
            <w:r>
              <w:rPr>
                <w:rFonts w:hint="eastAsia" w:ascii="仿宋_GB2312" w:hAnsi="仿宋_GB2312" w:eastAsia="仿宋_GB2312" w:cs="仿宋_GB2312"/>
                <w:color w:val="auto"/>
                <w:sz w:val="24"/>
                <w:szCs w:val="24"/>
                <w:lang w:val="en-US" w:eastAsia="zh-CN"/>
              </w:rPr>
              <w:t>与涉矿违法犯罪行为</w:t>
            </w:r>
            <w:r>
              <w:rPr>
                <w:rFonts w:hint="eastAsia" w:ascii="仿宋_GB2312" w:hAnsi="仿宋_GB2312" w:eastAsia="仿宋_GB2312" w:cs="仿宋_GB2312"/>
                <w:color w:val="auto"/>
                <w:sz w:val="24"/>
                <w:szCs w:val="24"/>
                <w:lang w:eastAsia="zh"/>
              </w:rPr>
              <w:t>。</w:t>
            </w:r>
          </w:p>
        </w:tc>
        <w:tc>
          <w:tcPr>
            <w:tcW w:w="1365" w:type="dxa"/>
            <w:noWrap w:val="0"/>
            <w:tcMar>
              <w:top w:w="15" w:type="dxa"/>
              <w:left w:w="15" w:type="dxa"/>
              <w:right w:w="15" w:type="dxa"/>
            </w:tcMar>
            <w:vAlign w:val="center"/>
          </w:tcPr>
          <w:p w14:paraId="3D5ECEE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6B69138A">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区规自分局</w:t>
            </w:r>
          </w:p>
        </w:tc>
        <w:tc>
          <w:tcPr>
            <w:tcW w:w="1749" w:type="dxa"/>
            <w:noWrap w:val="0"/>
            <w:tcMar>
              <w:top w:w="15" w:type="dxa"/>
              <w:left w:w="15" w:type="dxa"/>
              <w:right w:w="15" w:type="dxa"/>
            </w:tcMar>
            <w:vAlign w:val="center"/>
          </w:tcPr>
          <w:p w14:paraId="29FDBB9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w:t>
            </w:r>
          </w:p>
        </w:tc>
      </w:tr>
      <w:tr w14:paraId="4D4BA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638" w:type="dxa"/>
            <w:vMerge w:val="restart"/>
            <w:noWrap w:val="0"/>
            <w:tcMar>
              <w:top w:w="15" w:type="dxa"/>
              <w:left w:w="15" w:type="dxa"/>
              <w:right w:w="15" w:type="dxa"/>
            </w:tcMar>
            <w:vAlign w:val="center"/>
          </w:tcPr>
          <w:p w14:paraId="0A4CB4B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34</w:t>
            </w:r>
          </w:p>
        </w:tc>
        <w:tc>
          <w:tcPr>
            <w:tcW w:w="1328" w:type="dxa"/>
            <w:vMerge w:val="restart"/>
            <w:noWrap w:val="0"/>
            <w:tcMar>
              <w:top w:w="15" w:type="dxa"/>
              <w:left w:w="15" w:type="dxa"/>
              <w:right w:w="15" w:type="dxa"/>
            </w:tcMar>
            <w:vAlign w:val="center"/>
          </w:tcPr>
          <w:p w14:paraId="788EC98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统筹推进实施生态保护修复</w:t>
            </w:r>
          </w:p>
        </w:tc>
        <w:tc>
          <w:tcPr>
            <w:tcW w:w="7799" w:type="dxa"/>
            <w:noWrap w:val="0"/>
            <w:tcMar>
              <w:top w:w="15" w:type="dxa"/>
              <w:left w:w="15" w:type="dxa"/>
              <w:right w:w="15" w:type="dxa"/>
            </w:tcMar>
            <w:vAlign w:val="center"/>
          </w:tcPr>
          <w:p w14:paraId="0535975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lang w:eastAsia="zh"/>
              </w:rPr>
              <w:t>实施矿山</w:t>
            </w:r>
            <w:r>
              <w:rPr>
                <w:rFonts w:hint="eastAsia" w:ascii="仿宋_GB2312" w:hAnsi="仿宋_GB2312" w:eastAsia="仿宋_GB2312" w:cs="仿宋_GB2312"/>
                <w:color w:val="auto"/>
                <w:kern w:val="0"/>
                <w:sz w:val="24"/>
                <w:szCs w:val="24"/>
              </w:rPr>
              <w:t>生态修复</w:t>
            </w:r>
            <w:r>
              <w:rPr>
                <w:rFonts w:hint="eastAsia" w:ascii="仿宋_GB2312" w:hAnsi="仿宋_GB2312" w:eastAsia="仿宋_GB2312" w:cs="仿宋_GB2312"/>
                <w:color w:val="auto"/>
                <w:kern w:val="0"/>
                <w:sz w:val="24"/>
                <w:szCs w:val="24"/>
                <w:lang w:eastAsia="zh"/>
              </w:rPr>
              <w:t>，</w:t>
            </w:r>
            <w:r>
              <w:rPr>
                <w:rFonts w:hint="eastAsia" w:ascii="仿宋_GB2312" w:hAnsi="仿宋_GB2312" w:eastAsia="仿宋_GB2312" w:cs="仿宋_GB2312"/>
                <w:color w:val="auto"/>
                <w:kern w:val="0"/>
                <w:sz w:val="24"/>
                <w:szCs w:val="24"/>
                <w:lang w:val="en-US" w:eastAsia="zh-CN"/>
              </w:rPr>
              <w:t>完成市级下达的废弃矿山治理任务</w:t>
            </w:r>
            <w:r>
              <w:rPr>
                <w:rFonts w:hint="eastAsia" w:ascii="仿宋_GB2312" w:hAnsi="仿宋_GB2312" w:eastAsia="仿宋_GB2312" w:cs="仿宋_GB2312"/>
                <w:color w:val="auto"/>
                <w:kern w:val="0"/>
                <w:sz w:val="24"/>
                <w:szCs w:val="24"/>
                <w:lang w:eastAsia="zh"/>
              </w:rPr>
              <w:t>。</w:t>
            </w:r>
          </w:p>
        </w:tc>
        <w:tc>
          <w:tcPr>
            <w:tcW w:w="1365" w:type="dxa"/>
            <w:noWrap w:val="0"/>
            <w:tcMar>
              <w:top w:w="15" w:type="dxa"/>
              <w:left w:w="15" w:type="dxa"/>
              <w:right w:w="15" w:type="dxa"/>
            </w:tcMar>
            <w:vAlign w:val="center"/>
          </w:tcPr>
          <w:p w14:paraId="670F8CC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rPr>
              <w:t>年底前</w:t>
            </w:r>
          </w:p>
        </w:tc>
        <w:tc>
          <w:tcPr>
            <w:tcW w:w="1725" w:type="dxa"/>
            <w:noWrap w:val="0"/>
            <w:tcMar>
              <w:top w:w="15" w:type="dxa"/>
              <w:left w:w="15" w:type="dxa"/>
              <w:right w:w="15" w:type="dxa"/>
            </w:tcMar>
            <w:vAlign w:val="center"/>
          </w:tcPr>
          <w:p w14:paraId="1609569A">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区规自分局</w:t>
            </w:r>
          </w:p>
        </w:tc>
        <w:tc>
          <w:tcPr>
            <w:tcW w:w="1749" w:type="dxa"/>
            <w:noWrap w:val="0"/>
            <w:tcMar>
              <w:top w:w="15" w:type="dxa"/>
              <w:left w:w="15" w:type="dxa"/>
              <w:right w:w="15" w:type="dxa"/>
            </w:tcMar>
            <w:vAlign w:val="center"/>
          </w:tcPr>
          <w:p w14:paraId="6598C30D">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w:t>
            </w:r>
            <w:r>
              <w:rPr>
                <w:rFonts w:hint="eastAsia" w:ascii="仿宋_GB2312" w:hAnsi="仿宋_GB2312" w:eastAsia="仿宋_GB2312" w:cs="仿宋_GB2312"/>
                <w:color w:val="auto"/>
                <w:sz w:val="24"/>
                <w:szCs w:val="24"/>
                <w:lang w:eastAsia="zh-CN"/>
              </w:rPr>
              <w:t>局</w:t>
            </w:r>
          </w:p>
        </w:tc>
      </w:tr>
      <w:tr w14:paraId="3639EE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50E3FAC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p>
        </w:tc>
        <w:tc>
          <w:tcPr>
            <w:tcW w:w="1328" w:type="dxa"/>
            <w:vMerge w:val="continue"/>
            <w:noWrap w:val="0"/>
            <w:tcMar>
              <w:top w:w="15" w:type="dxa"/>
              <w:left w:w="15" w:type="dxa"/>
              <w:right w:w="15" w:type="dxa"/>
            </w:tcMar>
            <w:vAlign w:val="center"/>
          </w:tcPr>
          <w:p w14:paraId="4B509F3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3D0A966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lang w:val="en-US" w:eastAsia="zh-CN"/>
              </w:rPr>
              <w:t>完成</w:t>
            </w:r>
            <w:r>
              <w:rPr>
                <w:rFonts w:hint="eastAsia" w:ascii="仿宋_GB2312" w:hAnsi="仿宋_GB2312" w:eastAsia="仿宋_GB2312" w:cs="仿宋_GB2312"/>
                <w:color w:val="auto"/>
                <w:kern w:val="0"/>
                <w:sz w:val="24"/>
                <w:szCs w:val="24"/>
              </w:rPr>
              <w:t>京西山水工程</w:t>
            </w:r>
            <w:r>
              <w:rPr>
                <w:rFonts w:hint="eastAsia" w:ascii="仿宋_GB2312" w:hAnsi="仿宋_GB2312" w:eastAsia="仿宋_GB2312" w:cs="仿宋_GB2312"/>
                <w:color w:val="auto"/>
                <w:kern w:val="0"/>
                <w:sz w:val="24"/>
                <w:szCs w:val="24"/>
                <w:lang w:val="en-US" w:eastAsia="zh-CN"/>
              </w:rPr>
              <w:t>建设并开展</w:t>
            </w:r>
            <w:r>
              <w:rPr>
                <w:rFonts w:hint="eastAsia" w:ascii="仿宋_GB2312" w:hAnsi="仿宋_GB2312" w:eastAsia="仿宋_GB2312" w:cs="仿宋_GB2312"/>
                <w:color w:val="auto"/>
                <w:kern w:val="0"/>
                <w:sz w:val="24"/>
                <w:szCs w:val="24"/>
              </w:rPr>
              <w:t>验收，客观评估</w:t>
            </w:r>
            <w:r>
              <w:rPr>
                <w:rFonts w:hint="eastAsia" w:ascii="仿宋_GB2312" w:hAnsi="仿宋_GB2312" w:eastAsia="仿宋_GB2312" w:cs="仿宋_GB2312"/>
                <w:color w:val="auto"/>
                <w:kern w:val="0"/>
                <w:sz w:val="24"/>
                <w:szCs w:val="24"/>
                <w:lang w:val="en-US" w:eastAsia="zh-CN"/>
              </w:rPr>
              <w:t>工程</w:t>
            </w:r>
            <w:r>
              <w:rPr>
                <w:rFonts w:hint="eastAsia" w:ascii="仿宋_GB2312" w:hAnsi="仿宋_GB2312" w:eastAsia="仿宋_GB2312" w:cs="仿宋_GB2312"/>
                <w:color w:val="auto"/>
                <w:kern w:val="0"/>
                <w:sz w:val="24"/>
                <w:szCs w:val="24"/>
              </w:rPr>
              <w:t>生态修复</w:t>
            </w:r>
            <w:r>
              <w:rPr>
                <w:rFonts w:hint="eastAsia" w:ascii="仿宋_GB2312" w:hAnsi="仿宋_GB2312" w:eastAsia="仿宋_GB2312" w:cs="仿宋_GB2312"/>
                <w:color w:val="auto"/>
                <w:kern w:val="0"/>
                <w:sz w:val="24"/>
                <w:szCs w:val="24"/>
                <w:lang w:val="en-US" w:eastAsia="zh-CN"/>
              </w:rPr>
              <w:t>效果</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eastAsia="zh-CN"/>
              </w:rPr>
              <w:t>落实</w:t>
            </w:r>
            <w:r>
              <w:rPr>
                <w:rFonts w:hint="eastAsia" w:ascii="仿宋_GB2312" w:hAnsi="仿宋_GB2312" w:eastAsia="仿宋_GB2312" w:cs="仿宋_GB2312"/>
                <w:color w:val="auto"/>
                <w:kern w:val="0"/>
                <w:sz w:val="24"/>
                <w:szCs w:val="24"/>
                <w:lang w:val="en-US" w:eastAsia="zh-CN"/>
              </w:rPr>
              <w:t>项目</w:t>
            </w:r>
            <w:r>
              <w:rPr>
                <w:rFonts w:hint="eastAsia" w:ascii="仿宋_GB2312" w:hAnsi="仿宋_GB2312" w:eastAsia="仿宋_GB2312" w:cs="仿宋_GB2312"/>
                <w:color w:val="auto"/>
                <w:kern w:val="0"/>
                <w:sz w:val="24"/>
                <w:szCs w:val="24"/>
              </w:rPr>
              <w:t>后期管护与长期监测制度，持续巩固并提升生态修复</w:t>
            </w:r>
            <w:r>
              <w:rPr>
                <w:rFonts w:hint="eastAsia" w:ascii="仿宋_GB2312" w:hAnsi="仿宋_GB2312" w:eastAsia="仿宋_GB2312" w:cs="仿宋_GB2312"/>
                <w:color w:val="auto"/>
                <w:kern w:val="0"/>
                <w:sz w:val="24"/>
                <w:szCs w:val="24"/>
                <w:lang w:val="en-US" w:eastAsia="zh-CN"/>
              </w:rPr>
              <w:t>成效</w:t>
            </w:r>
            <w:r>
              <w:rPr>
                <w:rFonts w:hint="eastAsia" w:ascii="仿宋_GB2312" w:hAnsi="仿宋_GB2312" w:eastAsia="仿宋_GB2312" w:cs="仿宋_GB2312"/>
                <w:color w:val="auto"/>
                <w:kern w:val="0"/>
                <w:sz w:val="24"/>
                <w:szCs w:val="24"/>
              </w:rPr>
              <w:t>。</w:t>
            </w:r>
          </w:p>
        </w:tc>
        <w:tc>
          <w:tcPr>
            <w:tcW w:w="1365" w:type="dxa"/>
            <w:noWrap w:val="0"/>
            <w:tcMar>
              <w:top w:w="15" w:type="dxa"/>
              <w:left w:w="15" w:type="dxa"/>
              <w:right w:w="15" w:type="dxa"/>
            </w:tcMar>
            <w:vAlign w:val="center"/>
          </w:tcPr>
          <w:p w14:paraId="59A605F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rPr>
              <w:t>持续推进</w:t>
            </w:r>
          </w:p>
        </w:tc>
        <w:tc>
          <w:tcPr>
            <w:tcW w:w="1725" w:type="dxa"/>
            <w:noWrap w:val="0"/>
            <w:tcMar>
              <w:top w:w="15" w:type="dxa"/>
              <w:left w:w="15" w:type="dxa"/>
              <w:right w:w="15" w:type="dxa"/>
            </w:tcMar>
            <w:vAlign w:val="center"/>
          </w:tcPr>
          <w:p w14:paraId="286D98CC">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区规自分局</w:t>
            </w:r>
          </w:p>
        </w:tc>
        <w:tc>
          <w:tcPr>
            <w:tcW w:w="1749" w:type="dxa"/>
            <w:noWrap w:val="0"/>
            <w:tcMar>
              <w:top w:w="15" w:type="dxa"/>
              <w:left w:w="15" w:type="dxa"/>
              <w:right w:w="15" w:type="dxa"/>
            </w:tcMar>
            <w:vAlign w:val="center"/>
          </w:tcPr>
          <w:p w14:paraId="14D06B94">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生态环境局</w:t>
            </w:r>
          </w:p>
          <w:p w14:paraId="3398086C">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p w14:paraId="155A5BA1">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水务局</w:t>
            </w:r>
          </w:p>
        </w:tc>
      </w:tr>
      <w:tr w14:paraId="3A8BB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638" w:type="dxa"/>
            <w:vMerge w:val="continue"/>
            <w:noWrap w:val="0"/>
            <w:tcMar>
              <w:top w:w="15" w:type="dxa"/>
              <w:left w:w="15" w:type="dxa"/>
              <w:right w:w="15" w:type="dxa"/>
            </w:tcMar>
            <w:vAlign w:val="center"/>
          </w:tcPr>
          <w:p w14:paraId="305E90A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2A0269B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0D259FF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在确保防洪排涝安全基础上，逐步恢复自然岸线形态，同步加强</w:t>
            </w:r>
            <w:r>
              <w:rPr>
                <w:rFonts w:hint="eastAsia" w:ascii="仿宋_GB2312" w:hAnsi="仿宋_GB2312" w:eastAsia="仿宋_GB2312" w:cs="仿宋_GB2312"/>
                <w:color w:val="auto"/>
                <w:sz w:val="24"/>
                <w:szCs w:val="24"/>
              </w:rPr>
              <w:t>河湖现状自然岸线保护</w:t>
            </w:r>
            <w:r>
              <w:rPr>
                <w:rFonts w:hint="eastAsia" w:ascii="仿宋_GB2312" w:hAnsi="仿宋_GB2312" w:eastAsia="仿宋_GB2312" w:cs="仿宋_GB2312"/>
                <w:color w:val="auto"/>
                <w:sz w:val="24"/>
                <w:szCs w:val="24"/>
                <w:lang w:val="en-US" w:eastAsia="zh-CN"/>
              </w:rPr>
              <w:t>与管控。</w:t>
            </w:r>
          </w:p>
        </w:tc>
        <w:tc>
          <w:tcPr>
            <w:tcW w:w="1365" w:type="dxa"/>
            <w:noWrap w:val="0"/>
            <w:tcMar>
              <w:top w:w="15" w:type="dxa"/>
              <w:left w:w="15" w:type="dxa"/>
              <w:right w:w="15" w:type="dxa"/>
            </w:tcMar>
            <w:vAlign w:val="center"/>
          </w:tcPr>
          <w:p w14:paraId="10FA1A5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2E1EE2A0">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水务局</w:t>
            </w:r>
          </w:p>
        </w:tc>
        <w:tc>
          <w:tcPr>
            <w:tcW w:w="1749" w:type="dxa"/>
            <w:noWrap w:val="0"/>
            <w:tcMar>
              <w:top w:w="15" w:type="dxa"/>
              <w:left w:w="15" w:type="dxa"/>
              <w:right w:w="15" w:type="dxa"/>
            </w:tcMar>
            <w:vAlign w:val="center"/>
          </w:tcPr>
          <w:p w14:paraId="682E06E7">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CN"/>
              </w:rPr>
              <w:t>各镇街</w:t>
            </w:r>
          </w:p>
        </w:tc>
      </w:tr>
      <w:tr w14:paraId="0353C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14604" w:type="dxa"/>
            <w:gridSpan w:val="6"/>
            <w:noWrap w:val="0"/>
            <w:tcMar>
              <w:top w:w="15" w:type="dxa"/>
              <w:left w:w="15" w:type="dxa"/>
              <w:right w:w="15" w:type="dxa"/>
            </w:tcMar>
            <w:vAlign w:val="center"/>
          </w:tcPr>
          <w:p w14:paraId="06A65C07">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黑体" w:hAnsi="黑体" w:eastAsia="黑体" w:cs="黑体"/>
                <w:color w:val="auto"/>
                <w:sz w:val="24"/>
                <w:szCs w:val="24"/>
                <w:lang w:eastAsia="zh-CN"/>
              </w:rPr>
              <w:t>（四）</w:t>
            </w:r>
            <w:r>
              <w:rPr>
                <w:rFonts w:hint="eastAsia" w:ascii="黑体" w:hAnsi="黑体" w:eastAsia="黑体" w:cs="黑体"/>
                <w:color w:val="auto"/>
                <w:sz w:val="24"/>
                <w:szCs w:val="24"/>
              </w:rPr>
              <w:t>促进生态保护可持续发展</w:t>
            </w:r>
          </w:p>
        </w:tc>
      </w:tr>
      <w:tr w14:paraId="22C976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restart"/>
            <w:noWrap w:val="0"/>
            <w:tcMar>
              <w:top w:w="15" w:type="dxa"/>
              <w:left w:w="15" w:type="dxa"/>
              <w:right w:w="15" w:type="dxa"/>
            </w:tcMar>
            <w:vAlign w:val="center"/>
          </w:tcPr>
          <w:p w14:paraId="1D665B3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35</w:t>
            </w:r>
          </w:p>
        </w:tc>
        <w:tc>
          <w:tcPr>
            <w:tcW w:w="1328" w:type="dxa"/>
            <w:vMerge w:val="restart"/>
            <w:noWrap w:val="0"/>
            <w:tcMar>
              <w:top w:w="15" w:type="dxa"/>
              <w:left w:w="15" w:type="dxa"/>
              <w:right w:w="15" w:type="dxa"/>
            </w:tcMar>
            <w:vAlign w:val="center"/>
          </w:tcPr>
          <w:p w14:paraId="2DF3AE4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rPr>
              <w:t>推进区域生态协同治理</w:t>
            </w:r>
          </w:p>
        </w:tc>
        <w:tc>
          <w:tcPr>
            <w:tcW w:w="7799" w:type="dxa"/>
            <w:noWrap w:val="0"/>
            <w:tcMar>
              <w:top w:w="15" w:type="dxa"/>
              <w:left w:w="15" w:type="dxa"/>
              <w:right w:w="15" w:type="dxa"/>
            </w:tcMar>
            <w:vAlign w:val="center"/>
          </w:tcPr>
          <w:p w14:paraId="32E319B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bidi="ar"/>
              </w:rPr>
              <w:t>加强京冀跨区域协同治理，围绕灵山</w:t>
            </w:r>
            <w:r>
              <w:rPr>
                <w:rFonts w:hint="eastAsia" w:ascii="仿宋_GB2312" w:hAnsi="仿宋_GB2312" w:eastAsia="仿宋_GB2312" w:cs="仿宋_GB2312"/>
                <w:color w:val="auto"/>
                <w:sz w:val="24"/>
                <w:szCs w:val="24"/>
                <w:lang w:eastAsia="zh" w:bidi="ar"/>
              </w:rPr>
              <w:t>交界区域建立林草联动保护监管机制，</w:t>
            </w:r>
            <w:r>
              <w:rPr>
                <w:rFonts w:hint="eastAsia" w:ascii="仿宋_GB2312" w:hAnsi="仿宋_GB2312" w:eastAsia="仿宋_GB2312" w:cs="仿宋_GB2312"/>
                <w:color w:val="auto"/>
                <w:sz w:val="24"/>
                <w:szCs w:val="24"/>
                <w:lang w:val="en-US" w:eastAsia="zh-CN" w:bidi="ar"/>
              </w:rPr>
              <w:t>统筹推进区域草甸管控与保育工作。</w:t>
            </w:r>
          </w:p>
        </w:tc>
        <w:tc>
          <w:tcPr>
            <w:tcW w:w="1365" w:type="dxa"/>
            <w:noWrap w:val="0"/>
            <w:tcMar>
              <w:top w:w="15" w:type="dxa"/>
              <w:left w:w="15" w:type="dxa"/>
              <w:right w:w="15" w:type="dxa"/>
            </w:tcMar>
            <w:vAlign w:val="center"/>
          </w:tcPr>
          <w:p w14:paraId="3600532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6464EEFF">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tc>
        <w:tc>
          <w:tcPr>
            <w:tcW w:w="1749" w:type="dxa"/>
            <w:noWrap w:val="0"/>
            <w:tcMar>
              <w:top w:w="15" w:type="dxa"/>
              <w:left w:w="15" w:type="dxa"/>
              <w:right w:w="15" w:type="dxa"/>
            </w:tcMar>
            <w:vAlign w:val="center"/>
          </w:tcPr>
          <w:p w14:paraId="76C6A7E4">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清水镇</w:t>
            </w:r>
          </w:p>
          <w:p w14:paraId="5E54FDA4">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百花山管理处</w:t>
            </w:r>
          </w:p>
        </w:tc>
      </w:tr>
      <w:tr w14:paraId="472EC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4847D41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071C7A5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2100266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推动</w:t>
            </w:r>
            <w:r>
              <w:rPr>
                <w:rFonts w:hint="eastAsia" w:ascii="仿宋_GB2312" w:hAnsi="仿宋_GB2312" w:eastAsia="仿宋_GB2312" w:cs="仿宋_GB2312"/>
                <w:color w:val="auto"/>
                <w:sz w:val="24"/>
                <w:szCs w:val="24"/>
              </w:rPr>
              <w:t>京冀林木良种备案互认</w:t>
            </w:r>
            <w:r>
              <w:rPr>
                <w:rFonts w:hint="eastAsia" w:ascii="仿宋_GB2312" w:hAnsi="仿宋_GB2312" w:eastAsia="仿宋_GB2312" w:cs="仿宋_GB2312"/>
                <w:color w:val="auto"/>
                <w:sz w:val="24"/>
                <w:szCs w:val="24"/>
                <w:lang w:val="en-US" w:eastAsia="zh-CN"/>
              </w:rPr>
              <w:t>，协同开展</w:t>
            </w:r>
            <w:r>
              <w:rPr>
                <w:rFonts w:hint="eastAsia" w:ascii="仿宋_GB2312" w:hAnsi="仿宋_GB2312" w:eastAsia="仿宋_GB2312" w:cs="仿宋_GB2312"/>
                <w:color w:val="auto"/>
                <w:sz w:val="24"/>
                <w:szCs w:val="24"/>
              </w:rPr>
              <w:t>美国白蛾、松材线虫</w:t>
            </w:r>
            <w:r>
              <w:rPr>
                <w:rFonts w:hint="eastAsia" w:ascii="仿宋_GB2312" w:hAnsi="仿宋_GB2312" w:eastAsia="仿宋_GB2312" w:cs="仿宋_GB2312"/>
                <w:color w:val="auto"/>
                <w:sz w:val="24"/>
                <w:szCs w:val="24"/>
                <w:lang w:eastAsia="zh"/>
              </w:rPr>
              <w:t>等</w:t>
            </w:r>
            <w:r>
              <w:rPr>
                <w:rFonts w:hint="eastAsia" w:ascii="仿宋_GB2312" w:hAnsi="仿宋_GB2312" w:eastAsia="仿宋_GB2312" w:cs="仿宋_GB2312"/>
                <w:color w:val="auto"/>
                <w:sz w:val="24"/>
                <w:szCs w:val="24"/>
                <w:lang w:val="en-US" w:eastAsia="zh-CN"/>
              </w:rPr>
              <w:t>林业有害生物联防联控，联合实施动态监测、趋势会商、宣传科普、</w:t>
            </w:r>
            <w:r>
              <w:rPr>
                <w:rFonts w:hint="eastAsia" w:ascii="仿宋_GB2312" w:hAnsi="仿宋_GB2312" w:eastAsia="仿宋_GB2312" w:cs="仿宋_GB2312"/>
                <w:color w:val="auto"/>
                <w:sz w:val="24"/>
                <w:szCs w:val="24"/>
                <w:lang w:eastAsia="zh"/>
              </w:rPr>
              <w:t>检疫</w:t>
            </w:r>
            <w:r>
              <w:rPr>
                <w:rFonts w:hint="eastAsia" w:ascii="仿宋_GB2312" w:hAnsi="仿宋_GB2312" w:eastAsia="仿宋_GB2312" w:cs="仿宋_GB2312"/>
                <w:color w:val="auto"/>
                <w:sz w:val="24"/>
                <w:szCs w:val="24"/>
                <w:lang w:val="en-US" w:eastAsia="zh-CN"/>
              </w:rPr>
              <w:t>检查等专项行动。</w:t>
            </w:r>
          </w:p>
        </w:tc>
        <w:tc>
          <w:tcPr>
            <w:tcW w:w="1365" w:type="dxa"/>
            <w:noWrap w:val="0"/>
            <w:tcMar>
              <w:top w:w="15" w:type="dxa"/>
              <w:left w:w="15" w:type="dxa"/>
              <w:right w:w="15" w:type="dxa"/>
            </w:tcMar>
            <w:vAlign w:val="center"/>
          </w:tcPr>
          <w:p w14:paraId="1581F0C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年底前</w:t>
            </w:r>
          </w:p>
        </w:tc>
        <w:tc>
          <w:tcPr>
            <w:tcW w:w="1725" w:type="dxa"/>
            <w:noWrap w:val="0"/>
            <w:tcMar>
              <w:top w:w="15" w:type="dxa"/>
              <w:left w:w="15" w:type="dxa"/>
              <w:right w:w="15" w:type="dxa"/>
            </w:tcMar>
            <w:vAlign w:val="center"/>
          </w:tcPr>
          <w:p w14:paraId="7F1D6C7F">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园林绿化局</w:t>
            </w:r>
          </w:p>
        </w:tc>
        <w:tc>
          <w:tcPr>
            <w:tcW w:w="1749" w:type="dxa"/>
            <w:noWrap w:val="0"/>
            <w:tcMar>
              <w:top w:w="15" w:type="dxa"/>
              <w:left w:w="15" w:type="dxa"/>
              <w:right w:w="15" w:type="dxa"/>
            </w:tcMar>
            <w:vAlign w:val="center"/>
          </w:tcPr>
          <w:p w14:paraId="47AE9FA4">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区</w:t>
            </w:r>
            <w:r>
              <w:rPr>
                <w:rFonts w:hint="eastAsia" w:ascii="仿宋_GB2312" w:hAnsi="仿宋_GB2312" w:eastAsia="仿宋_GB2312" w:cs="仿宋_GB2312"/>
                <w:color w:val="auto"/>
                <w:sz w:val="24"/>
                <w:szCs w:val="24"/>
              </w:rPr>
              <w:t>公安</w:t>
            </w:r>
            <w:r>
              <w:rPr>
                <w:rFonts w:hint="eastAsia" w:ascii="仿宋_GB2312" w:hAnsi="仿宋_GB2312" w:eastAsia="仿宋_GB2312" w:cs="仿宋_GB2312"/>
                <w:color w:val="auto"/>
                <w:sz w:val="24"/>
                <w:szCs w:val="24"/>
                <w:lang w:val="en-US" w:eastAsia="zh-CN"/>
              </w:rPr>
              <w:t>分</w:t>
            </w:r>
            <w:r>
              <w:rPr>
                <w:rFonts w:hint="eastAsia" w:ascii="仿宋_GB2312" w:hAnsi="仿宋_GB2312" w:eastAsia="仿宋_GB2312" w:cs="仿宋_GB2312"/>
                <w:color w:val="auto"/>
                <w:sz w:val="24"/>
                <w:szCs w:val="24"/>
              </w:rPr>
              <w:t>局</w:t>
            </w:r>
          </w:p>
        </w:tc>
      </w:tr>
      <w:tr w14:paraId="3F891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8" w:type="dxa"/>
            <w:vMerge w:val="restart"/>
            <w:noWrap w:val="0"/>
            <w:tcMar>
              <w:top w:w="15" w:type="dxa"/>
              <w:left w:w="15" w:type="dxa"/>
              <w:right w:w="15" w:type="dxa"/>
            </w:tcMar>
            <w:vAlign w:val="center"/>
          </w:tcPr>
          <w:p w14:paraId="588CE77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highlight w:val="green"/>
                <w:lang w:val="en-US" w:eastAsia="zh-CN"/>
              </w:rPr>
            </w:pPr>
            <w:r>
              <w:rPr>
                <w:rFonts w:hint="eastAsia" w:ascii="仿宋_GB2312" w:hAnsi="仿宋_GB2312" w:eastAsia="仿宋_GB2312" w:cs="仿宋_GB2312"/>
                <w:color w:val="auto"/>
                <w:sz w:val="24"/>
                <w:szCs w:val="24"/>
                <w:highlight w:val="none"/>
                <w:lang w:val="en-US" w:eastAsia="zh-CN"/>
              </w:rPr>
              <w:t>36</w:t>
            </w:r>
          </w:p>
        </w:tc>
        <w:tc>
          <w:tcPr>
            <w:tcW w:w="1328" w:type="dxa"/>
            <w:vMerge w:val="restart"/>
            <w:noWrap w:val="0"/>
            <w:tcMar>
              <w:top w:w="15" w:type="dxa"/>
              <w:left w:w="15" w:type="dxa"/>
              <w:right w:w="15" w:type="dxa"/>
            </w:tcMar>
            <w:vAlign w:val="center"/>
          </w:tcPr>
          <w:p w14:paraId="35660CA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rPr>
              <w:t>开展</w:t>
            </w:r>
            <w:r>
              <w:rPr>
                <w:rFonts w:hint="eastAsia" w:ascii="仿宋_GB2312" w:hAnsi="仿宋_GB2312" w:eastAsia="仿宋_GB2312" w:cs="仿宋_GB2312"/>
                <w:color w:val="auto"/>
                <w:kern w:val="0"/>
                <w:sz w:val="24"/>
                <w:szCs w:val="24"/>
                <w:highlight w:val="none"/>
              </w:rPr>
              <w:t>GEP-R</w:t>
            </w:r>
            <w:r>
              <w:rPr>
                <w:rFonts w:hint="eastAsia" w:ascii="仿宋_GB2312" w:hAnsi="仿宋_GB2312" w:eastAsia="仿宋_GB2312" w:cs="仿宋_GB2312"/>
                <w:color w:val="auto"/>
                <w:sz w:val="24"/>
                <w:szCs w:val="24"/>
                <w:highlight w:val="none"/>
              </w:rPr>
              <w:t>核算和应用</w:t>
            </w:r>
          </w:p>
        </w:tc>
        <w:tc>
          <w:tcPr>
            <w:tcW w:w="7799" w:type="dxa"/>
            <w:noWrap w:val="0"/>
            <w:tcMar>
              <w:top w:w="15" w:type="dxa"/>
              <w:left w:w="15" w:type="dxa"/>
              <w:right w:w="15" w:type="dxa"/>
            </w:tcMar>
            <w:vAlign w:val="center"/>
          </w:tcPr>
          <w:p w14:paraId="7547F93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color w:val="auto"/>
                <w:kern w:val="0"/>
                <w:sz w:val="24"/>
                <w:szCs w:val="24"/>
                <w:highlight w:val="none"/>
              </w:rPr>
            </w:pPr>
            <w:r>
              <w:rPr>
                <w:rFonts w:hint="eastAsia" w:ascii="仿宋_GB2312" w:hAnsi="仿宋_GB2312" w:eastAsia="仿宋_GB2312" w:cs="仿宋_GB2312"/>
                <w:color w:val="auto"/>
                <w:kern w:val="0"/>
                <w:sz w:val="24"/>
                <w:szCs w:val="24"/>
                <w:highlight w:val="none"/>
                <w:lang w:eastAsia="zh-CN"/>
              </w:rPr>
              <w:t>落实</w:t>
            </w:r>
            <w:r>
              <w:rPr>
                <w:rFonts w:hint="eastAsia" w:ascii="仿宋_GB2312" w:hAnsi="仿宋_GB2312" w:eastAsia="仿宋_GB2312" w:cs="仿宋_GB2312"/>
                <w:color w:val="auto"/>
                <w:kern w:val="0"/>
                <w:sz w:val="24"/>
                <w:szCs w:val="24"/>
                <w:highlight w:val="none"/>
              </w:rPr>
              <w:t>《北京市生态系统调节服务价值（GEP-R）核算方案》，</w:t>
            </w:r>
            <w:r>
              <w:rPr>
                <w:rFonts w:hint="eastAsia" w:ascii="仿宋_GB2312" w:hAnsi="仿宋_GB2312" w:eastAsia="仿宋_GB2312" w:cs="仿宋_GB2312"/>
                <w:color w:val="auto"/>
                <w:kern w:val="0"/>
                <w:sz w:val="24"/>
                <w:szCs w:val="24"/>
                <w:highlight w:val="none"/>
                <w:lang w:eastAsia="zh-CN"/>
              </w:rPr>
              <w:t>配合市级部门</w:t>
            </w:r>
            <w:r>
              <w:rPr>
                <w:rFonts w:hint="eastAsia" w:ascii="仿宋_GB2312" w:hAnsi="仿宋_GB2312" w:eastAsia="仿宋_GB2312" w:cs="仿宋_GB2312"/>
                <w:color w:val="auto"/>
                <w:kern w:val="0"/>
                <w:sz w:val="24"/>
                <w:szCs w:val="24"/>
                <w:highlight w:val="none"/>
              </w:rPr>
              <w:t>做好全区</w:t>
            </w:r>
            <w:r>
              <w:rPr>
                <w:rFonts w:hint="eastAsia" w:ascii="仿宋_GB2312" w:hAnsi="仿宋_GB2312" w:eastAsia="仿宋_GB2312" w:cs="仿宋_GB2312"/>
                <w:color w:val="auto"/>
                <w:kern w:val="0"/>
                <w:sz w:val="24"/>
                <w:szCs w:val="24"/>
                <w:highlight w:val="none"/>
                <w:lang w:eastAsia="zh"/>
              </w:rPr>
              <w:t>年度</w:t>
            </w:r>
            <w:r>
              <w:rPr>
                <w:rFonts w:hint="eastAsia" w:ascii="仿宋_GB2312" w:hAnsi="仿宋_GB2312" w:eastAsia="仿宋_GB2312" w:cs="仿宋_GB2312"/>
                <w:color w:val="auto"/>
                <w:kern w:val="0"/>
                <w:sz w:val="24"/>
                <w:szCs w:val="24"/>
                <w:highlight w:val="none"/>
              </w:rPr>
              <w:t>GEP-R核算工作。</w:t>
            </w:r>
          </w:p>
          <w:p w14:paraId="5E60A4BA">
            <w:pPr>
              <w:pStyle w:val="4"/>
              <w:jc w:val="left"/>
              <w:rPr>
                <w:rFonts w:hint="default" w:eastAsia="华文中宋"/>
                <w:highlight w:val="none"/>
                <w:lang w:val="en-US" w:eastAsia="zh-CN"/>
              </w:rPr>
            </w:pPr>
            <w:r>
              <w:rPr>
                <w:rFonts w:hint="eastAsia" w:ascii="仿宋_GB2312" w:hAnsi="仿宋_GB2312" w:eastAsia="仿宋_GB2312" w:cs="仿宋_GB2312"/>
                <w:b w:val="0"/>
                <w:color w:val="auto"/>
                <w:kern w:val="2"/>
                <w:sz w:val="24"/>
                <w:szCs w:val="24"/>
                <w:highlight w:val="none"/>
                <w:lang w:val="en-US" w:eastAsia="zh-CN" w:bidi="ar-SA"/>
              </w:rPr>
              <w:t>依托智库团队，收集和分析门头沟区自然资源、生态环境、空间利用等多方面的数据资料，加强核算技术研究，绘制生态底图，明确生态系统短板劣势与可提升空间。</w:t>
            </w:r>
          </w:p>
        </w:tc>
        <w:tc>
          <w:tcPr>
            <w:tcW w:w="1365" w:type="dxa"/>
            <w:noWrap w:val="0"/>
            <w:tcMar>
              <w:top w:w="15" w:type="dxa"/>
              <w:left w:w="15" w:type="dxa"/>
              <w:right w:w="15" w:type="dxa"/>
            </w:tcMar>
            <w:vAlign w:val="center"/>
          </w:tcPr>
          <w:p w14:paraId="6FEC0B6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kern w:val="0"/>
                <w:sz w:val="24"/>
                <w:szCs w:val="24"/>
                <w:highlight w:val="none"/>
              </w:rPr>
              <w:t>年底前</w:t>
            </w:r>
          </w:p>
        </w:tc>
        <w:tc>
          <w:tcPr>
            <w:tcW w:w="1725" w:type="dxa"/>
            <w:noWrap w:val="0"/>
            <w:tcMar>
              <w:top w:w="15" w:type="dxa"/>
              <w:left w:w="15" w:type="dxa"/>
              <w:right w:w="15" w:type="dxa"/>
            </w:tcMar>
            <w:vAlign w:val="center"/>
          </w:tcPr>
          <w:p w14:paraId="6EFC7E89">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lang w:eastAsia="zh-CN"/>
              </w:rPr>
              <w:t>区</w:t>
            </w:r>
            <w:r>
              <w:rPr>
                <w:rFonts w:hint="eastAsia" w:ascii="仿宋_GB2312" w:hAnsi="仿宋_GB2312" w:eastAsia="仿宋_GB2312" w:cs="仿宋_GB2312"/>
                <w:color w:val="auto"/>
                <w:sz w:val="24"/>
                <w:szCs w:val="24"/>
                <w:highlight w:val="none"/>
              </w:rPr>
              <w:t>生态环境局</w:t>
            </w:r>
          </w:p>
        </w:tc>
        <w:tc>
          <w:tcPr>
            <w:tcW w:w="1749" w:type="dxa"/>
            <w:noWrap w:val="0"/>
            <w:tcMar>
              <w:top w:w="15" w:type="dxa"/>
              <w:left w:w="15" w:type="dxa"/>
              <w:right w:w="15" w:type="dxa"/>
            </w:tcMar>
            <w:vAlign w:val="center"/>
          </w:tcPr>
          <w:p w14:paraId="1A553B45">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区</w:t>
            </w:r>
            <w:r>
              <w:rPr>
                <w:rFonts w:hint="eastAsia" w:ascii="仿宋_GB2312" w:hAnsi="仿宋_GB2312" w:eastAsia="仿宋_GB2312" w:cs="仿宋_GB2312"/>
                <w:color w:val="auto"/>
                <w:sz w:val="24"/>
                <w:szCs w:val="24"/>
                <w:highlight w:val="none"/>
              </w:rPr>
              <w:t>发展改革委</w:t>
            </w:r>
          </w:p>
          <w:p w14:paraId="20DDDA9C">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区规自分局</w:t>
            </w:r>
          </w:p>
          <w:p w14:paraId="568C71C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区园林绿化局</w:t>
            </w:r>
          </w:p>
          <w:p w14:paraId="455D704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区</w:t>
            </w:r>
            <w:r>
              <w:rPr>
                <w:rFonts w:hint="eastAsia" w:ascii="仿宋_GB2312" w:hAnsi="仿宋_GB2312" w:eastAsia="仿宋_GB2312" w:cs="仿宋_GB2312"/>
                <w:color w:val="auto"/>
                <w:sz w:val="24"/>
                <w:szCs w:val="24"/>
                <w:highlight w:val="none"/>
              </w:rPr>
              <w:t>水务局</w:t>
            </w:r>
          </w:p>
          <w:p w14:paraId="63D45BD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lang w:eastAsia="zh-CN"/>
              </w:rPr>
              <w:t>区</w:t>
            </w:r>
            <w:r>
              <w:rPr>
                <w:rFonts w:hint="eastAsia" w:ascii="仿宋_GB2312" w:hAnsi="仿宋_GB2312" w:eastAsia="仿宋_GB2312" w:cs="仿宋_GB2312"/>
                <w:color w:val="auto"/>
                <w:sz w:val="24"/>
                <w:szCs w:val="24"/>
                <w:highlight w:val="none"/>
              </w:rPr>
              <w:t>农业农村局</w:t>
            </w:r>
          </w:p>
        </w:tc>
      </w:tr>
      <w:tr w14:paraId="04AE9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638" w:type="dxa"/>
            <w:vMerge w:val="continue"/>
            <w:noWrap w:val="0"/>
            <w:tcMar>
              <w:top w:w="15" w:type="dxa"/>
              <w:left w:w="15" w:type="dxa"/>
              <w:right w:w="15" w:type="dxa"/>
            </w:tcMar>
            <w:vAlign w:val="center"/>
          </w:tcPr>
          <w:p w14:paraId="1F2ACFF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highlight w:val="green"/>
                <w:lang w:eastAsia="zh-CN"/>
              </w:rPr>
            </w:pPr>
          </w:p>
        </w:tc>
        <w:tc>
          <w:tcPr>
            <w:tcW w:w="1328" w:type="dxa"/>
            <w:vMerge w:val="continue"/>
            <w:noWrap w:val="0"/>
            <w:tcMar>
              <w:top w:w="15" w:type="dxa"/>
              <w:left w:w="15" w:type="dxa"/>
              <w:right w:w="15" w:type="dxa"/>
            </w:tcMar>
            <w:vAlign w:val="center"/>
          </w:tcPr>
          <w:p w14:paraId="1C38575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highlight w:val="none"/>
              </w:rPr>
            </w:pPr>
          </w:p>
        </w:tc>
        <w:tc>
          <w:tcPr>
            <w:tcW w:w="7799" w:type="dxa"/>
            <w:noWrap w:val="0"/>
            <w:tcMar>
              <w:top w:w="15" w:type="dxa"/>
              <w:left w:w="15" w:type="dxa"/>
              <w:right w:w="15" w:type="dxa"/>
            </w:tcMar>
            <w:vAlign w:val="center"/>
          </w:tcPr>
          <w:p w14:paraId="323483B3">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pacing w:val="0"/>
                <w:sz w:val="24"/>
                <w:szCs w:val="24"/>
                <w:highlight w:val="none"/>
              </w:rPr>
              <w:t>★</w:t>
            </w:r>
            <w:r>
              <w:rPr>
                <w:rFonts w:hint="eastAsia" w:ascii="仿宋_GB2312" w:hAnsi="仿宋_GB2312" w:eastAsia="仿宋_GB2312" w:cs="仿宋_GB2312"/>
                <w:color w:val="auto"/>
                <w:kern w:val="0"/>
                <w:sz w:val="24"/>
                <w:szCs w:val="24"/>
                <w:highlight w:val="none"/>
                <w:lang w:val="en-US" w:eastAsia="zh-CN"/>
              </w:rPr>
              <w:t>落实</w:t>
            </w:r>
            <w:r>
              <w:rPr>
                <w:rFonts w:hint="eastAsia" w:ascii="仿宋_GB2312" w:hAnsi="仿宋_GB2312" w:eastAsia="仿宋_GB2312" w:cs="仿宋_GB2312"/>
                <w:color w:val="auto"/>
                <w:kern w:val="0"/>
                <w:sz w:val="24"/>
                <w:szCs w:val="24"/>
                <w:highlight w:val="none"/>
                <w:lang w:eastAsia="zh"/>
              </w:rPr>
              <w:t>市级GEP-R生态保护补偿</w:t>
            </w:r>
            <w:r>
              <w:rPr>
                <w:rFonts w:hint="eastAsia" w:ascii="仿宋_GB2312" w:hAnsi="仿宋_GB2312" w:eastAsia="仿宋_GB2312" w:cs="仿宋_GB2312"/>
                <w:color w:val="auto"/>
                <w:kern w:val="0"/>
                <w:sz w:val="24"/>
                <w:szCs w:val="24"/>
                <w:highlight w:val="none"/>
                <w:lang w:val="en-US" w:eastAsia="zh-CN"/>
              </w:rPr>
              <w:t>政策</w:t>
            </w:r>
            <w:r>
              <w:rPr>
                <w:rFonts w:hint="eastAsia" w:ascii="仿宋_GB2312" w:hAnsi="仿宋_GB2312" w:eastAsia="仿宋_GB2312" w:cs="仿宋_GB2312"/>
                <w:color w:val="auto"/>
                <w:kern w:val="0"/>
                <w:sz w:val="24"/>
                <w:szCs w:val="24"/>
                <w:highlight w:val="none"/>
                <w:lang w:eastAsia="zh"/>
              </w:rPr>
              <w:t>，健全GEP—R补偿应用体系，</w:t>
            </w:r>
            <w:r>
              <w:rPr>
                <w:rFonts w:hint="eastAsia" w:ascii="仿宋_GB2312" w:hAnsi="仿宋_GB2312" w:eastAsia="仿宋_GB2312" w:cs="仿宋_GB2312"/>
                <w:color w:val="auto"/>
                <w:kern w:val="0"/>
                <w:sz w:val="24"/>
                <w:szCs w:val="24"/>
                <w:highlight w:val="none"/>
                <w:lang w:val="en-US" w:eastAsia="zh-CN"/>
              </w:rPr>
              <w:t>加大财政资金支持力度，</w:t>
            </w:r>
            <w:r>
              <w:rPr>
                <w:rFonts w:hint="eastAsia" w:ascii="仿宋_GB2312" w:hAnsi="仿宋_GB2312" w:eastAsia="仿宋_GB2312" w:cs="仿宋_GB2312"/>
                <w:color w:val="auto"/>
                <w:kern w:val="0"/>
                <w:sz w:val="24"/>
                <w:szCs w:val="24"/>
                <w:highlight w:val="none"/>
                <w:lang w:eastAsia="zh"/>
              </w:rPr>
              <w:t>推动补偿资金用于生态环境改善领域。</w:t>
            </w:r>
          </w:p>
        </w:tc>
        <w:tc>
          <w:tcPr>
            <w:tcW w:w="1365" w:type="dxa"/>
            <w:noWrap w:val="0"/>
            <w:tcMar>
              <w:top w:w="15" w:type="dxa"/>
              <w:left w:w="15" w:type="dxa"/>
              <w:right w:w="15" w:type="dxa"/>
            </w:tcMar>
            <w:vAlign w:val="center"/>
          </w:tcPr>
          <w:p w14:paraId="67D714B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rPr>
              <w:t>年底前</w:t>
            </w:r>
          </w:p>
        </w:tc>
        <w:tc>
          <w:tcPr>
            <w:tcW w:w="1725" w:type="dxa"/>
            <w:noWrap w:val="0"/>
            <w:tcMar>
              <w:top w:w="15" w:type="dxa"/>
              <w:left w:w="15" w:type="dxa"/>
              <w:right w:w="15" w:type="dxa"/>
            </w:tcMar>
            <w:vAlign w:val="center"/>
          </w:tcPr>
          <w:p w14:paraId="39F8A1F0">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kern w:val="0"/>
                <w:sz w:val="24"/>
                <w:szCs w:val="24"/>
                <w:highlight w:val="none"/>
                <w:lang w:eastAsia="zh-CN"/>
              </w:rPr>
              <w:t>区生态环境局</w:t>
            </w:r>
          </w:p>
        </w:tc>
        <w:tc>
          <w:tcPr>
            <w:tcW w:w="1749" w:type="dxa"/>
            <w:noWrap w:val="0"/>
            <w:tcMar>
              <w:top w:w="15" w:type="dxa"/>
              <w:left w:w="15" w:type="dxa"/>
              <w:right w:w="15" w:type="dxa"/>
            </w:tcMar>
            <w:vAlign w:val="center"/>
          </w:tcPr>
          <w:p w14:paraId="23CFE802">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kern w:val="0"/>
                <w:sz w:val="24"/>
                <w:szCs w:val="24"/>
                <w:highlight w:val="none"/>
                <w:lang w:eastAsia="zh"/>
              </w:rPr>
            </w:pPr>
            <w:r>
              <w:rPr>
                <w:rFonts w:hint="eastAsia" w:ascii="仿宋_GB2312" w:hAnsi="仿宋_GB2312" w:eastAsia="仿宋_GB2312" w:cs="仿宋_GB2312"/>
                <w:color w:val="auto"/>
                <w:kern w:val="0"/>
                <w:sz w:val="24"/>
                <w:szCs w:val="24"/>
                <w:highlight w:val="none"/>
                <w:lang w:eastAsia="zh-CN"/>
              </w:rPr>
              <w:t>区</w:t>
            </w:r>
            <w:r>
              <w:rPr>
                <w:rFonts w:hint="eastAsia" w:ascii="仿宋_GB2312" w:hAnsi="仿宋_GB2312" w:eastAsia="仿宋_GB2312" w:cs="仿宋_GB2312"/>
                <w:color w:val="auto"/>
                <w:kern w:val="0"/>
                <w:sz w:val="24"/>
                <w:szCs w:val="24"/>
                <w:highlight w:val="none"/>
                <w:lang w:eastAsia="zh"/>
              </w:rPr>
              <w:t>财政局</w:t>
            </w:r>
          </w:p>
          <w:p w14:paraId="499F1CA8">
            <w:pPr>
              <w:pStyle w:val="15"/>
              <w:ind w:left="0" w:leftChars="0" w:firstLine="0" w:firstLineChars="0"/>
              <w:jc w:val="center"/>
              <w:rPr>
                <w:rFonts w:hint="eastAsia" w:ascii="仿宋_GB2312" w:hAnsi="仿宋_GB2312" w:eastAsia="仿宋_GB2312" w:cs="仿宋_GB2312"/>
                <w:sz w:val="24"/>
                <w:highlight w:val="none"/>
              </w:rPr>
            </w:pPr>
            <w:r>
              <w:rPr>
                <w:rFonts w:hint="eastAsia" w:ascii="仿宋_GB2312" w:hAnsi="仿宋_GB2312" w:eastAsia="仿宋_GB2312" w:cs="仿宋_GB2312"/>
                <w:color w:val="auto"/>
                <w:kern w:val="0"/>
                <w:sz w:val="24"/>
                <w:szCs w:val="24"/>
                <w:highlight w:val="none"/>
                <w:lang w:eastAsia="zh-CN"/>
              </w:rPr>
              <w:t>区发改委</w:t>
            </w:r>
          </w:p>
        </w:tc>
      </w:tr>
      <w:tr w14:paraId="7CB03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8" w:hRule="atLeast"/>
        </w:trPr>
        <w:tc>
          <w:tcPr>
            <w:tcW w:w="638" w:type="dxa"/>
            <w:vMerge w:val="continue"/>
            <w:noWrap w:val="0"/>
            <w:tcMar>
              <w:top w:w="15" w:type="dxa"/>
              <w:left w:w="15" w:type="dxa"/>
              <w:right w:w="15" w:type="dxa"/>
            </w:tcMar>
            <w:vAlign w:val="center"/>
          </w:tcPr>
          <w:p w14:paraId="292D542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highlight w:val="green"/>
                <w:lang w:eastAsia="zh-CN"/>
              </w:rPr>
            </w:pPr>
          </w:p>
        </w:tc>
        <w:tc>
          <w:tcPr>
            <w:tcW w:w="1328" w:type="dxa"/>
            <w:vMerge w:val="continue"/>
            <w:noWrap w:val="0"/>
            <w:tcMar>
              <w:top w:w="15" w:type="dxa"/>
              <w:left w:w="15" w:type="dxa"/>
              <w:right w:w="15" w:type="dxa"/>
            </w:tcMar>
            <w:vAlign w:val="center"/>
          </w:tcPr>
          <w:p w14:paraId="3D2A5EE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highlight w:val="none"/>
              </w:rPr>
            </w:pPr>
          </w:p>
        </w:tc>
        <w:tc>
          <w:tcPr>
            <w:tcW w:w="7799" w:type="dxa"/>
            <w:noWrap w:val="0"/>
            <w:tcMar>
              <w:top w:w="15" w:type="dxa"/>
              <w:left w:w="15" w:type="dxa"/>
              <w:right w:w="15" w:type="dxa"/>
            </w:tcMar>
            <w:vAlign w:val="center"/>
          </w:tcPr>
          <w:p w14:paraId="143CDC0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color w:val="auto"/>
                <w:kern w:val="0"/>
                <w:sz w:val="24"/>
                <w:szCs w:val="24"/>
                <w:highlight w:val="none"/>
                <w:lang w:val="en-US" w:eastAsia="zh-CN"/>
              </w:rPr>
            </w:pPr>
            <w:r>
              <w:rPr>
                <w:rFonts w:hint="eastAsia" w:ascii="仿宋_GB2312" w:hAnsi="仿宋_GB2312" w:eastAsia="仿宋_GB2312" w:cs="仿宋_GB2312"/>
                <w:color w:val="auto"/>
                <w:spacing w:val="0"/>
                <w:sz w:val="24"/>
                <w:szCs w:val="24"/>
                <w:highlight w:val="none"/>
              </w:rPr>
              <w:t>★</w:t>
            </w:r>
            <w:r>
              <w:rPr>
                <w:rFonts w:hint="eastAsia" w:ascii="仿宋_GB2312" w:hAnsi="仿宋_GB2312" w:eastAsia="仿宋_GB2312" w:cs="仿宋_GB2312"/>
                <w:color w:val="auto"/>
                <w:kern w:val="0"/>
                <w:sz w:val="24"/>
                <w:szCs w:val="24"/>
                <w:highlight w:val="none"/>
                <w:lang w:eastAsia="zh-CN"/>
              </w:rPr>
              <w:t>积极推动区域</w:t>
            </w:r>
            <w:r>
              <w:rPr>
                <w:rFonts w:hint="eastAsia" w:ascii="仿宋_GB2312" w:hAnsi="仿宋_GB2312" w:eastAsia="仿宋_GB2312" w:cs="仿宋_GB2312"/>
                <w:color w:val="auto"/>
                <w:kern w:val="0"/>
                <w:sz w:val="24"/>
                <w:szCs w:val="24"/>
                <w:highlight w:val="none"/>
                <w:lang w:val="en-US" w:eastAsia="zh-CN"/>
              </w:rPr>
              <w:t>GEP-R巩固提升，成立GEP-R提升工作专班，组织专题培训，结合实际开展GEP-R变化情况分析，完善GEP巩固提升项目化导则，明确巩固提升策略，落实重点任务。</w:t>
            </w:r>
          </w:p>
          <w:p w14:paraId="48F71D06">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kern w:val="0"/>
                <w:sz w:val="24"/>
                <w:szCs w:val="24"/>
                <w:highlight w:val="none"/>
                <w:lang w:val="en-US" w:eastAsia="zh-CN"/>
              </w:rPr>
              <w:t>围绕“控损”，</w:t>
            </w:r>
            <w:r>
              <w:rPr>
                <w:rFonts w:hint="eastAsia" w:ascii="仿宋_GB2312" w:hAnsi="仿宋_GB2312" w:eastAsia="仿宋_GB2312" w:cs="仿宋_GB2312"/>
                <w:color w:val="auto"/>
                <w:kern w:val="0"/>
                <w:sz w:val="24"/>
                <w:szCs w:val="24"/>
                <w:highlight w:val="none"/>
              </w:rPr>
              <w:t>组织对生态用地变化线索开展实地核查，</w:t>
            </w:r>
            <w:r>
              <w:rPr>
                <w:rFonts w:hint="eastAsia" w:ascii="仿宋_GB2312" w:hAnsi="仿宋_GB2312" w:eastAsia="仿宋_GB2312" w:cs="仿宋_GB2312"/>
                <w:color w:val="auto"/>
                <w:kern w:val="0"/>
                <w:sz w:val="24"/>
                <w:szCs w:val="24"/>
                <w:highlight w:val="none"/>
                <w:lang w:val="en-US" w:eastAsia="zh-CN"/>
              </w:rPr>
              <w:t>因地制宜谋划和推进生态建设项目，</w:t>
            </w:r>
            <w:r>
              <w:rPr>
                <w:rFonts w:hint="eastAsia" w:ascii="仿宋_GB2312" w:hAnsi="仿宋_GB2312" w:eastAsia="仿宋_GB2312" w:cs="仿宋_GB2312"/>
                <w:color w:val="auto"/>
                <w:kern w:val="0"/>
                <w:sz w:val="24"/>
                <w:szCs w:val="24"/>
                <w:highlight w:val="none"/>
              </w:rPr>
              <w:t>提</w:t>
            </w:r>
            <w:r>
              <w:rPr>
                <w:rFonts w:hint="eastAsia" w:ascii="仿宋_GB2312" w:hAnsi="仿宋_GB2312" w:eastAsia="仿宋_GB2312" w:cs="仿宋_GB2312"/>
                <w:color w:val="auto"/>
                <w:kern w:val="0"/>
                <w:sz w:val="24"/>
                <w:szCs w:val="24"/>
                <w:highlight w:val="none"/>
                <w:lang w:eastAsia="zh-CN"/>
              </w:rPr>
              <w:t>高</w:t>
            </w:r>
            <w:r>
              <w:rPr>
                <w:rFonts w:hint="eastAsia" w:ascii="仿宋_GB2312" w:hAnsi="仿宋_GB2312" w:eastAsia="仿宋_GB2312" w:cs="仿宋_GB2312"/>
                <w:color w:val="auto"/>
                <w:kern w:val="0"/>
                <w:sz w:val="24"/>
                <w:szCs w:val="24"/>
                <w:highlight w:val="none"/>
              </w:rPr>
              <w:t>生态保护精细化水平。</w:t>
            </w:r>
          </w:p>
        </w:tc>
        <w:tc>
          <w:tcPr>
            <w:tcW w:w="1365" w:type="dxa"/>
            <w:noWrap w:val="0"/>
            <w:tcMar>
              <w:top w:w="15" w:type="dxa"/>
              <w:left w:w="15" w:type="dxa"/>
              <w:right w:w="15" w:type="dxa"/>
            </w:tcMar>
            <w:vAlign w:val="center"/>
          </w:tcPr>
          <w:p w14:paraId="4E5BE02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rPr>
              <w:t>年底前</w:t>
            </w:r>
          </w:p>
        </w:tc>
        <w:tc>
          <w:tcPr>
            <w:tcW w:w="1725" w:type="dxa"/>
            <w:noWrap w:val="0"/>
            <w:tcMar>
              <w:top w:w="15" w:type="dxa"/>
              <w:left w:w="15" w:type="dxa"/>
              <w:right w:w="15" w:type="dxa"/>
            </w:tcMar>
            <w:vAlign w:val="center"/>
          </w:tcPr>
          <w:p w14:paraId="24B4D815">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lang w:eastAsia="zh-CN"/>
              </w:rPr>
              <w:t>区</w:t>
            </w:r>
            <w:r>
              <w:rPr>
                <w:rFonts w:hint="eastAsia" w:ascii="仿宋_GB2312" w:hAnsi="仿宋_GB2312" w:eastAsia="仿宋_GB2312" w:cs="仿宋_GB2312"/>
                <w:color w:val="auto"/>
                <w:sz w:val="24"/>
                <w:szCs w:val="24"/>
                <w:highlight w:val="none"/>
              </w:rPr>
              <w:t>生态环境局</w:t>
            </w:r>
          </w:p>
        </w:tc>
        <w:tc>
          <w:tcPr>
            <w:tcW w:w="1749" w:type="dxa"/>
            <w:noWrap w:val="0"/>
            <w:tcMar>
              <w:top w:w="15" w:type="dxa"/>
              <w:left w:w="15" w:type="dxa"/>
              <w:right w:w="15" w:type="dxa"/>
            </w:tcMar>
            <w:vAlign w:val="center"/>
          </w:tcPr>
          <w:p w14:paraId="7333F52B">
            <w:pPr>
              <w:autoSpaceDE w:val="0"/>
              <w:snapToGrid w:val="0"/>
              <w:spacing w:line="300" w:lineRule="exact"/>
              <w:ind w:left="-140" w:leftChars="-50" w:right="-140" w:rightChars="-50"/>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区园林绿化局</w:t>
            </w:r>
          </w:p>
          <w:p w14:paraId="123E189F">
            <w:pPr>
              <w:autoSpaceDE w:val="0"/>
              <w:snapToGrid w:val="0"/>
              <w:spacing w:line="300" w:lineRule="exact"/>
              <w:ind w:left="-140" w:leftChars="-50" w:right="-140" w:rightChars="-50"/>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区水务局</w:t>
            </w:r>
          </w:p>
          <w:p w14:paraId="4E9C1B54">
            <w:pPr>
              <w:autoSpaceDE w:val="0"/>
              <w:snapToGrid w:val="0"/>
              <w:spacing w:line="300" w:lineRule="exact"/>
              <w:ind w:left="-140" w:leftChars="-50" w:right="-140" w:rightChars="-50"/>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区规自分局</w:t>
            </w:r>
          </w:p>
          <w:p w14:paraId="08555449">
            <w:pPr>
              <w:autoSpaceDE w:val="0"/>
              <w:snapToGrid w:val="0"/>
              <w:spacing w:line="300" w:lineRule="exact"/>
              <w:ind w:left="-140" w:leftChars="-50" w:right="-140" w:rightChars="-50"/>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区农业农村局</w:t>
            </w:r>
          </w:p>
          <w:p w14:paraId="32093AB0">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auto"/>
                <w:sz w:val="24"/>
                <w:szCs w:val="24"/>
                <w:highlight w:val="none"/>
              </w:rPr>
              <w:t>各镇街</w:t>
            </w:r>
          </w:p>
        </w:tc>
      </w:tr>
      <w:tr w14:paraId="522F7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638" w:type="dxa"/>
            <w:vMerge w:val="restart"/>
            <w:noWrap w:val="0"/>
            <w:tcMar>
              <w:top w:w="15" w:type="dxa"/>
              <w:left w:w="15" w:type="dxa"/>
              <w:right w:w="15" w:type="dxa"/>
            </w:tcMar>
            <w:vAlign w:val="center"/>
          </w:tcPr>
          <w:p w14:paraId="671F2C0F">
            <w:pPr>
              <w:keepNext w:val="0"/>
              <w:keepLines w:val="0"/>
              <w:pageBreakBefore w:val="0"/>
              <w:widowControl/>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auto"/>
                <w:sz w:val="24"/>
                <w:szCs w:val="24"/>
                <w:lang w:val="en-US" w:eastAsia="zh-CN"/>
              </w:rPr>
              <w:t>37</w:t>
            </w:r>
          </w:p>
        </w:tc>
        <w:tc>
          <w:tcPr>
            <w:tcW w:w="1328" w:type="dxa"/>
            <w:vMerge w:val="restart"/>
            <w:noWrap w:val="0"/>
            <w:tcMar>
              <w:top w:w="15" w:type="dxa"/>
              <w:left w:w="15" w:type="dxa"/>
              <w:right w:w="15" w:type="dxa"/>
            </w:tcMar>
            <w:vAlign w:val="center"/>
          </w:tcPr>
          <w:p w14:paraId="17E3903B">
            <w:pPr>
              <w:keepNext w:val="0"/>
              <w:keepLines w:val="0"/>
              <w:pageBreakBefore w:val="0"/>
              <w:widowControl/>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深化生态文明示范创建</w:t>
            </w:r>
          </w:p>
        </w:tc>
        <w:tc>
          <w:tcPr>
            <w:tcW w:w="7799" w:type="dxa"/>
            <w:noWrap w:val="0"/>
            <w:tcMar>
              <w:top w:w="15" w:type="dxa"/>
              <w:left w:w="15" w:type="dxa"/>
              <w:right w:w="15" w:type="dxa"/>
            </w:tcMar>
            <w:vAlign w:val="center"/>
          </w:tcPr>
          <w:p w14:paraId="011C246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
              </w:rPr>
              <w:t>按照国家部署，</w:t>
            </w:r>
            <w:r>
              <w:rPr>
                <w:rFonts w:hint="eastAsia" w:ascii="仿宋_GB2312" w:hAnsi="仿宋_GB2312" w:eastAsia="仿宋_GB2312" w:cs="仿宋_GB2312"/>
                <w:color w:val="auto"/>
                <w:sz w:val="24"/>
                <w:szCs w:val="24"/>
                <w:lang w:val="en-US" w:eastAsia="zh-CN"/>
              </w:rPr>
              <w:t>开展</w:t>
            </w:r>
            <w:r>
              <w:rPr>
                <w:rFonts w:hint="eastAsia" w:ascii="仿宋_GB2312" w:hAnsi="仿宋_GB2312" w:eastAsia="仿宋_GB2312" w:cs="仿宋_GB2312"/>
                <w:color w:val="auto"/>
                <w:sz w:val="24"/>
                <w:szCs w:val="24"/>
                <w:lang w:eastAsia="zh"/>
              </w:rPr>
              <w:t>第四批</w:t>
            </w:r>
            <w:r>
              <w:rPr>
                <w:rFonts w:hint="eastAsia" w:ascii="仿宋_GB2312" w:hAnsi="仿宋_GB2312" w:eastAsia="仿宋_GB2312" w:cs="仿宋_GB2312"/>
                <w:color w:val="auto"/>
                <w:sz w:val="24"/>
                <w:szCs w:val="24"/>
              </w:rPr>
              <w:t>生态文明建设示范区</w:t>
            </w:r>
            <w:r>
              <w:rPr>
                <w:rFonts w:hint="eastAsia" w:ascii="仿宋_GB2312" w:hAnsi="仿宋_GB2312" w:eastAsia="仿宋_GB2312" w:cs="仿宋_GB2312"/>
                <w:color w:val="auto"/>
                <w:sz w:val="24"/>
                <w:szCs w:val="24"/>
                <w:lang w:eastAsia="zh"/>
              </w:rPr>
              <w:t>复核评估</w:t>
            </w:r>
            <w:r>
              <w:rPr>
                <w:rFonts w:hint="eastAsia" w:ascii="仿宋_GB2312" w:hAnsi="仿宋_GB2312" w:eastAsia="仿宋_GB2312" w:cs="仿宋_GB2312"/>
                <w:color w:val="auto"/>
                <w:sz w:val="24"/>
                <w:szCs w:val="24"/>
                <w:lang w:val="en-US" w:eastAsia="zh-CN"/>
              </w:rPr>
              <w:t>工作</w:t>
            </w:r>
            <w:r>
              <w:rPr>
                <w:rFonts w:hint="eastAsia" w:ascii="仿宋_GB2312" w:hAnsi="仿宋_GB2312" w:eastAsia="仿宋_GB2312" w:cs="仿宋_GB2312"/>
                <w:color w:val="auto"/>
                <w:sz w:val="24"/>
                <w:szCs w:val="24"/>
                <w:lang w:eastAsia="zh"/>
              </w:rPr>
              <w:t>。</w:t>
            </w:r>
          </w:p>
        </w:tc>
        <w:tc>
          <w:tcPr>
            <w:tcW w:w="1365" w:type="dxa"/>
            <w:noWrap w:val="0"/>
            <w:tcMar>
              <w:top w:w="15" w:type="dxa"/>
              <w:left w:w="15" w:type="dxa"/>
              <w:right w:w="15" w:type="dxa"/>
            </w:tcMar>
            <w:vAlign w:val="center"/>
          </w:tcPr>
          <w:p w14:paraId="4D99980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
              </w:rPr>
              <w:t>持续推进</w:t>
            </w:r>
          </w:p>
        </w:tc>
        <w:tc>
          <w:tcPr>
            <w:tcW w:w="1725" w:type="dxa"/>
            <w:noWrap w:val="0"/>
            <w:tcMar>
              <w:top w:w="15" w:type="dxa"/>
              <w:left w:w="15" w:type="dxa"/>
              <w:right w:w="15" w:type="dxa"/>
            </w:tcMar>
            <w:vAlign w:val="center"/>
          </w:tcPr>
          <w:p w14:paraId="5FEF8CDB">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CN"/>
              </w:rPr>
              <w:t>区</w:t>
            </w:r>
            <w:r>
              <w:rPr>
                <w:rFonts w:hint="eastAsia" w:ascii="仿宋_GB2312" w:hAnsi="仿宋_GB2312" w:eastAsia="仿宋_GB2312" w:cs="仿宋_GB2312"/>
                <w:color w:val="auto"/>
                <w:sz w:val="24"/>
                <w:szCs w:val="24"/>
                <w:lang w:eastAsia="zh"/>
              </w:rPr>
              <w:t>生态环境局</w:t>
            </w:r>
          </w:p>
        </w:tc>
        <w:tc>
          <w:tcPr>
            <w:tcW w:w="1749" w:type="dxa"/>
            <w:noWrap w:val="0"/>
            <w:tcMar>
              <w:top w:w="15" w:type="dxa"/>
              <w:left w:w="15" w:type="dxa"/>
              <w:right w:w="15" w:type="dxa"/>
            </w:tcMar>
            <w:vAlign w:val="center"/>
          </w:tcPr>
          <w:p w14:paraId="3875EDFE">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
              </w:rPr>
              <w:t>——</w:t>
            </w:r>
          </w:p>
        </w:tc>
      </w:tr>
      <w:tr w14:paraId="5B615C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638" w:type="dxa"/>
            <w:vMerge w:val="continue"/>
            <w:noWrap w:val="0"/>
            <w:tcMar>
              <w:top w:w="15" w:type="dxa"/>
              <w:left w:w="15" w:type="dxa"/>
              <w:right w:w="15" w:type="dxa"/>
            </w:tcMar>
            <w:vAlign w:val="center"/>
          </w:tcPr>
          <w:p w14:paraId="62E5C63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7FB48E9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0A5FCE14">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lang w:eastAsia="zh"/>
              </w:rPr>
              <w:t>巩固</w:t>
            </w:r>
            <w:r>
              <w:rPr>
                <w:rFonts w:hint="eastAsia" w:ascii="仿宋_GB2312" w:hAnsi="仿宋_GB2312" w:eastAsia="仿宋_GB2312" w:cs="仿宋_GB2312"/>
                <w:color w:val="auto"/>
                <w:sz w:val="24"/>
                <w:szCs w:val="24"/>
                <w:lang w:val="en-US" w:eastAsia="zh-CN"/>
              </w:rPr>
              <w:t>提升</w:t>
            </w:r>
            <w:r>
              <w:rPr>
                <w:rFonts w:hint="eastAsia" w:ascii="仿宋_GB2312" w:hAnsi="仿宋_GB2312" w:eastAsia="仿宋_GB2312" w:cs="仿宋_GB2312"/>
                <w:color w:val="auto"/>
                <w:sz w:val="24"/>
                <w:szCs w:val="24"/>
                <w:lang w:eastAsia="zh"/>
              </w:rPr>
              <w:t>生态文明建设</w:t>
            </w:r>
            <w:r>
              <w:rPr>
                <w:rFonts w:hint="eastAsia" w:ascii="仿宋_GB2312" w:hAnsi="仿宋_GB2312" w:eastAsia="仿宋_GB2312" w:cs="仿宋_GB2312"/>
                <w:color w:val="auto"/>
                <w:sz w:val="24"/>
                <w:szCs w:val="24"/>
                <w:lang w:val="en-US" w:eastAsia="zh-CN"/>
              </w:rPr>
              <w:t>示范区</w:t>
            </w:r>
            <w:r>
              <w:rPr>
                <w:rFonts w:hint="eastAsia" w:ascii="仿宋_GB2312" w:hAnsi="仿宋_GB2312" w:eastAsia="仿宋_GB2312" w:cs="仿宋_GB2312"/>
                <w:color w:val="auto"/>
                <w:sz w:val="24"/>
                <w:szCs w:val="24"/>
                <w:lang w:eastAsia="zh"/>
              </w:rPr>
              <w:t>、“两山”</w:t>
            </w:r>
            <w:r>
              <w:rPr>
                <w:rFonts w:hint="eastAsia" w:ascii="仿宋_GB2312" w:hAnsi="仿宋_GB2312" w:eastAsia="仿宋_GB2312" w:cs="仿宋_GB2312"/>
                <w:color w:val="auto"/>
                <w:sz w:val="24"/>
                <w:szCs w:val="24"/>
                <w:lang w:val="en-US" w:eastAsia="zh-CN"/>
              </w:rPr>
              <w:t>实践创新</w:t>
            </w:r>
            <w:r>
              <w:rPr>
                <w:rFonts w:hint="eastAsia" w:ascii="仿宋_GB2312" w:hAnsi="仿宋_GB2312" w:eastAsia="仿宋_GB2312" w:cs="仿宋_GB2312"/>
                <w:color w:val="auto"/>
                <w:sz w:val="24"/>
                <w:szCs w:val="24"/>
                <w:lang w:eastAsia="zh"/>
              </w:rPr>
              <w:t>基地建设</w:t>
            </w:r>
            <w:r>
              <w:rPr>
                <w:rFonts w:hint="eastAsia" w:ascii="仿宋_GB2312" w:hAnsi="仿宋_GB2312" w:eastAsia="仿宋_GB2312" w:cs="仿宋_GB2312"/>
                <w:color w:val="auto"/>
                <w:sz w:val="24"/>
                <w:szCs w:val="24"/>
                <w:lang w:val="en-US" w:eastAsia="zh-CN"/>
              </w:rPr>
              <w:t>成果</w:t>
            </w:r>
            <w:r>
              <w:rPr>
                <w:rFonts w:hint="eastAsia" w:ascii="仿宋_GB2312" w:hAnsi="仿宋_GB2312" w:eastAsia="仿宋_GB2312" w:cs="仿宋_GB2312"/>
                <w:color w:val="auto"/>
                <w:sz w:val="24"/>
                <w:szCs w:val="24"/>
                <w:lang w:eastAsia="zh"/>
              </w:rPr>
              <w:t>，5月底前通过生态文明示范建设管理平台提交</w:t>
            </w:r>
            <w:r>
              <w:rPr>
                <w:rFonts w:hint="eastAsia" w:ascii="仿宋_GB2312" w:hAnsi="仿宋_GB2312" w:eastAsia="仿宋_GB2312" w:cs="仿宋_GB2312"/>
                <w:color w:val="auto"/>
                <w:sz w:val="24"/>
                <w:szCs w:val="24"/>
                <w:lang w:val="en-US" w:eastAsia="zh-CN"/>
              </w:rPr>
              <w:t>2025</w:t>
            </w:r>
            <w:r>
              <w:rPr>
                <w:rFonts w:hint="eastAsia" w:ascii="仿宋_GB2312" w:hAnsi="仿宋_GB2312" w:eastAsia="仿宋_GB2312" w:cs="仿宋_GB2312"/>
                <w:color w:val="auto"/>
                <w:sz w:val="24"/>
                <w:szCs w:val="24"/>
                <w:lang w:eastAsia="zh"/>
              </w:rPr>
              <w:t>年度</w:t>
            </w:r>
            <w:r>
              <w:rPr>
                <w:rFonts w:hint="eastAsia" w:ascii="仿宋_GB2312" w:hAnsi="仿宋_GB2312" w:eastAsia="仿宋_GB2312" w:cs="仿宋_GB2312"/>
                <w:color w:val="auto"/>
                <w:sz w:val="24"/>
                <w:szCs w:val="24"/>
                <w:lang w:val="en-US" w:eastAsia="zh"/>
              </w:rPr>
              <w:t>巩固提升自查报告</w:t>
            </w:r>
            <w:r>
              <w:rPr>
                <w:rFonts w:hint="eastAsia" w:ascii="仿宋_GB2312" w:hAnsi="仿宋_GB2312" w:eastAsia="仿宋_GB2312" w:cs="仿宋_GB2312"/>
                <w:color w:val="auto"/>
                <w:sz w:val="24"/>
                <w:szCs w:val="24"/>
                <w:lang w:eastAsia="zh"/>
              </w:rPr>
              <w:t>。</w:t>
            </w:r>
          </w:p>
          <w:p w14:paraId="55DD1B7D">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推动落实创建后评估长效机制。根据后评估结果，进行问题分析、对策研究、典型挖掘和总结提升。</w:t>
            </w:r>
          </w:p>
        </w:tc>
        <w:tc>
          <w:tcPr>
            <w:tcW w:w="1365" w:type="dxa"/>
            <w:noWrap w:val="0"/>
            <w:tcMar>
              <w:top w:w="15" w:type="dxa"/>
              <w:left w:w="15" w:type="dxa"/>
              <w:right w:w="15" w:type="dxa"/>
            </w:tcMar>
            <w:vAlign w:val="center"/>
          </w:tcPr>
          <w:p w14:paraId="02C2B93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rPr>
              <w:t>持续推进</w:t>
            </w:r>
          </w:p>
        </w:tc>
        <w:tc>
          <w:tcPr>
            <w:tcW w:w="1725" w:type="dxa"/>
            <w:noWrap w:val="0"/>
            <w:tcMar>
              <w:top w:w="15" w:type="dxa"/>
              <w:left w:w="15" w:type="dxa"/>
              <w:right w:w="15" w:type="dxa"/>
            </w:tcMar>
            <w:vAlign w:val="center"/>
          </w:tcPr>
          <w:p w14:paraId="7A98A9D6">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eastAsia="zh-CN"/>
              </w:rPr>
              <w:t>区生态环境局</w:t>
            </w:r>
          </w:p>
        </w:tc>
        <w:tc>
          <w:tcPr>
            <w:tcW w:w="1749" w:type="dxa"/>
            <w:noWrap w:val="0"/>
            <w:tcMar>
              <w:top w:w="15" w:type="dxa"/>
              <w:left w:w="15" w:type="dxa"/>
              <w:right w:w="15" w:type="dxa"/>
            </w:tcMar>
            <w:vAlign w:val="center"/>
          </w:tcPr>
          <w:p w14:paraId="528A34CF">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w:t>
            </w:r>
          </w:p>
        </w:tc>
      </w:tr>
      <w:tr w14:paraId="080989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638" w:type="dxa"/>
            <w:vMerge w:val="continue"/>
            <w:noWrap w:val="0"/>
            <w:tcMar>
              <w:top w:w="15" w:type="dxa"/>
              <w:left w:w="15" w:type="dxa"/>
              <w:right w:w="15" w:type="dxa"/>
            </w:tcMar>
            <w:vAlign w:val="center"/>
          </w:tcPr>
          <w:p w14:paraId="16E3B4A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sz w:val="24"/>
                <w:szCs w:val="24"/>
                <w:lang w:eastAsia="zh-CN"/>
              </w:rPr>
            </w:pPr>
          </w:p>
        </w:tc>
        <w:tc>
          <w:tcPr>
            <w:tcW w:w="1328" w:type="dxa"/>
            <w:vMerge w:val="continue"/>
            <w:noWrap w:val="0"/>
            <w:tcMar>
              <w:top w:w="15" w:type="dxa"/>
              <w:left w:w="15" w:type="dxa"/>
              <w:right w:w="15" w:type="dxa"/>
            </w:tcMar>
            <w:vAlign w:val="center"/>
          </w:tcPr>
          <w:p w14:paraId="07B5BA9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sz w:val="24"/>
                <w:szCs w:val="24"/>
              </w:rPr>
            </w:pPr>
          </w:p>
        </w:tc>
        <w:tc>
          <w:tcPr>
            <w:tcW w:w="7799" w:type="dxa"/>
            <w:noWrap w:val="0"/>
            <w:tcMar>
              <w:top w:w="15" w:type="dxa"/>
              <w:left w:w="15" w:type="dxa"/>
              <w:right w:w="15" w:type="dxa"/>
            </w:tcMar>
            <w:vAlign w:val="center"/>
          </w:tcPr>
          <w:p w14:paraId="1C37DEB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pacing w:val="0"/>
                <w:sz w:val="24"/>
                <w:szCs w:val="24"/>
                <w:highlight w:val="none"/>
              </w:rPr>
              <w:t>★</w:t>
            </w:r>
            <w:r>
              <w:rPr>
                <w:rFonts w:hint="eastAsia" w:ascii="仿宋_GB2312" w:hAnsi="仿宋_GB2312" w:eastAsia="仿宋_GB2312" w:cs="仿宋_GB2312"/>
                <w:color w:val="auto"/>
                <w:sz w:val="24"/>
                <w:szCs w:val="24"/>
                <w:lang w:val="en-US" w:eastAsia="zh-CN"/>
              </w:rPr>
              <w:t>有序推进世界生物圈保护区申报，打造人与自然和谐共生示范区域。</w:t>
            </w:r>
          </w:p>
        </w:tc>
        <w:tc>
          <w:tcPr>
            <w:tcW w:w="1365" w:type="dxa"/>
            <w:noWrap w:val="0"/>
            <w:tcMar>
              <w:top w:w="15" w:type="dxa"/>
              <w:left w:w="15" w:type="dxa"/>
              <w:right w:w="15" w:type="dxa"/>
            </w:tcMar>
            <w:vAlign w:val="center"/>
          </w:tcPr>
          <w:p w14:paraId="5D6BB88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lang w:val="en-US" w:eastAsia="zh-CN"/>
              </w:rPr>
              <w:t>持续推进</w:t>
            </w:r>
          </w:p>
        </w:tc>
        <w:tc>
          <w:tcPr>
            <w:tcW w:w="1725" w:type="dxa"/>
            <w:noWrap w:val="0"/>
            <w:tcMar>
              <w:top w:w="15" w:type="dxa"/>
              <w:left w:w="15" w:type="dxa"/>
              <w:right w:w="15" w:type="dxa"/>
            </w:tcMar>
            <w:vAlign w:val="center"/>
          </w:tcPr>
          <w:p w14:paraId="5F9CEC75">
            <w:pPr>
              <w:keepNext w:val="0"/>
              <w:keepLines w:val="0"/>
              <w:pageBreakBefore w:val="0"/>
              <w:kinsoku/>
              <w:wordWrap/>
              <w:overflowPunct/>
              <w:topLinePunct w:val="0"/>
              <w:autoSpaceDE w:val="0"/>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lang w:val="en-US" w:eastAsia="zh-CN"/>
              </w:rPr>
              <w:t>百花山管理处</w:t>
            </w:r>
          </w:p>
        </w:tc>
        <w:tc>
          <w:tcPr>
            <w:tcW w:w="1749" w:type="dxa"/>
            <w:noWrap w:val="0"/>
            <w:tcMar>
              <w:top w:w="15" w:type="dxa"/>
              <w:left w:w="15" w:type="dxa"/>
              <w:right w:w="15" w:type="dxa"/>
            </w:tcMar>
            <w:vAlign w:val="center"/>
          </w:tcPr>
          <w:p w14:paraId="1BF5F1DD">
            <w:pPr>
              <w:keepNext w:val="0"/>
              <w:keepLines w:val="0"/>
              <w:pageBreakBefore w:val="0"/>
              <w:kinsoku/>
              <w:wordWrap/>
              <w:overflowPunct/>
              <w:topLinePunct w:val="0"/>
              <w:autoSpaceDE w:val="0"/>
              <w:autoSpaceDN/>
              <w:bidi w:val="0"/>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w:t>
            </w:r>
          </w:p>
        </w:tc>
      </w:tr>
    </w:tbl>
    <w:p w14:paraId="0C5D50C1">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B6228C-C95D-4C37-A427-073C2C9A1DE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70231F4-09FB-4F3D-94AF-F1F3AEE05CE9}"/>
  </w:font>
  <w:font w:name="仿宋_GB2312">
    <w:altName w:val="仿宋"/>
    <w:panose1 w:val="02010609030101010101"/>
    <w:charset w:val="86"/>
    <w:family w:val="modern"/>
    <w:pitch w:val="default"/>
    <w:sig w:usb0="00000000" w:usb1="00000000" w:usb2="00000000" w:usb3="00000000" w:csb0="00040000" w:csb1="00000000"/>
    <w:embedRegular r:id="rId3" w:fontKey="{7E377669-578D-46E2-AE85-2495D36065A1}"/>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4" w:fontKey="{59D57C7E-4F46-4564-8A94-C3A667A2F42A}"/>
  </w:font>
  <w:font w:name="方正小标宋简体">
    <w:panose1 w:val="02000000000000000000"/>
    <w:charset w:val="86"/>
    <w:family w:val="script"/>
    <w:pitch w:val="default"/>
    <w:sig w:usb0="00000001" w:usb1="08000000" w:usb2="00000000" w:usb3="00000000" w:csb0="00040000" w:csb1="00000000"/>
    <w:embedRegular r:id="rId5" w:fontKey="{8F0B340E-0F7F-4BDE-BAA2-CB4B5A578B0E}"/>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970FFE"/>
    <w:rsid w:val="15970FFE"/>
    <w:rsid w:val="46E32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28"/>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420"/>
    </w:pPr>
    <w:rPr>
      <w:rFonts w:ascii="等线" w:hAnsi="等线" w:eastAsia="等线"/>
      <w:b/>
      <w:sz w:val="30"/>
      <w:szCs w:val="30"/>
    </w:rPr>
  </w:style>
  <w:style w:type="paragraph" w:styleId="3">
    <w:name w:val="Normal Indent"/>
    <w:basedOn w:val="1"/>
    <w:qFormat/>
    <w:uiPriority w:val="0"/>
    <w:pPr>
      <w:ind w:firstLine="420" w:firstLineChars="200"/>
    </w:pPr>
  </w:style>
  <w:style w:type="paragraph" w:styleId="4">
    <w:name w:val="Body Text"/>
    <w:basedOn w:val="1"/>
    <w:next w:val="1"/>
    <w:qFormat/>
    <w:uiPriority w:val="0"/>
    <w:pPr>
      <w:jc w:val="center"/>
    </w:pPr>
    <w:rPr>
      <w:rFonts w:eastAsia="华文中宋"/>
      <w:b/>
      <w:sz w:val="36"/>
    </w:rPr>
  </w:style>
  <w:style w:type="paragraph" w:styleId="5">
    <w:name w:val="Body Text Indent"/>
    <w:basedOn w:val="1"/>
    <w:next w:val="6"/>
    <w:qFormat/>
    <w:uiPriority w:val="0"/>
    <w:pPr>
      <w:spacing w:line="300" w:lineRule="auto"/>
      <w:ind w:firstLine="640" w:firstLineChars="200"/>
    </w:pPr>
    <w:rPr>
      <w:rFonts w:ascii="仿宋_GB2312"/>
      <w:sz w:val="32"/>
    </w:rPr>
  </w:style>
  <w:style w:type="paragraph" w:styleId="6">
    <w:name w:val="Body Text First Indent 2"/>
    <w:next w:val="1"/>
    <w:qFormat/>
    <w:uiPriority w:val="99"/>
    <w:pPr>
      <w:widowControl w:val="0"/>
      <w:spacing w:after="0"/>
      <w:ind w:left="0" w:leftChars="0" w:firstLine="420" w:firstLineChars="200"/>
      <w:jc w:val="both"/>
    </w:pPr>
    <w:rPr>
      <w:rFonts w:ascii="Times New Roman" w:hAnsi="Times New Roman" w:eastAsia="宋体" w:cs="Times New Roman"/>
      <w:kern w:val="2"/>
      <w:sz w:val="30"/>
      <w:szCs w:val="20"/>
      <w:lang w:val="en-US" w:eastAsia="zh-CN" w:bidi="ar-SA"/>
    </w:rPr>
  </w:style>
  <w:style w:type="paragraph" w:styleId="7">
    <w:name w:val="Block Text"/>
    <w:basedOn w:val="1"/>
    <w:qFormat/>
    <w:uiPriority w:val="0"/>
    <w:pPr>
      <w:spacing w:after="120"/>
      <w:ind w:left="1440" w:leftChars="700" w:right="1440" w:rightChars="700"/>
    </w:pPr>
  </w:style>
  <w:style w:type="paragraph" w:styleId="8">
    <w:name w:val="Plain Text"/>
    <w:basedOn w:val="1"/>
    <w:qFormat/>
    <w:uiPriority w:val="0"/>
    <w:rPr>
      <w:rFonts w:ascii="宋体" w:hAnsi="Courier New"/>
    </w:rPr>
  </w:style>
  <w:style w:type="paragraph" w:styleId="9">
    <w:name w:val="footer"/>
    <w:basedOn w:val="1"/>
    <w:next w:val="5"/>
    <w:qFormat/>
    <w:uiPriority w:val="99"/>
    <w:pPr>
      <w:tabs>
        <w:tab w:val="center" w:pos="4153"/>
        <w:tab w:val="right" w:pos="8306"/>
      </w:tabs>
      <w:snapToGrid w:val="0"/>
      <w:jc w:val="left"/>
    </w:pPr>
    <w:rPr>
      <w:sz w:val="18"/>
    </w:rPr>
  </w:style>
  <w:style w:type="paragraph" w:styleId="10">
    <w:name w:val="Normal (Web)"/>
    <w:basedOn w:val="1"/>
    <w:qFormat/>
    <w:uiPriority w:val="99"/>
    <w:pPr>
      <w:spacing w:beforeAutospacing="1" w:afterAutospacing="1"/>
      <w:jc w:val="left"/>
    </w:pPr>
    <w:rPr>
      <w:rFonts w:ascii="Calibri" w:hAnsi="Calibri" w:eastAsia="宋体"/>
      <w:kern w:val="0"/>
      <w:sz w:val="24"/>
      <w:szCs w:val="24"/>
    </w:rPr>
  </w:style>
  <w:style w:type="character" w:customStyle="1" w:styleId="13">
    <w:name w:val="font61"/>
    <w:qFormat/>
    <w:uiPriority w:val="0"/>
    <w:rPr>
      <w:rFonts w:hint="eastAsia" w:ascii="仿宋_GB2312" w:eastAsia="仿宋_GB2312" w:cs="仿宋_GB2312"/>
      <w:color w:val="FF0000"/>
      <w:sz w:val="24"/>
      <w:szCs w:val="24"/>
      <w:u w:val="none"/>
    </w:rPr>
  </w:style>
  <w:style w:type="character" w:customStyle="1" w:styleId="14">
    <w:name w:val="font41"/>
    <w:qFormat/>
    <w:uiPriority w:val="0"/>
    <w:rPr>
      <w:rFonts w:hint="eastAsia" w:ascii="仿宋_GB2312" w:eastAsia="仿宋_GB2312" w:cs="仿宋_GB2312"/>
      <w:color w:val="000000"/>
      <w:sz w:val="24"/>
      <w:szCs w:val="24"/>
      <w:u w:val="none"/>
    </w:rPr>
  </w:style>
  <w:style w:type="paragraph" w:customStyle="1" w:styleId="15">
    <w:name w:val="公文"/>
    <w:basedOn w:val="1"/>
    <w:qFormat/>
    <w:uiPriority w:val="0"/>
    <w:pPr>
      <w:ind w:firstLine="20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6495</Words>
  <Characters>6591</Characters>
  <Lines>0</Lines>
  <Paragraphs>0</Paragraphs>
  <TotalTime>0</TotalTime>
  <ScaleCrop>false</ScaleCrop>
  <LinksUpToDate>false</LinksUpToDate>
  <CharactersWithSpaces>6593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2026-04-24T05:36:00Z</dcterms:created>
  <dc:creator>Mint1398171869</dc:creator>
  <cp:lastModifiedBy>Mint1398171869</cp:lastModifiedBy>
  <dcterms:modified xsi:type="dcterms:W3CDTF">2026-04-24T05:44:49Z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EB8614BF059F42B4A2188F1DC4FB3F0F_11</vt:lpwstr>
  </property>
  <property fmtid="{D5CDD505-2E9C-101B-9397-08002B2CF9AE}" pid="4" name="KSOTemplateDocerSaveRecord">
    <vt:lpwstr>eyJoZGlkIjoiMDdmNjUwM2Y1NDNmOWE2YzU2MTgyNGU5OGRlNTRlMDciLCJ1c2VySWQiOiIxNDYxNjAxNCJ9</vt:lpwstr>
  </property>
</Properties>
</file>