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8743D3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北京市门头沟区政府202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年政府信息公开</w:t>
      </w:r>
    </w:p>
    <w:p w14:paraId="011575BF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工作年度报告</w:t>
      </w:r>
    </w:p>
    <w:p w14:paraId="761E60C1">
      <w:pPr>
        <w:rPr>
          <w:lang w:val="en-US" w:eastAsia="zh-CN"/>
        </w:rPr>
      </w:pPr>
    </w:p>
    <w:p w14:paraId="7F318282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依据《中华人民共和国政府信息公开条例》(以下简称《政府信息公开条例》)第五十条规定，编制本报告。</w:t>
      </w:r>
    </w:p>
    <w:p w14:paraId="402A33A5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一、总体情况</w:t>
      </w:r>
    </w:p>
    <w:p w14:paraId="4937B4C3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2023年，门头沟区以习近平新时代中国特色社会主义思想为指导，全面贯彻党的二十大精神，准确把握新时代政务公开新形势新要求，秉承法治思维、服务为民、创新引领、数字赋能的基本原则，坚持围绕中心、服务大局，不断提高政府执行力、公信力及群众满意度。</w:t>
      </w:r>
    </w:p>
    <w:p w14:paraId="2DB9565C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（一）主动公开方面</w:t>
      </w:r>
    </w:p>
    <w:p w14:paraId="56A28C91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全面推进决策、执行、管理、服务、结果公开，以公开促落实、优服务。编制《门头沟区2023年政务公开工作要点》，针对社会经济高质量发展、城市治理、保障改善民生、政府自身建设等方面工作，深入挖掘公共服务资源。完善主动公开全清单，消除“模糊地带”，为企业群众办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事提供信息检索指南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定期向社会公开政府工作报告、为民办实事项目任务及民生实事项目执行情况。重塑“门头沟区重点领域信息公开”专题页面及内容设置，以变促全，强化热点民生信息的公开全面性。本年度主动公开政府信息9655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。</w:t>
      </w:r>
    </w:p>
    <w:p w14:paraId="7CB4B37F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（二）平台建设方面</w:t>
      </w:r>
    </w:p>
    <w:p w14:paraId="2D325348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全面完成政府网站“长者版”服务专区搭建，加强移动端适配改造，优化检索能力、栏目设置等网站能力建设。立足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统筹规划，规范运营管理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坚持信息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同源、数据同源，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有力促进区政府网站与政府系统政务新媒体健康有序发展。不断巩固政府网站“咨询建议”受理答复工作流程，全年共接收网民留言、咨询、建议等信件953封，100%做到按时限回复。</w:t>
      </w:r>
    </w:p>
    <w:p w14:paraId="00357093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（三）依申请公开办理情况</w:t>
      </w:r>
    </w:p>
    <w:p w14:paraId="16AAA7C2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组织全区44家公开主体单位完成《政府信息公开指南》的修订。在6个区级大厅和13个镇街政务服务中心设立政府信息公开查询专区或窗口，提供政策查询、信息公开申请、查阅政府公开信息等服务，推进基层政务公开标准化规范化建设。建设区级政府信息依申请公开系统，有效接入政府信息公开电子印章，实现网页答复应用，切实提高政府信息公开在线办理水平。</w:t>
      </w:r>
      <w:bookmarkStart w:id="0" w:name="_GoBack"/>
      <w:bookmarkEnd w:id="0"/>
    </w:p>
    <w:p w14:paraId="05A6943D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（四）政府信息管理</w:t>
      </w:r>
    </w:p>
    <w:p w14:paraId="593DE6ED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做好公文属性源头认定，开展区级政策性文件集中清理，进一步提高政府信息公开工作质效。严格信息公开保密审查，切实筑牢政府信息公开保密工作安全屏障。</w:t>
      </w:r>
    </w:p>
    <w:p w14:paraId="4317A57C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（五）教育培训方面</w:t>
      </w:r>
    </w:p>
    <w:p w14:paraId="6DB085A1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针对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本年度政务公开、政府信息公开依申请、政府网站及政务新媒体等方面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工作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开展培训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4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有效提高全区政务公开队伍业务水平。</w:t>
      </w:r>
    </w:p>
    <w:p w14:paraId="11B7F4B2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（六）政府信息公开监督保障</w:t>
      </w:r>
    </w:p>
    <w:p w14:paraId="52085ABE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全面组织实施政务公开考核评估、社会评议等工作，推动政务公开规范化水平持续提升。在责任追究方面，本年度我区未出现相关情况。</w:t>
      </w:r>
    </w:p>
    <w:p w14:paraId="2A050517">
      <w:pPr>
        <w:numPr>
          <w:ilvl w:val="0"/>
          <w:numId w:val="0"/>
        </w:numPr>
        <w:spacing w:line="560" w:lineRule="exact"/>
        <w:ind w:firstLine="640" w:firstLineChars="200"/>
        <w:rPr>
          <w:rFonts w:hint="eastAsia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 w14:paraId="2EE7643F">
      <w:pPr>
        <w:pStyle w:val="2"/>
        <w:numPr>
          <w:ilvl w:val="0"/>
          <w:numId w:val="0"/>
        </w:numPr>
        <w:rPr>
          <w:rFonts w:hint="eastAsia"/>
        </w:rPr>
      </w:pPr>
    </w:p>
    <w:tbl>
      <w:tblPr>
        <w:tblStyle w:val="4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7CCE4E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5A94E18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14:paraId="734499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39FD5F1E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2BCB3EE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07410CFE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1C1FE891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现行有效件数</w:t>
            </w:r>
          </w:p>
        </w:tc>
      </w:tr>
      <w:tr w14:paraId="236A2B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3DE6A374"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C4DCF2C">
            <w:pPr>
              <w:widowControl/>
              <w:jc w:val="center"/>
              <w:rPr>
                <w:rFonts w:hint="eastAsia" w:cs="Calibri"/>
                <w:kern w:val="0"/>
                <w:szCs w:val="21"/>
                <w:lang w:val="en-US" w:eastAsia="zh-CN" w:bidi="ar"/>
              </w:rPr>
            </w:pP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　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2D46DD">
            <w:pPr>
              <w:widowControl/>
              <w:jc w:val="center"/>
              <w:rPr>
                <w:rFonts w:hint="eastAsia" w:cs="Calibri"/>
                <w:kern w:val="0"/>
                <w:szCs w:val="21"/>
                <w:lang w:val="en-US" w:eastAsia="zh-CN" w:bidi="ar"/>
              </w:rPr>
            </w:pP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 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A8DA1F">
            <w:pPr>
              <w:widowControl/>
              <w:jc w:val="center"/>
              <w:rPr>
                <w:rFonts w:hint="eastAsia" w:cs="Calibri"/>
                <w:kern w:val="0"/>
                <w:szCs w:val="21"/>
                <w:lang w:val="en-US" w:eastAsia="zh-CN" w:bidi="ar"/>
              </w:rPr>
            </w:pP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 0</w:t>
            </w:r>
          </w:p>
        </w:tc>
      </w:tr>
      <w:tr w14:paraId="655059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2757988B"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3F22888">
            <w:pPr>
              <w:widowControl/>
              <w:jc w:val="center"/>
              <w:rPr>
                <w:rFonts w:hint="default" w:cs="Calibri"/>
                <w:kern w:val="0"/>
                <w:szCs w:val="21"/>
                <w:lang w:val="en-US" w:eastAsia="zh-CN" w:bidi="ar"/>
              </w:rPr>
            </w:pP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　　15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5F9CC50">
            <w:pPr>
              <w:widowControl/>
              <w:jc w:val="center"/>
              <w:rPr>
                <w:rFonts w:hint="eastAsia" w:cs="Calibri"/>
                <w:kern w:val="0"/>
                <w:szCs w:val="21"/>
                <w:lang w:val="en-US" w:eastAsia="zh-CN" w:bidi="ar"/>
              </w:rPr>
            </w:pP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 　4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EBE2DD8">
            <w:pPr>
              <w:widowControl/>
              <w:jc w:val="center"/>
              <w:rPr>
                <w:rFonts w:hint="default" w:cs="Calibri"/>
                <w:kern w:val="0"/>
                <w:szCs w:val="21"/>
                <w:lang w:val="en-US" w:eastAsia="zh-CN" w:bidi="ar"/>
              </w:rPr>
            </w:pP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 127</w:t>
            </w:r>
          </w:p>
        </w:tc>
      </w:tr>
      <w:tr w14:paraId="25E542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31D2283C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14:paraId="123C8E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156238C2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62AC40AC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483128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2A744CE3"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7395947"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31949</w:t>
            </w:r>
          </w:p>
        </w:tc>
      </w:tr>
      <w:tr w14:paraId="4F96D6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67D28689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14:paraId="717B26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6739B0B3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13E828A7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7C4A01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53444E7D"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D593C4">
            <w:pPr>
              <w:widowControl/>
              <w:jc w:val="center"/>
              <w:rPr>
                <w:rFonts w:hint="default" w:cs="Calibri"/>
                <w:kern w:val="0"/>
                <w:szCs w:val="21"/>
                <w:lang w:val="en-US" w:eastAsia="zh-CN" w:bidi="ar"/>
              </w:rPr>
            </w:pP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　8306</w:t>
            </w:r>
          </w:p>
        </w:tc>
      </w:tr>
      <w:tr w14:paraId="2186E2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3ACD282C"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82D6D9">
            <w:pPr>
              <w:widowControl/>
              <w:jc w:val="center"/>
              <w:rPr>
                <w:rFonts w:hint="default" w:cs="Calibri"/>
                <w:kern w:val="0"/>
                <w:szCs w:val="21"/>
                <w:lang w:val="en-US" w:eastAsia="zh-CN" w:bidi="ar"/>
              </w:rPr>
            </w:pP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　17</w:t>
            </w:r>
          </w:p>
        </w:tc>
      </w:tr>
      <w:tr w14:paraId="0B3B3B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39D8E64F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14:paraId="7D65A5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78855A68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1A1D16A0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14:paraId="12354B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32A9B57D"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0E854B5">
            <w:pPr>
              <w:jc w:val="center"/>
              <w:rPr>
                <w:rFonts w:hint="default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8167.8716</w:t>
            </w:r>
          </w:p>
        </w:tc>
      </w:tr>
    </w:tbl>
    <w:p w14:paraId="28212A17">
      <w:pPr>
        <w:pStyle w:val="2"/>
        <w:numPr>
          <w:ilvl w:val="0"/>
          <w:numId w:val="0"/>
        </w:numPr>
        <w:rPr>
          <w:rFonts w:hint="eastAsia"/>
        </w:rPr>
      </w:pPr>
    </w:p>
    <w:p w14:paraId="2899F4C2">
      <w:pPr>
        <w:pStyle w:val="2"/>
        <w:numPr>
          <w:ilvl w:val="0"/>
          <w:numId w:val="0"/>
        </w:numPr>
        <w:rPr>
          <w:rFonts w:hint="eastAsia"/>
        </w:rPr>
      </w:pPr>
    </w:p>
    <w:p w14:paraId="30FC454A">
      <w:pPr>
        <w:numPr>
          <w:ilvl w:val="0"/>
          <w:numId w:val="0"/>
        </w:numPr>
        <w:spacing w:line="560" w:lineRule="exact"/>
        <w:ind w:left="630" w:leftChars="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val="en-US" w:eastAsia="zh-CN" w:bidi="ar"/>
        </w:rPr>
        <w:t>三、</w:t>
      </w:r>
      <w:r>
        <w:rPr>
          <w:rFonts w:hint="eastAsia" w:ascii="黑体" w:hAnsi="宋体" w:eastAsia="黑体" w:cs="黑体"/>
          <w:sz w:val="32"/>
          <w:szCs w:val="32"/>
          <w:lang w:bidi="ar"/>
        </w:rPr>
        <w:t>收到和处理政府信息公开申请情况</w:t>
      </w:r>
    </w:p>
    <w:p w14:paraId="53E6F99C">
      <w:pPr>
        <w:ind w:left="629"/>
        <w:rPr>
          <w:rFonts w:hint="eastAsia" w:ascii="黑体" w:hAnsi="宋体" w:eastAsia="黑体" w:cs="黑体"/>
          <w:sz w:val="24"/>
        </w:rPr>
      </w:pPr>
    </w:p>
    <w:tbl>
      <w:tblPr>
        <w:tblStyle w:val="4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6"/>
        <w:gridCol w:w="941"/>
        <w:gridCol w:w="3209"/>
        <w:gridCol w:w="697"/>
        <w:gridCol w:w="690"/>
        <w:gridCol w:w="687"/>
        <w:gridCol w:w="687"/>
        <w:gridCol w:w="687"/>
        <w:gridCol w:w="687"/>
        <w:gridCol w:w="697"/>
      </w:tblGrid>
      <w:tr w14:paraId="0D0542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16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 w14:paraId="6A5D6205">
            <w:pPr>
              <w:widowControl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3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43B09A76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3F225E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1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 w14:paraId="238343C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7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2C64C1EB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38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5C32CFFA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97" w:type="dxa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5A37D3C7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695CCF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491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 w14:paraId="54501D0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7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32B6906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0470E59F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 w14:paraId="69ECA16C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7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4DF45C8D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 w14:paraId="578AA4C3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7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1606A8C7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7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2B4CBAF1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7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1AB09E7C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97" w:type="dxa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6C8EFEE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14:paraId="04B3ED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1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39ED44D6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786FABE"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256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08EC624"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BE871E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BBB306A"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6F73F8"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C9A2126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0DD023D"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272</w:t>
            </w:r>
          </w:p>
        </w:tc>
      </w:tr>
      <w:tr w14:paraId="06DC76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491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01AD6F7F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7998B4"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3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83E75DA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07FDC2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3B337E"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1CA038"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DF9E582"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BFCB299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 w14:paraId="195812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7D4C0516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338147D1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A5ACEA"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A6553D"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A42AA8D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1920602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F01AE78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6AB7C25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6756B42"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95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 w14:paraId="6C9719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79DA778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636C3C6D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5C74C1"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CF8CBB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9B74AE8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C1CD2B1"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C90555"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E6A80D1"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17B22FC"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</w:tr>
      <w:tr w14:paraId="2521E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627A0C3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2CCF5D15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569874E8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79C244C"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1CEDFE0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546A2F7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51C85A0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1C64A9C"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9B23D9F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D477026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E8B99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1761F5D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599FAAF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09C46AE1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18EC760"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D304821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EE0D7D3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959CD72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F465BE4"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365938B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6007E5F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6C7DD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1074852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27D2B77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2D6B165D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2D612D0"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2B61521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29855FD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0FD2ADB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8A32C0C"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DB2B2D9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210DCA3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A8B88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21944B7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6A80F1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2065B8F7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B234BE8"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933335F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DED4F55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3DC9833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492A17E"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0DE4034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AC7F1F5"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 w14:paraId="0A5E4B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78365E4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286BD58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733BBFD4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62C7A6D"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2A7F905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015C270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2639510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9E58B6B"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48EA108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70E9991"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3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 w14:paraId="3F289B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5DA19A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09BFBB6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31542769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AAF3FF8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E1978A9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3CDD5F1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7A16BC8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827C99B"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0CA9AA8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21333AF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 w14:paraId="7BD99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4F8D564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3CD69F2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5F665440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10D8047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5274D1C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45D2688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F76A49C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6B04A72"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1CCBF48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5FACA6B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 w14:paraId="3BE09C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2140029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0B5D483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5AD930AF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3177FC1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5D0D664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F547A70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99BDE32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556D6BE"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83D478D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DED6FD0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</w:tr>
      <w:tr w14:paraId="131BA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069C4C9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7612D3C7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1200CF8B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D8B6988"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91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5909586"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3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94B079E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DD36F67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1967D66"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4874D9F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3494934"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96</w:t>
            </w:r>
          </w:p>
        </w:tc>
      </w:tr>
      <w:tr w14:paraId="4A7BA4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7EE38EF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0696E6F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3E70A46C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F419448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9C53B35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C0BE110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23AA98C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8F28390"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C249FE9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C715486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C21D8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42CC198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239781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61EA8461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C9725B7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A07B413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BBEA054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C489707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10EB5E6"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6DD556E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405CAE7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A849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1FC0035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32D7CA00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326F9449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5DC80C8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47EED40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E63A26A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8FDE4FC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07D8410"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A34D219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C811C03"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3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 w14:paraId="3F4B3A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126E374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125CA2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1C880854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995F78D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3816F2B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51C452D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1033499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F4D6167"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D4E35A5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F83EB53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353271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7334B2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646C680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2049CD19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9C90358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F206111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D40C840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317343A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C30CC9A"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DAA4DBF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A6581BC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5C708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15A3590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79E8E28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02BF2905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2544105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2FDACF3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66192E5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B9594FA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7AF8E25"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2F47DF9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7D81C71"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AB1A2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52C42D6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287EA2E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9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365BA451"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97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76A0FBB">
            <w:pPr>
              <w:widowControl/>
              <w:jc w:val="center"/>
              <w:rPr>
                <w:rFonts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90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D6B5BAF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6379D39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5B1A6D4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9BA528C">
            <w:pPr>
              <w:widowControl/>
              <w:jc w:val="center"/>
              <w:rPr>
                <w:rFonts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01960AD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9C6F757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284E7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32C800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60B87F15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6112C8C2"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2DFADE3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315CE3A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403C714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1D6D808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4FFEF39">
            <w:pPr>
              <w:widowControl/>
              <w:jc w:val="center"/>
              <w:rPr>
                <w:rFonts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8BBD22C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D0EF511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D2F97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255760E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1CEA0F8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0FA29BFC"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0AF907E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4DDAE80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412C258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1610236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F9C10DA">
            <w:pPr>
              <w:widowControl/>
              <w:jc w:val="center"/>
              <w:rPr>
                <w:rFonts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4BAE51D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174E155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7F74B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2043A20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12D84BA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3FAB4B8D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6B22C1">
            <w:pPr>
              <w:widowControl/>
              <w:jc w:val="center"/>
              <w:rPr>
                <w:rFonts w:cs="Calibri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8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E189FD5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B618E1B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960037D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8DF8329">
            <w:pPr>
              <w:widowControl/>
              <w:jc w:val="center"/>
              <w:rPr>
                <w:rFonts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E3D5F23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25F60F8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</w:tr>
      <w:tr w14:paraId="65B167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1CA2909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5F00E262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7319608">
            <w:pPr>
              <w:widowControl/>
              <w:jc w:val="center"/>
              <w:rPr>
                <w:rFonts w:hint="default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249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0645A64">
            <w:pPr>
              <w:widowControl/>
              <w:jc w:val="center"/>
              <w:rPr>
                <w:rFonts w:hint="default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B596B73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7626D06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317903A">
            <w:pPr>
              <w:widowControl/>
              <w:jc w:val="center"/>
              <w:rPr>
                <w:rFonts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D0BD58D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9E041AF">
            <w:pPr>
              <w:widowControl/>
              <w:jc w:val="center"/>
              <w:rPr>
                <w:rFonts w:hint="default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267</w:t>
            </w:r>
          </w:p>
        </w:tc>
      </w:tr>
      <w:tr w14:paraId="3D386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16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25C603CE">
            <w:pP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0" w:type="auto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 w14:paraId="6722FB9F">
            <w:pPr>
              <w:widowControl/>
              <w:jc w:val="center"/>
              <w:rPr>
                <w:rFonts w:hint="default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top"/>
          </w:tcPr>
          <w:p w14:paraId="3611CF85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top"/>
          </w:tcPr>
          <w:p w14:paraId="114D93F9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top"/>
          </w:tcPr>
          <w:p w14:paraId="673971CA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top"/>
          </w:tcPr>
          <w:p w14:paraId="10F97B92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0" w:type="auto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top"/>
          </w:tcPr>
          <w:p w14:paraId="4DA1A2AB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 w14:paraId="20BD0FB9">
            <w:pPr>
              <w:widowControl/>
              <w:jc w:val="center"/>
              <w:rPr>
                <w:rFonts w:hint="default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</w:tr>
    </w:tbl>
    <w:p w14:paraId="7C2FBDCA">
      <w:pPr>
        <w:pStyle w:val="2"/>
        <w:widowControl/>
        <w:ind w:left="420" w:leftChars="200"/>
      </w:pPr>
    </w:p>
    <w:p w14:paraId="3F893C27">
      <w:pPr>
        <w:pStyle w:val="2"/>
        <w:widowControl/>
        <w:ind w:left="420" w:leftChars="200"/>
      </w:pPr>
    </w:p>
    <w:p w14:paraId="3B637BF8">
      <w:pPr>
        <w:spacing w:line="560" w:lineRule="exact"/>
        <w:ind w:firstLine="640" w:firstLineChars="20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四、政府信息公开行政复议、行政诉讼情况</w:t>
      </w:r>
    </w:p>
    <w:p w14:paraId="33D41BCF">
      <w:pPr>
        <w:widowControl/>
        <w:jc w:val="center"/>
      </w:pPr>
    </w:p>
    <w:tbl>
      <w:tblPr>
        <w:tblStyle w:val="4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61630F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trHeight w:val="547" w:hRule="atLeast"/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108" w:type="dxa"/>
              <w:right w:w="108" w:type="dxa"/>
            </w:tcMar>
            <w:vAlign w:val="center"/>
          </w:tcPr>
          <w:p w14:paraId="51F4E454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108" w:type="dxa"/>
              <w:right w:w="108" w:type="dxa"/>
            </w:tcMar>
            <w:vAlign w:val="center"/>
          </w:tcPr>
          <w:p w14:paraId="7BE00E48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14:paraId="71B1AA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6599D5B2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7F75FE44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1DE926B7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7F6D8A31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38C7EE13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108" w:type="dxa"/>
              <w:right w:w="108" w:type="dxa"/>
            </w:tcMar>
            <w:vAlign w:val="center"/>
          </w:tcPr>
          <w:p w14:paraId="593000A7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108" w:type="dxa"/>
              <w:right w:w="108" w:type="dxa"/>
            </w:tcMar>
            <w:vAlign w:val="center"/>
          </w:tcPr>
          <w:p w14:paraId="078A25FD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14:paraId="365322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2E5F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A3AC9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5D1D83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206801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559A7D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9CA49FD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87605D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A36407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FC4805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C0F980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C16DA7F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D976EFA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8F3F363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B03130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560B710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72516A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76A0F3C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4BFC735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FD3982">
            <w:pPr>
              <w:widowControl/>
              <w:jc w:val="center"/>
              <w:rPr>
                <w:rFonts w:cs="Calibri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E50C908">
            <w:pPr>
              <w:widowControl/>
              <w:jc w:val="center"/>
              <w:rPr>
                <w:rFonts w:cs="Calibri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F04024">
            <w:pPr>
              <w:widowControl/>
              <w:jc w:val="center"/>
              <w:rPr>
                <w:rFonts w:cs="Calibri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10</w:t>
            </w: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0726244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8348AC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E99FF96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736822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36DA07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6C6F1B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32230D">
            <w:pPr>
              <w:widowControl/>
              <w:jc w:val="center"/>
              <w:rPr>
                <w:rFonts w:cs="Calibri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0E707A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E8E86D6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2C8480A"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</w:tbl>
    <w:p w14:paraId="694AF219">
      <w:pPr>
        <w:widowControl/>
        <w:jc w:val="left"/>
      </w:pPr>
    </w:p>
    <w:p w14:paraId="2A8825B0">
      <w:pPr>
        <w:widowControl/>
        <w:spacing w:line="560" w:lineRule="exact"/>
        <w:ind w:firstLine="672" w:firstLineChars="200"/>
        <w:jc w:val="left"/>
        <w:rPr>
          <w:rFonts w:hint="eastAsia" w:ascii="宋体" w:hAnsi="宋体" w:cs="宋体"/>
          <w:spacing w:val="8"/>
          <w:kern w:val="0"/>
          <w:sz w:val="24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五、存在的主要问题及改进情况</w:t>
      </w:r>
    </w:p>
    <w:p w14:paraId="593CEEA1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一是专题范围有待进一步扩大。我区将坚持统筹推进、因地制宜，积极探索具有门头沟特色的专题内容， 打造“大数据+门头沟”的地域特色平台全方位、全过程、全覆盖的展示区域风采。</w:t>
      </w:r>
    </w:p>
    <w:p w14:paraId="6EAC93A3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二是重点领域信息公开有待进一步深化。我区将以“快捷便民、实用利民”为原则，精准推进经济高质量发展、城市治理、保障改善民生、政府自身建设等重点领域信息公开，及时公开工作进展情况、成效结果等信息，全面提升基层政务公开标准化规范化水平。</w:t>
      </w:r>
    </w:p>
    <w:p w14:paraId="67ADD6FB">
      <w:pPr>
        <w:widowControl/>
        <w:spacing w:line="560" w:lineRule="exact"/>
        <w:ind w:firstLine="675"/>
        <w:jc w:val="left"/>
        <w:rPr>
          <w:rFonts w:hint="eastAsia" w:ascii="宋体" w:hAnsi="宋体" w:cs="宋体"/>
          <w:spacing w:val="8"/>
          <w:kern w:val="0"/>
          <w:sz w:val="32"/>
          <w:szCs w:val="32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六、其他需要报告的事项</w:t>
      </w:r>
    </w:p>
    <w:p w14:paraId="2AFB75E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60" w:lineRule="atLeast"/>
        <w:ind w:left="0" w:right="0" w:firstLine="640" w:firstLineChars="200"/>
        <w:jc w:val="both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本单位依据《政府信息公开信息处理费管理办法》收取信息处理费，2023年发出收费通知的件数0件，总金额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 w:bidi="ar"/>
        </w:rPr>
        <w:t>0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元。</w:t>
      </w:r>
    </w:p>
    <w:p w14:paraId="48EB0F7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00" w:afterAutospacing="0" w:line="560" w:lineRule="atLeast"/>
        <w:ind w:left="0" w:right="0" w:firstLine="640"/>
        <w:jc w:val="both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北京市门头沟区人民政府门户网站网址链接为https://www.bjmtg.gov.cn/,如需了解更多政府信息，请登录查询。</w:t>
      </w:r>
    </w:p>
    <w:p w14:paraId="057A711E">
      <w:pPr>
        <w:widowControl/>
        <w:spacing w:line="560" w:lineRule="exact"/>
        <w:jc w:val="left"/>
        <w:rPr>
          <w:rFonts w:hint="eastAsia" w:ascii="仿宋_GB2312" w:hAnsi="宋体" w:eastAsia="仿宋_GB2312" w:cs="宋体"/>
          <w:color w:val="9BC2E6"/>
          <w:spacing w:val="8"/>
          <w:kern w:val="0"/>
          <w:sz w:val="32"/>
          <w:szCs w:val="32"/>
        </w:rPr>
      </w:pPr>
    </w:p>
    <w:p w14:paraId="50B1458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4DA94F0-3CDF-4F96-9CAF-2989EFC1B98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9597F3F2-81A4-4F9E-80A4-470F4F06D4A5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62EF60ED-45A8-4742-94F1-2C8E7036472D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3CFBE021-5154-4495-98E0-84BC9E935909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1CA39474-AA80-45EB-B472-ED7271C1AE6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D20C8296-6436-400D-AF26-164A5340C25D}"/>
  </w:font>
  <w:font w:name="WPSEMBED1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2NjJjYWRiZWYzY2ViZDcxMWU0YjhkNjE4ZmUzZjEifQ=="/>
    <w:docVar w:name="KSO_WPS_MARK_KEY" w:val="c7b0a824-960d-4846-90dd-7730aed13cc5"/>
  </w:docVars>
  <w:rsids>
    <w:rsidRoot w:val="2F791569"/>
    <w:rsid w:val="22B515CA"/>
    <w:rsid w:val="278422F1"/>
    <w:rsid w:val="27991FD0"/>
    <w:rsid w:val="2F791569"/>
    <w:rsid w:val="61BC20AC"/>
    <w:rsid w:val="62CD49B3"/>
    <w:rsid w:val="756A7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Normal (Web)"/>
    <w:basedOn w:val="1"/>
    <w:autoRedefine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1367</Words>
  <Characters>1418</Characters>
  <Lines>0</Lines>
  <Paragraphs>0</Paragraphs>
  <TotalTime>79</TotalTime>
  <ScaleCrop>false</ScaleCrop>
  <LinksUpToDate>false</LinksUpToDate>
  <CharactersWithSpaces>1465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2024-02-20T01:31:00Z</dcterms:created>
  <dc:creator>Mint1398171869</dc:creator>
  <cp:lastModifiedBy>Mint1398171869</cp:lastModifiedBy>
  <dcterms:modified xsi:type="dcterms:W3CDTF">2026-02-06T10:37:36Z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38A346DDA9C549BCA256A51DB52272DC_13</vt:lpwstr>
  </property>
  <property fmtid="{D5CDD505-2E9C-101B-9397-08002B2CF9AE}" pid="4" name="KSOTemplateDocerSaveRecord">
    <vt:lpwstr>eyJoZGlkIjoiMTliN2NlNjQ2M2Q3YWVlZWYwM2NhY2FjZjNmNzQ0OWEiLCJ1c2VySWQiOiIxNDYxNjAxNCJ9</vt:lpwstr>
  </property>
</Properties>
</file>